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EED3ED">
      <w:pPr>
        <w:pStyle w:val="15"/>
        <w:snapToGrid w:val="0"/>
        <w:jc w:val="center"/>
        <w:rPr>
          <w:rFonts w:hint="eastAsia" w:ascii="Arial" w:hAnsi="Arial" w:eastAsia="方正小标宋简体" w:cs="Arial"/>
          <w:sz w:val="72"/>
          <w:szCs w:val="72"/>
        </w:rPr>
      </w:pPr>
      <w:bookmarkStart w:id="0" w:name="_Toc16523570"/>
    </w:p>
    <w:p w14:paraId="6165DD46">
      <w:pPr>
        <w:pStyle w:val="15"/>
        <w:snapToGrid w:val="0"/>
        <w:jc w:val="center"/>
        <w:rPr>
          <w:rFonts w:hint="eastAsia" w:ascii="Arial" w:hAnsi="Arial" w:eastAsia="方正小标宋简体" w:cs="Arial"/>
          <w:sz w:val="72"/>
          <w:szCs w:val="72"/>
        </w:rPr>
      </w:pPr>
      <w:r>
        <w:rPr>
          <w:rFonts w:hint="eastAsia" w:ascii="Arial" w:hAnsi="Arial" w:eastAsia="方正小标宋简体" w:cs="Arial"/>
          <w:sz w:val="72"/>
          <w:szCs w:val="72"/>
        </w:rPr>
        <w:t>娄底市中心医院</w:t>
      </w:r>
    </w:p>
    <w:p w14:paraId="240C7846">
      <w:pPr>
        <w:pStyle w:val="15"/>
        <w:snapToGrid w:val="0"/>
        <w:jc w:val="center"/>
        <w:rPr>
          <w:rFonts w:hint="eastAsia" w:ascii="Arial" w:hAnsi="Arial" w:eastAsia="方正小标宋简体" w:cs="Arial"/>
          <w:sz w:val="72"/>
          <w:szCs w:val="72"/>
        </w:rPr>
      </w:pPr>
    </w:p>
    <w:p w14:paraId="635FE321">
      <w:pPr>
        <w:pStyle w:val="15"/>
        <w:snapToGrid w:val="0"/>
        <w:jc w:val="center"/>
        <w:rPr>
          <w:rFonts w:hint="eastAsia" w:ascii="Arial" w:hAnsi="Arial" w:eastAsia="方正小标宋简体" w:cs="Arial"/>
          <w:sz w:val="72"/>
          <w:szCs w:val="72"/>
        </w:rPr>
      </w:pPr>
    </w:p>
    <w:p w14:paraId="69D3AD3F">
      <w:pPr>
        <w:pStyle w:val="15"/>
        <w:snapToGrid w:val="0"/>
        <w:jc w:val="center"/>
        <w:rPr>
          <w:rFonts w:hint="eastAsia" w:ascii="Arial" w:hAnsi="Arial" w:eastAsia="方正小标宋简体" w:cs="Arial"/>
          <w:sz w:val="72"/>
          <w:szCs w:val="72"/>
        </w:rPr>
      </w:pPr>
    </w:p>
    <w:p w14:paraId="6760F3CC">
      <w:pPr>
        <w:pStyle w:val="15"/>
        <w:snapToGrid w:val="0"/>
        <w:jc w:val="center"/>
        <w:rPr>
          <w:rFonts w:ascii="Arial" w:hAnsi="Arial" w:eastAsia="方正小标宋简体" w:cs="Arial"/>
          <w:sz w:val="36"/>
          <w:szCs w:val="36"/>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136B4FFC">
      <w:pPr>
        <w:pStyle w:val="15"/>
        <w:snapToGrid w:val="0"/>
        <w:jc w:val="center"/>
        <w:rPr>
          <w:rFonts w:ascii="Arial" w:hAnsi="Arial" w:cs="Arial"/>
          <w:sz w:val="32"/>
          <w:szCs w:val="32"/>
        </w:rPr>
      </w:pPr>
    </w:p>
    <w:p w14:paraId="344FBE05">
      <w:pPr>
        <w:pStyle w:val="16"/>
        <w:rPr>
          <w:rFonts w:ascii="Arial" w:hAnsi="Arial" w:cs="Arial"/>
          <w:sz w:val="32"/>
          <w:szCs w:val="32"/>
        </w:rPr>
      </w:pPr>
    </w:p>
    <w:p w14:paraId="3072D5FC">
      <w:pPr>
        <w:pStyle w:val="9"/>
        <w:rPr>
          <w:rFonts w:ascii="Arial" w:hAnsi="Arial" w:cs="Arial"/>
          <w:sz w:val="32"/>
          <w:szCs w:val="32"/>
        </w:rPr>
      </w:pPr>
    </w:p>
    <w:p w14:paraId="1CD32D3E">
      <w:pPr>
        <w:pStyle w:val="9"/>
        <w:rPr>
          <w:rFonts w:ascii="Arial" w:hAnsi="Arial" w:cs="Arial"/>
          <w:sz w:val="32"/>
          <w:szCs w:val="32"/>
        </w:rPr>
      </w:pPr>
    </w:p>
    <w:p w14:paraId="191865C5">
      <w:pPr>
        <w:pStyle w:val="9"/>
        <w:rPr>
          <w:rFonts w:ascii="Arial" w:hAnsi="Arial" w:cs="Arial"/>
          <w:sz w:val="32"/>
          <w:szCs w:val="32"/>
        </w:rPr>
      </w:pPr>
    </w:p>
    <w:p w14:paraId="00BD03D4">
      <w:pPr>
        <w:pStyle w:val="9"/>
        <w:rPr>
          <w:rFonts w:ascii="Arial" w:hAnsi="Arial" w:cs="Arial"/>
          <w:sz w:val="32"/>
          <w:szCs w:val="32"/>
        </w:rPr>
      </w:pPr>
    </w:p>
    <w:p w14:paraId="5B1AF6E9">
      <w:pPr>
        <w:pStyle w:val="9"/>
        <w:rPr>
          <w:rFonts w:ascii="Arial" w:hAnsi="Arial" w:cs="Arial"/>
          <w:sz w:val="32"/>
          <w:szCs w:val="32"/>
        </w:rPr>
      </w:pPr>
    </w:p>
    <w:p w14:paraId="5EDC9EA3">
      <w:pPr>
        <w:pStyle w:val="9"/>
        <w:rPr>
          <w:rFonts w:ascii="Arial" w:hAnsi="Arial" w:cs="Arial"/>
          <w:sz w:val="32"/>
          <w:szCs w:val="32"/>
        </w:rPr>
      </w:pPr>
    </w:p>
    <w:p w14:paraId="163589A0">
      <w:pPr>
        <w:pStyle w:val="9"/>
        <w:rPr>
          <w:rFonts w:ascii="Arial" w:hAnsi="Arial" w:cs="Arial"/>
          <w:sz w:val="32"/>
          <w:szCs w:val="32"/>
        </w:rPr>
      </w:pPr>
    </w:p>
    <w:p w14:paraId="22B3FB66">
      <w:pPr>
        <w:pStyle w:val="15"/>
        <w:snapToGrid w:val="0"/>
        <w:jc w:val="center"/>
        <w:rPr>
          <w:rFonts w:ascii="Arial" w:hAnsi="Arial" w:cs="Arial"/>
          <w:sz w:val="32"/>
          <w:szCs w:val="32"/>
        </w:rPr>
      </w:pPr>
    </w:p>
    <w:p w14:paraId="66BAB724">
      <w:pPr>
        <w:pStyle w:val="15"/>
        <w:snapToGrid w:val="0"/>
        <w:jc w:val="center"/>
        <w:rPr>
          <w:rFonts w:ascii="Arial" w:hAnsi="Arial" w:cs="Arial"/>
          <w:sz w:val="32"/>
          <w:szCs w:val="32"/>
        </w:rPr>
      </w:pPr>
    </w:p>
    <w:p w14:paraId="5BE24A3F">
      <w:pPr>
        <w:spacing w:line="360" w:lineRule="auto"/>
        <w:rPr>
          <w:rFonts w:hint="eastAsia"/>
          <w:bCs/>
          <w:sz w:val="32"/>
          <w:szCs w:val="32"/>
        </w:rPr>
      </w:pPr>
    </w:p>
    <w:p w14:paraId="677D4F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cs="Times New Roman"/>
          <w:b/>
          <w:bCs/>
          <w:kern w:val="44"/>
          <w:sz w:val="32"/>
          <w:szCs w:val="32"/>
          <w:lang w:val="en-US" w:eastAsia="zh-CN" w:bidi="ar-SA"/>
        </w:rPr>
        <w:t>血液净化中心水处理耗材</w:t>
      </w:r>
      <w:r>
        <w:rPr>
          <w:rFonts w:hint="eastAsia"/>
          <w:bCs/>
          <w:sz w:val="32"/>
          <w:szCs w:val="32"/>
          <w:lang w:val="en-US" w:eastAsia="zh-CN"/>
        </w:rPr>
        <w:t>采购项目</w:t>
      </w:r>
    </w:p>
    <w:p w14:paraId="018BCF4F">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（医院公开挂网</w:t>
      </w:r>
      <w:r>
        <w:rPr>
          <w:rFonts w:hint="eastAsia" w:ascii="Times New Roman" w:hAnsi="Times New Roman" w:eastAsia="宋体" w:cs="Times New Roman"/>
          <w:b/>
          <w:bCs/>
          <w:kern w:val="44"/>
          <w:sz w:val="32"/>
          <w:szCs w:val="32"/>
          <w:lang w:val="en-US" w:eastAsia="zh-CN" w:bidi="ar-SA"/>
        </w:rPr>
        <w:t>）</w:t>
      </w:r>
    </w:p>
    <w:p w14:paraId="5FDDD31C">
      <w:pPr>
        <w:spacing w:line="320" w:lineRule="exact"/>
        <w:jc w:val="left"/>
        <w:rPr>
          <w:sz w:val="24"/>
        </w:rPr>
      </w:pPr>
    </w:p>
    <w:p w14:paraId="1995CCAC">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五</w:t>
      </w:r>
      <w:r>
        <w:rPr>
          <w:rFonts w:hint="eastAsia" w:ascii="宋体" w:hAnsi="宋体" w:cs="宋体"/>
          <w:bCs/>
          <w:sz w:val="32"/>
          <w:szCs w:val="32"/>
        </w:rPr>
        <w:t>月</w:t>
      </w:r>
    </w:p>
    <w:p w14:paraId="7F0F5473">
      <w:pPr>
        <w:pStyle w:val="2"/>
        <w:numPr>
          <w:ilvl w:val="0"/>
          <w:numId w:val="0"/>
        </w:numPr>
        <w:spacing w:line="240" w:lineRule="auto"/>
        <w:ind w:leftChars="0"/>
        <w:jc w:val="center"/>
        <w:rPr>
          <w:rFonts w:hint="eastAsia" w:ascii="宋体" w:hAnsi="宋体" w:cs="宋体"/>
          <w:color w:val="auto"/>
          <w:sz w:val="44"/>
          <w:szCs w:val="44"/>
          <w:lang w:val="en-US" w:eastAsia="zh-CN"/>
        </w:rPr>
      </w:pPr>
    </w:p>
    <w:p w14:paraId="535BB9EC">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2CCB5FF4">
      <w:pPr>
        <w:pStyle w:val="1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血液净化中心水处理耗材</w:t>
      </w:r>
      <w:r>
        <w:rPr>
          <w:rFonts w:hint="eastAsia" w:asciiTheme="minorEastAsia" w:hAnsiTheme="minorEastAsia" w:eastAsiaTheme="minorEastAsia" w:cstheme="minorEastAsia"/>
          <w:bCs/>
          <w:color w:val="auto"/>
          <w:sz w:val="24"/>
          <w:szCs w:val="24"/>
          <w:lang w:val="en-US" w:eastAsia="zh-CN"/>
        </w:rPr>
        <w:t>项目进行医院公开挂网，将事项公告如下：</w:t>
      </w:r>
    </w:p>
    <w:p w14:paraId="1BEBAEE9">
      <w:pPr>
        <w:pStyle w:val="1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62DF0C6F">
      <w:pPr>
        <w:pStyle w:val="1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血液净化中心水处理耗材</w:t>
      </w:r>
      <w:r>
        <w:rPr>
          <w:rFonts w:hint="eastAsia" w:asciiTheme="minorEastAsia" w:hAnsiTheme="minorEastAsia" w:eastAsiaTheme="minorEastAsia" w:cstheme="minorEastAsia"/>
          <w:b w:val="0"/>
          <w:bCs/>
          <w:color w:val="auto"/>
          <w:sz w:val="24"/>
          <w:szCs w:val="24"/>
          <w:lang w:val="en-US" w:eastAsia="zh-CN"/>
        </w:rPr>
        <w:t>项目</w:t>
      </w:r>
    </w:p>
    <w:p w14:paraId="6B936CE3">
      <w:pPr>
        <w:pStyle w:val="15"/>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14:paraId="126EAE81">
      <w:pPr>
        <w:pStyle w:val="15"/>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bidi="ar-SA"/>
        </w:rPr>
        <w:t>医院公开挂网</w:t>
      </w:r>
      <w:r>
        <w:rPr>
          <w:rFonts w:hint="eastAsia" w:asciiTheme="minorEastAsia" w:hAnsiTheme="minorEastAsia" w:eastAsiaTheme="minorEastAsia" w:cstheme="minorEastAsia"/>
          <w:bCs/>
          <w:color w:val="auto"/>
          <w:sz w:val="24"/>
          <w:szCs w:val="24"/>
          <w:lang w:val="en-US" w:eastAsia="zh-CN"/>
        </w:rPr>
        <w:t>，</w:t>
      </w:r>
      <w:bookmarkEnd w:id="0"/>
      <w:r>
        <w:rPr>
          <w:rFonts w:hint="eastAsia" w:asciiTheme="minorEastAsia" w:hAnsiTheme="minorEastAsia" w:eastAsiaTheme="minorEastAsia" w:cstheme="minorEastAsia"/>
          <w:bCs/>
          <w:color w:val="auto"/>
          <w:sz w:val="24"/>
          <w:szCs w:val="24"/>
          <w:lang w:val="en-US" w:eastAsia="zh-CN"/>
        </w:rPr>
        <w:t>按招标文件评分规则进行评审，以评审结果排序，综合评分得分相同的，按投标报价由低到高顺序排列，得分且投标报价相同的，按技术指标优劣顺序排列。</w:t>
      </w:r>
    </w:p>
    <w:p w14:paraId="444B7D8D">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253091B9">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724C358">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3AD029D5">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6C83B5C3">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2CC2ACE0">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7BE4C393">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E85C39">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1E7FBF6">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51F1ED66">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45DDDEA8">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AAC4384">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784645C4">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1CA443C1">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4EBF1671">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14:paraId="0C11F4A7">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14:paraId="65DB1185">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14:paraId="57EBE3A6">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1.2、资格评审时，投标人资格条件不符合国家有关规定或者文件要求的，或者拒不按照要求对投标文件进行澄清、说明或补正，或者其说明补正无法证明其为合格投标人的；</w:t>
      </w:r>
    </w:p>
    <w:p w14:paraId="3D174B2F">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14:paraId="1F35927C">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14:paraId="7D55C5BD">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14:paraId="32976E44">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1.6、投标文件存在弄虚作假或者隐瞒事实，或者未按照文件要求如实提供有关情况和文件，以及证明资料且对投标人有利的，应当否决其投标。被列为中标候选人的，应当取消其中标候选人资格。</w:t>
      </w:r>
    </w:p>
    <w:p w14:paraId="34CEDBE2">
      <w:pPr>
        <w:pStyle w:val="16"/>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heme="minorEastAsia" w:hAnsiTheme="minorEastAsia" w:eastAsiaTheme="minorEastAsia" w:cstheme="minorEastAsia"/>
          <w:b w:val="0"/>
          <w:bCs/>
          <w:color w:val="auto"/>
          <w:sz w:val="24"/>
          <w:szCs w:val="24"/>
          <w:lang w:val="en-US" w:eastAsia="zh-CN" w:bidi="ar-SA"/>
        </w:rPr>
      </w:pPr>
      <w:r>
        <w:rPr>
          <w:rFonts w:hint="eastAsia" w:asciiTheme="minorEastAsia" w:hAnsiTheme="minorEastAsia" w:eastAsiaTheme="minorEastAsia" w:cstheme="minorEastAsia"/>
          <w:b w:val="0"/>
          <w:bCs/>
          <w:color w:val="auto"/>
          <w:sz w:val="24"/>
          <w:szCs w:val="24"/>
          <w:lang w:val="en-US" w:eastAsia="zh-CN" w:bidi="ar-SA"/>
        </w:rPr>
        <w:t>1.7、技术参数负偏离大于5条的。</w:t>
      </w:r>
    </w:p>
    <w:p w14:paraId="02D4F01A">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2、有下列情形之一的，采购人将重新挂网采购：</w:t>
      </w:r>
    </w:p>
    <w:p w14:paraId="4BBE2240">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14:paraId="2EACB202">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2.2、经评标委员会评审后，有效投标人少于3家的。</w:t>
      </w:r>
    </w:p>
    <w:p w14:paraId="12F0A2BC">
      <w:pPr>
        <w:pStyle w:val="16"/>
        <w:rPr>
          <w:rFonts w:hint="eastAsia"/>
          <w:lang w:val="en-US" w:eastAsia="zh-CN"/>
        </w:rPr>
      </w:pPr>
    </w:p>
    <w:p w14:paraId="580E4949">
      <w:pPr>
        <w:pStyle w:val="16"/>
        <w:jc w:val="both"/>
        <w:rPr>
          <w:rFonts w:hint="default"/>
          <w:lang w:val="en-US" w:eastAsia="zh-CN"/>
        </w:rPr>
      </w:pPr>
    </w:p>
    <w:p w14:paraId="3F0337F1">
      <w:pPr>
        <w:pStyle w:val="1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02CC6FF2">
      <w:pPr>
        <w:pStyle w:val="1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7EFEA6B2">
      <w:pPr>
        <w:pStyle w:val="16"/>
        <w:rPr>
          <w:rFonts w:hint="eastAsia" w:ascii="宋体" w:hAnsi="宋体" w:cs="宋体"/>
          <w:b/>
          <w:bCs/>
          <w:color w:val="auto"/>
          <w:sz w:val="44"/>
          <w:szCs w:val="44"/>
          <w:lang w:val="en-US" w:eastAsia="zh-CN"/>
        </w:rPr>
      </w:pPr>
    </w:p>
    <w:p w14:paraId="0FCE0BE5">
      <w:pPr>
        <w:pStyle w:val="9"/>
        <w:rPr>
          <w:rFonts w:hint="eastAsia" w:ascii="宋体" w:hAnsi="宋体" w:cs="宋体"/>
          <w:b/>
          <w:bCs/>
          <w:color w:val="auto"/>
          <w:sz w:val="44"/>
          <w:szCs w:val="44"/>
          <w:lang w:val="en-US" w:eastAsia="zh-CN"/>
        </w:rPr>
      </w:pPr>
    </w:p>
    <w:p w14:paraId="44605275">
      <w:pPr>
        <w:rPr>
          <w:rFonts w:hint="eastAsia" w:ascii="宋体" w:hAnsi="宋体" w:cs="宋体"/>
          <w:b/>
          <w:bCs/>
          <w:color w:val="auto"/>
          <w:sz w:val="44"/>
          <w:szCs w:val="44"/>
          <w:lang w:val="en-US" w:eastAsia="zh-CN"/>
        </w:rPr>
      </w:pPr>
    </w:p>
    <w:p w14:paraId="2E1D6141">
      <w:pPr>
        <w:pStyle w:val="14"/>
        <w:rPr>
          <w:rFonts w:hint="eastAsia"/>
          <w:lang w:val="en-US" w:eastAsia="zh-CN"/>
        </w:rPr>
      </w:pPr>
    </w:p>
    <w:p w14:paraId="0E1CA901">
      <w:pPr>
        <w:rPr>
          <w:rFonts w:hint="eastAsia"/>
          <w:lang w:val="en-US" w:eastAsia="zh-CN"/>
        </w:rPr>
      </w:pPr>
      <w:r>
        <w:rPr>
          <w:rFonts w:hint="eastAsia"/>
          <w:lang w:val="en-US" w:eastAsia="zh-CN"/>
        </w:rPr>
        <w:br w:type="page"/>
      </w:r>
    </w:p>
    <w:p w14:paraId="43F3F7C4">
      <w:pPr>
        <w:pStyle w:val="1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46A15746">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14:paraId="2C2AFACE">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0"/>
        <w:tblW w:w="730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58"/>
        <w:gridCol w:w="2370"/>
        <w:gridCol w:w="1665"/>
        <w:gridCol w:w="2310"/>
      </w:tblGrid>
      <w:tr w14:paraId="3C704D4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70"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A8E5AC9">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17E26F2E">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eastAsia="zh-CN"/>
              </w:rPr>
              <w:t>配件</w:t>
            </w:r>
            <w:r>
              <w:rPr>
                <w:rFonts w:hint="eastAsia" w:asciiTheme="minorEastAsia" w:hAnsiTheme="minorEastAsia" w:eastAsiaTheme="minorEastAsia" w:cstheme="minorEastAsia"/>
                <w:kern w:val="2"/>
                <w:sz w:val="24"/>
                <w:szCs w:val="24"/>
              </w:rPr>
              <w:t>名称</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BC8F8A3">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服务期限</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0F4744D9">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r>
      <w:tr w14:paraId="2690ACF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81"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EA603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605656B6">
            <w:pPr>
              <w:keepNext w:val="0"/>
              <w:keepLines w:val="0"/>
              <w:widowControl/>
              <w:suppressLineNumbers w:val="0"/>
              <w:jc w:val="center"/>
              <w:textAlignment w:val="center"/>
              <w:rPr>
                <w:rFonts w:hint="default" w:asciiTheme="minorEastAsia" w:hAnsiTheme="minorEastAsia" w:eastAsiaTheme="minorEastAsia" w:cstheme="minorEastAsia"/>
                <w:kern w:val="2"/>
                <w:sz w:val="24"/>
                <w:szCs w:val="24"/>
                <w:lang w:val="en-US" w:eastAsia="zh-CN" w:bidi="ar-SA"/>
              </w:rPr>
            </w:pPr>
            <w:r>
              <w:rPr>
                <w:rFonts w:hint="eastAsia" w:ascii="宋体" w:hAnsi="宋体" w:cs="宋体"/>
                <w:i w:val="0"/>
                <w:iCs w:val="0"/>
                <w:color w:val="000000"/>
                <w:kern w:val="0"/>
                <w:sz w:val="24"/>
                <w:szCs w:val="24"/>
                <w:u w:val="none"/>
                <w:lang w:val="en-US" w:eastAsia="zh-CN" w:bidi="ar"/>
              </w:rPr>
              <w:t>血液净化中心水处理耗材</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D81A0B0">
            <w:pPr>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二年</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65359A47">
            <w:pPr>
              <w:jc w:val="center"/>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43.7</w:t>
            </w:r>
          </w:p>
        </w:tc>
      </w:tr>
    </w:tbl>
    <w:p w14:paraId="5E36B49A">
      <w:pPr>
        <w:spacing w:line="360" w:lineRule="auto"/>
        <w:rPr>
          <w:rFonts w:hint="eastAsia" w:asciiTheme="minorEastAsia" w:hAnsiTheme="minorEastAsia" w:eastAsiaTheme="minorEastAsia" w:cstheme="minorEastAsia"/>
          <w:bCs/>
          <w:color w:val="auto"/>
          <w:kern w:val="0"/>
          <w:sz w:val="24"/>
          <w:szCs w:val="24"/>
          <w:lang w:val="en-US" w:eastAsia="zh-CN" w:bidi="ar-SA"/>
        </w:rPr>
      </w:pPr>
    </w:p>
    <w:p w14:paraId="5D901636">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14:paraId="57D43378">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14:paraId="579476C9">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14:paraId="4A2F802E">
      <w:pPr>
        <w:spacing w:line="360" w:lineRule="auto"/>
        <w:ind w:firstLine="42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宋体" w:hAnsi="宋体" w:cs="宋体"/>
          <w:kern w:val="0"/>
        </w:rPr>
        <w:sym w:font="Wingdings" w:char="F0AB"/>
      </w:r>
      <w:r>
        <w:rPr>
          <w:rFonts w:hint="eastAsia" w:asciiTheme="minorEastAsia" w:hAnsiTheme="minorEastAsia" w:eastAsiaTheme="minorEastAsia" w:cstheme="minorEastAsia"/>
          <w:b w:val="0"/>
          <w:bCs/>
          <w:color w:val="auto"/>
          <w:kern w:val="0"/>
          <w:sz w:val="24"/>
          <w:szCs w:val="24"/>
          <w:lang w:val="en-US" w:eastAsia="zh-CN" w:bidi="ar-SA"/>
        </w:rPr>
        <w:t>（一）、我院血液透析中心反渗透水处理机耗材周期已到期，为保证用水水质需更换水处理机耗材及部分配件，通过本次招标确定一家单位负责水处理机耗材、配件更换及设备维护工作。</w:t>
      </w:r>
    </w:p>
    <w:p w14:paraId="1687AB25">
      <w:pPr>
        <w:spacing w:line="360" w:lineRule="auto"/>
        <w:ind w:firstLine="420" w:firstLineChars="200"/>
        <w:rPr>
          <w:rFonts w:hint="eastAsia" w:ascii="宋体" w:hAnsi="宋体" w:cs="宋体"/>
          <w:bCs/>
          <w:sz w:val="24"/>
        </w:rPr>
      </w:pPr>
      <w:r>
        <w:rPr>
          <w:rFonts w:hint="eastAsia" w:ascii="宋体" w:hAnsi="宋体" w:cs="宋体"/>
          <w:kern w:val="0"/>
        </w:rPr>
        <w:sym w:font="Wingdings" w:char="F0AB"/>
      </w:r>
      <w:r>
        <w:rPr>
          <w:rFonts w:hint="eastAsia" w:asciiTheme="minorEastAsia" w:hAnsiTheme="minorEastAsia" w:eastAsiaTheme="minorEastAsia" w:cstheme="minorEastAsia"/>
          <w:b w:val="0"/>
          <w:bCs/>
          <w:color w:val="auto"/>
          <w:kern w:val="0"/>
          <w:sz w:val="24"/>
          <w:szCs w:val="24"/>
          <w:lang w:val="en-US" w:eastAsia="zh-CN" w:bidi="ar-SA"/>
        </w:rPr>
        <w:t>（二）、</w:t>
      </w:r>
      <w:r>
        <w:rPr>
          <w:rFonts w:hint="eastAsia" w:ascii="宋体" w:hAnsi="宋体" w:cs="宋体"/>
          <w:bCs/>
          <w:sz w:val="24"/>
        </w:rPr>
        <w:t>投标单位所投产品需与我院在用反渗透水处理设备（型号：GAMBRO WRO 100H）相匹配。</w:t>
      </w:r>
    </w:p>
    <w:p w14:paraId="607FF7DC">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（三）、耗材更换清单：</w:t>
      </w:r>
    </w:p>
    <w:tbl>
      <w:tblPr>
        <w:tblStyle w:val="10"/>
        <w:tblW w:w="8854" w:type="dxa"/>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978"/>
        <w:gridCol w:w="2277"/>
        <w:gridCol w:w="2850"/>
        <w:gridCol w:w="1009"/>
      </w:tblGrid>
      <w:tr w14:paraId="3EC10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0" w:type="dxa"/>
            <w:noWrap w:val="0"/>
            <w:vAlign w:val="center"/>
          </w:tcPr>
          <w:p w14:paraId="0426CF33">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78" w:type="dxa"/>
            <w:noWrap w:val="0"/>
            <w:vAlign w:val="center"/>
          </w:tcPr>
          <w:p w14:paraId="2775EA30">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名称</w:t>
            </w:r>
          </w:p>
        </w:tc>
        <w:tc>
          <w:tcPr>
            <w:tcW w:w="2277" w:type="dxa"/>
            <w:noWrap w:val="0"/>
            <w:vAlign w:val="center"/>
          </w:tcPr>
          <w:p w14:paraId="7ABD7CCC">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型号</w:t>
            </w:r>
          </w:p>
        </w:tc>
        <w:tc>
          <w:tcPr>
            <w:tcW w:w="2850" w:type="dxa"/>
            <w:noWrap w:val="0"/>
            <w:vAlign w:val="center"/>
          </w:tcPr>
          <w:p w14:paraId="2B53A04B">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数量</w:t>
            </w:r>
          </w:p>
        </w:tc>
        <w:tc>
          <w:tcPr>
            <w:tcW w:w="1009" w:type="dxa"/>
            <w:noWrap w:val="0"/>
            <w:vAlign w:val="center"/>
          </w:tcPr>
          <w:p w14:paraId="27A26718">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单位</w:t>
            </w:r>
          </w:p>
        </w:tc>
      </w:tr>
      <w:tr w14:paraId="256BA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740" w:type="dxa"/>
            <w:noWrap w:val="0"/>
            <w:vAlign w:val="center"/>
          </w:tcPr>
          <w:p w14:paraId="0BFB0671">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1</w:t>
            </w:r>
          </w:p>
        </w:tc>
        <w:tc>
          <w:tcPr>
            <w:tcW w:w="1978" w:type="dxa"/>
            <w:noWrap w:val="0"/>
            <w:vAlign w:val="center"/>
          </w:tcPr>
          <w:p w14:paraId="6E8219D6">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反渗透膜</w:t>
            </w:r>
          </w:p>
        </w:tc>
        <w:tc>
          <w:tcPr>
            <w:tcW w:w="2277" w:type="dxa"/>
            <w:noWrap w:val="0"/>
            <w:vAlign w:val="center"/>
          </w:tcPr>
          <w:p w14:paraId="34705572">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4040-4021</w:t>
            </w:r>
          </w:p>
        </w:tc>
        <w:tc>
          <w:tcPr>
            <w:tcW w:w="2850" w:type="dxa"/>
            <w:noWrap w:val="0"/>
            <w:vAlign w:val="center"/>
          </w:tcPr>
          <w:p w14:paraId="1AEA57D6">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26</w:t>
            </w:r>
          </w:p>
        </w:tc>
        <w:tc>
          <w:tcPr>
            <w:tcW w:w="1009" w:type="dxa"/>
            <w:noWrap w:val="0"/>
            <w:vAlign w:val="center"/>
          </w:tcPr>
          <w:p w14:paraId="7384E896">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组</w:t>
            </w:r>
          </w:p>
        </w:tc>
      </w:tr>
      <w:tr w14:paraId="6F603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0" w:type="dxa"/>
            <w:noWrap w:val="0"/>
            <w:vAlign w:val="center"/>
          </w:tcPr>
          <w:p w14:paraId="5B52F344">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2</w:t>
            </w:r>
          </w:p>
        </w:tc>
        <w:tc>
          <w:tcPr>
            <w:tcW w:w="1978" w:type="dxa"/>
            <w:noWrap w:val="0"/>
            <w:vAlign w:val="center"/>
          </w:tcPr>
          <w:p w14:paraId="4A80A404">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活性炭</w:t>
            </w:r>
          </w:p>
        </w:tc>
        <w:tc>
          <w:tcPr>
            <w:tcW w:w="2277" w:type="dxa"/>
            <w:noWrap w:val="0"/>
            <w:vAlign w:val="center"/>
          </w:tcPr>
          <w:p w14:paraId="2B0AA52B">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椰壳型，碘吸附值</w:t>
            </w:r>
          </w:p>
          <w:p w14:paraId="15E53E4E">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1000以上</w:t>
            </w:r>
          </w:p>
        </w:tc>
        <w:tc>
          <w:tcPr>
            <w:tcW w:w="2850" w:type="dxa"/>
            <w:noWrap w:val="0"/>
            <w:vAlign w:val="center"/>
          </w:tcPr>
          <w:p w14:paraId="4DA3DD0A">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2162桶标配量*3；</w:t>
            </w:r>
          </w:p>
          <w:p w14:paraId="4F206027">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单桶填装数量≥80%</w:t>
            </w:r>
          </w:p>
        </w:tc>
        <w:tc>
          <w:tcPr>
            <w:tcW w:w="1009" w:type="dxa"/>
            <w:noWrap w:val="0"/>
            <w:vAlign w:val="center"/>
          </w:tcPr>
          <w:p w14:paraId="37525801">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桶</w:t>
            </w:r>
          </w:p>
        </w:tc>
      </w:tr>
      <w:tr w14:paraId="0406C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0" w:type="dxa"/>
            <w:noWrap w:val="0"/>
            <w:vAlign w:val="center"/>
          </w:tcPr>
          <w:p w14:paraId="1ABD055D">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3</w:t>
            </w:r>
          </w:p>
        </w:tc>
        <w:tc>
          <w:tcPr>
            <w:tcW w:w="1978" w:type="dxa"/>
            <w:noWrap w:val="0"/>
            <w:vAlign w:val="center"/>
          </w:tcPr>
          <w:p w14:paraId="1B908F4E">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钠离型阳离子树脂</w:t>
            </w:r>
          </w:p>
        </w:tc>
        <w:tc>
          <w:tcPr>
            <w:tcW w:w="2277" w:type="dxa"/>
            <w:noWrap w:val="0"/>
            <w:vAlign w:val="center"/>
          </w:tcPr>
          <w:p w14:paraId="1A59F8D9">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Purolite</w:t>
            </w:r>
          </w:p>
        </w:tc>
        <w:tc>
          <w:tcPr>
            <w:tcW w:w="2850" w:type="dxa"/>
            <w:noWrap w:val="0"/>
            <w:vAlign w:val="center"/>
          </w:tcPr>
          <w:p w14:paraId="3358E788">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2162桶标配量*3；</w:t>
            </w:r>
          </w:p>
          <w:p w14:paraId="5B7DD62E">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单桶填装数量≥80%</w:t>
            </w:r>
          </w:p>
        </w:tc>
        <w:tc>
          <w:tcPr>
            <w:tcW w:w="1009" w:type="dxa"/>
            <w:noWrap w:val="0"/>
            <w:vAlign w:val="center"/>
          </w:tcPr>
          <w:p w14:paraId="2FC9B434">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桶</w:t>
            </w:r>
          </w:p>
        </w:tc>
      </w:tr>
      <w:tr w14:paraId="7BB29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0" w:type="dxa"/>
            <w:noWrap w:val="0"/>
            <w:vAlign w:val="center"/>
          </w:tcPr>
          <w:p w14:paraId="1B1A5F1B">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4</w:t>
            </w:r>
          </w:p>
        </w:tc>
        <w:tc>
          <w:tcPr>
            <w:tcW w:w="1978" w:type="dxa"/>
            <w:noWrap w:val="0"/>
            <w:vAlign w:val="center"/>
          </w:tcPr>
          <w:p w14:paraId="7658B9B4">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多介质砂</w:t>
            </w:r>
          </w:p>
        </w:tc>
        <w:tc>
          <w:tcPr>
            <w:tcW w:w="2277" w:type="dxa"/>
            <w:noWrap w:val="0"/>
            <w:vAlign w:val="center"/>
          </w:tcPr>
          <w:p w14:paraId="65157082">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多介质型</w:t>
            </w:r>
          </w:p>
        </w:tc>
        <w:tc>
          <w:tcPr>
            <w:tcW w:w="2850" w:type="dxa"/>
            <w:noWrap w:val="0"/>
            <w:vAlign w:val="center"/>
          </w:tcPr>
          <w:p w14:paraId="0B36839A">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2162桶标配量*3；</w:t>
            </w:r>
          </w:p>
          <w:p w14:paraId="1267C68A">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单桶填装数量≥80%</w:t>
            </w:r>
          </w:p>
        </w:tc>
        <w:tc>
          <w:tcPr>
            <w:tcW w:w="1009" w:type="dxa"/>
            <w:noWrap w:val="0"/>
            <w:vAlign w:val="center"/>
          </w:tcPr>
          <w:p w14:paraId="44C9CEAC">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桶</w:t>
            </w:r>
          </w:p>
        </w:tc>
      </w:tr>
      <w:tr w14:paraId="08448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0" w:type="dxa"/>
            <w:noWrap w:val="0"/>
            <w:vAlign w:val="center"/>
          </w:tcPr>
          <w:p w14:paraId="56F4AEAE">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5</w:t>
            </w:r>
          </w:p>
        </w:tc>
        <w:tc>
          <w:tcPr>
            <w:tcW w:w="1978" w:type="dxa"/>
            <w:noWrap w:val="0"/>
            <w:vAlign w:val="center"/>
          </w:tcPr>
          <w:p w14:paraId="5B89671E">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潜水泵</w:t>
            </w:r>
          </w:p>
        </w:tc>
        <w:tc>
          <w:tcPr>
            <w:tcW w:w="2277" w:type="dxa"/>
            <w:noWrap w:val="0"/>
            <w:vAlign w:val="center"/>
          </w:tcPr>
          <w:p w14:paraId="7714F7D0">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SP3A-33</w:t>
            </w:r>
          </w:p>
        </w:tc>
        <w:tc>
          <w:tcPr>
            <w:tcW w:w="2850" w:type="dxa"/>
            <w:noWrap w:val="0"/>
            <w:vAlign w:val="center"/>
          </w:tcPr>
          <w:p w14:paraId="4149EEA5">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1</w:t>
            </w:r>
          </w:p>
        </w:tc>
        <w:tc>
          <w:tcPr>
            <w:tcW w:w="1009" w:type="dxa"/>
            <w:noWrap w:val="0"/>
            <w:vAlign w:val="center"/>
          </w:tcPr>
          <w:p w14:paraId="72FE9A63">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个</w:t>
            </w:r>
          </w:p>
        </w:tc>
      </w:tr>
      <w:tr w14:paraId="40C01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0" w:type="dxa"/>
            <w:noWrap w:val="0"/>
            <w:vAlign w:val="center"/>
          </w:tcPr>
          <w:p w14:paraId="166B23BC">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6</w:t>
            </w:r>
          </w:p>
        </w:tc>
        <w:tc>
          <w:tcPr>
            <w:tcW w:w="1978" w:type="dxa"/>
            <w:noWrap w:val="0"/>
            <w:vAlign w:val="center"/>
          </w:tcPr>
          <w:p w14:paraId="5F55B0D0">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潜水泵</w:t>
            </w:r>
          </w:p>
        </w:tc>
        <w:tc>
          <w:tcPr>
            <w:tcW w:w="2277" w:type="dxa"/>
            <w:noWrap w:val="0"/>
            <w:vAlign w:val="center"/>
          </w:tcPr>
          <w:p w14:paraId="7B3D11B1">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SP3A-29</w:t>
            </w:r>
          </w:p>
        </w:tc>
        <w:tc>
          <w:tcPr>
            <w:tcW w:w="2850" w:type="dxa"/>
            <w:noWrap w:val="0"/>
            <w:vAlign w:val="center"/>
          </w:tcPr>
          <w:p w14:paraId="6A05E9A9">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1</w:t>
            </w:r>
          </w:p>
        </w:tc>
        <w:tc>
          <w:tcPr>
            <w:tcW w:w="1009" w:type="dxa"/>
            <w:noWrap w:val="0"/>
            <w:vAlign w:val="center"/>
          </w:tcPr>
          <w:p w14:paraId="29C6DEF1">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个</w:t>
            </w:r>
          </w:p>
        </w:tc>
      </w:tr>
      <w:tr w14:paraId="40E2E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0" w:type="dxa"/>
            <w:noWrap w:val="0"/>
            <w:vAlign w:val="center"/>
          </w:tcPr>
          <w:p w14:paraId="1D9C5E7C">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7</w:t>
            </w:r>
          </w:p>
        </w:tc>
        <w:tc>
          <w:tcPr>
            <w:tcW w:w="1978" w:type="dxa"/>
            <w:noWrap w:val="0"/>
            <w:vAlign w:val="center"/>
          </w:tcPr>
          <w:p w14:paraId="556C8FED">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前级加压泵</w:t>
            </w:r>
          </w:p>
        </w:tc>
        <w:tc>
          <w:tcPr>
            <w:tcW w:w="2277" w:type="dxa"/>
            <w:noWrap w:val="0"/>
            <w:vAlign w:val="center"/>
          </w:tcPr>
          <w:p w14:paraId="0A502040">
            <w:pPr>
              <w:spacing w:line="440" w:lineRule="exact"/>
              <w:jc w:val="center"/>
              <w:rPr>
                <w:rFonts w:hint="eastAsia" w:ascii="宋体" w:hAnsi="宋体" w:eastAsia="宋体" w:cs="宋体"/>
                <w:sz w:val="24"/>
                <w:szCs w:val="24"/>
              </w:rPr>
            </w:pPr>
            <w:r>
              <w:rPr>
                <w:rFonts w:hint="eastAsia" w:ascii="宋体" w:hAnsi="宋体" w:eastAsia="宋体" w:cs="宋体"/>
                <w:sz w:val="24"/>
                <w:szCs w:val="24"/>
                <w:lang w:val="en-US" w:eastAsia="zh-CN"/>
              </w:rPr>
              <w:t>CM</w:t>
            </w:r>
            <w:r>
              <w:rPr>
                <w:rFonts w:hint="eastAsia" w:ascii="宋体" w:hAnsi="宋体" w:eastAsia="宋体" w:cs="宋体"/>
                <w:sz w:val="24"/>
                <w:szCs w:val="24"/>
              </w:rPr>
              <w:t xml:space="preserve">5-5 </w:t>
            </w:r>
          </w:p>
        </w:tc>
        <w:tc>
          <w:tcPr>
            <w:tcW w:w="2850" w:type="dxa"/>
            <w:noWrap w:val="0"/>
            <w:vAlign w:val="center"/>
          </w:tcPr>
          <w:p w14:paraId="6CB1B5AB">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2</w:t>
            </w:r>
          </w:p>
        </w:tc>
        <w:tc>
          <w:tcPr>
            <w:tcW w:w="1009" w:type="dxa"/>
            <w:noWrap w:val="0"/>
            <w:vAlign w:val="center"/>
          </w:tcPr>
          <w:p w14:paraId="10A032FA">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个</w:t>
            </w:r>
          </w:p>
        </w:tc>
      </w:tr>
      <w:tr w14:paraId="5739D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0" w:type="dxa"/>
            <w:noWrap w:val="0"/>
            <w:vAlign w:val="center"/>
          </w:tcPr>
          <w:p w14:paraId="687EFF20">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8</w:t>
            </w:r>
          </w:p>
        </w:tc>
        <w:tc>
          <w:tcPr>
            <w:tcW w:w="1978" w:type="dxa"/>
            <w:noWrap w:val="0"/>
            <w:vAlign w:val="center"/>
          </w:tcPr>
          <w:p w14:paraId="6092D8EF">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加压泵压力开关</w:t>
            </w:r>
          </w:p>
        </w:tc>
        <w:tc>
          <w:tcPr>
            <w:tcW w:w="2277" w:type="dxa"/>
            <w:noWrap w:val="0"/>
            <w:vAlign w:val="center"/>
          </w:tcPr>
          <w:p w14:paraId="07428E5C">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PM2-AD</w:t>
            </w:r>
          </w:p>
        </w:tc>
        <w:tc>
          <w:tcPr>
            <w:tcW w:w="2850" w:type="dxa"/>
            <w:noWrap w:val="0"/>
            <w:vAlign w:val="center"/>
          </w:tcPr>
          <w:p w14:paraId="4A834369">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2</w:t>
            </w:r>
          </w:p>
        </w:tc>
        <w:tc>
          <w:tcPr>
            <w:tcW w:w="1009" w:type="dxa"/>
            <w:noWrap w:val="0"/>
            <w:vAlign w:val="center"/>
          </w:tcPr>
          <w:p w14:paraId="43507D77">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个</w:t>
            </w:r>
          </w:p>
        </w:tc>
      </w:tr>
      <w:tr w14:paraId="245D2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0" w:type="dxa"/>
            <w:noWrap w:val="0"/>
            <w:vAlign w:val="center"/>
          </w:tcPr>
          <w:p w14:paraId="49B7529F">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9</w:t>
            </w:r>
          </w:p>
        </w:tc>
        <w:tc>
          <w:tcPr>
            <w:tcW w:w="1978" w:type="dxa"/>
            <w:noWrap w:val="0"/>
            <w:vAlign w:val="center"/>
          </w:tcPr>
          <w:p w14:paraId="171F60FC">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预处理连接管</w:t>
            </w:r>
          </w:p>
        </w:tc>
        <w:tc>
          <w:tcPr>
            <w:tcW w:w="2277" w:type="dxa"/>
            <w:noWrap w:val="0"/>
            <w:vAlign w:val="center"/>
          </w:tcPr>
          <w:p w14:paraId="4344EDFE">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匹配预处理控制头</w:t>
            </w:r>
          </w:p>
        </w:tc>
        <w:tc>
          <w:tcPr>
            <w:tcW w:w="2850" w:type="dxa"/>
            <w:noWrap w:val="0"/>
            <w:vAlign w:val="center"/>
          </w:tcPr>
          <w:p w14:paraId="46BF812C">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21</w:t>
            </w:r>
          </w:p>
        </w:tc>
        <w:tc>
          <w:tcPr>
            <w:tcW w:w="1009" w:type="dxa"/>
            <w:noWrap w:val="0"/>
            <w:vAlign w:val="center"/>
          </w:tcPr>
          <w:p w14:paraId="16C8B7FF">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米</w:t>
            </w:r>
          </w:p>
        </w:tc>
      </w:tr>
      <w:tr w14:paraId="79E91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8854" w:type="dxa"/>
            <w:gridSpan w:val="5"/>
            <w:noWrap w:val="0"/>
            <w:vAlign w:val="center"/>
          </w:tcPr>
          <w:p w14:paraId="76321FF8">
            <w:pPr>
              <w:spacing w:line="440" w:lineRule="exact"/>
              <w:rPr>
                <w:rFonts w:hint="eastAsia" w:ascii="宋体" w:hAnsi="宋体" w:eastAsia="宋体" w:cs="宋体"/>
                <w:sz w:val="24"/>
                <w:szCs w:val="24"/>
              </w:rPr>
            </w:pPr>
            <w:r>
              <w:rPr>
                <w:rFonts w:hint="eastAsia" w:ascii="宋体" w:hAnsi="宋体" w:eastAsia="宋体" w:cs="宋体"/>
                <w:b/>
                <w:bCs/>
                <w:color w:val="000000"/>
                <w:sz w:val="24"/>
                <w:szCs w:val="24"/>
              </w:rPr>
              <w:t>注：更换后水质满足血透用水标准，具体更换时间根据院方安排。</w:t>
            </w:r>
          </w:p>
        </w:tc>
      </w:tr>
    </w:tbl>
    <w:p w14:paraId="0B13F356">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p>
    <w:p w14:paraId="2F3B5B8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1.反渗透膜：数量为26组，匹配GAMBROWRO100H水处理机型。</w:t>
      </w:r>
    </w:p>
    <w:p w14:paraId="5355E42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1.1尺寸：总长40.0英寸(1016mm)，柱体直径3.9英寸(99mm)，端盖尺寸 1.05X0.75英寸。</w:t>
      </w:r>
    </w:p>
    <w:p w14:paraId="2175B72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1.2膜材质：聚酰胺复合薄膜(TFC)，核心脱盐层，耐污染性优。</w:t>
      </w:r>
    </w:p>
    <w:p w14:paraId="2EAB9EC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1.3最高压降：单支元件≤0.9bar。</w:t>
      </w:r>
    </w:p>
    <w:p w14:paraId="11E26BE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1.4 最高操作压力：41bar</w:t>
      </w:r>
    </w:p>
    <w:p w14:paraId="6EC595DE">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2.活性炭：填装3个2162型号罐体，单罐填装量》80%。</w:t>
      </w:r>
    </w:p>
    <w:p w14:paraId="403B357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2.1材质:椰壳颗粒活性炭。</w:t>
      </w:r>
    </w:p>
    <w:p w14:paraId="43CCD09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2.2 碘吸附值：不低于1000。</w:t>
      </w:r>
    </w:p>
    <w:p w14:paraId="3523C7A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2.3 目数：20—40目</w:t>
      </w:r>
    </w:p>
    <w:p w14:paraId="6BFA643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3.钠离型阳离子树脂：填装3个2162型号罐体，单罐填装量》80%。</w:t>
      </w:r>
    </w:p>
    <w:p w14:paraId="246CDA4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3.1 交换容量：2.0Min.eq/L</w:t>
      </w:r>
    </w:p>
    <w:p w14:paraId="708EA48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3.2平均颗粒尺寸：0.60±0.05mm</w:t>
      </w:r>
    </w:p>
    <w:p w14:paraId="6C5AE6C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4.多介质砂：填装3个2162型号罐体，单罐填装量》80%。石英砂应为水晶石英砂类，SiO2含量达99%。</w:t>
      </w:r>
    </w:p>
    <w:p w14:paraId="5220E5A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5.潜水泵：2个，匹配GAMBROWRO100H水处理机型。</w:t>
      </w:r>
    </w:p>
    <w:p w14:paraId="0916140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5.1额定扬程：129 m。</w:t>
      </w:r>
    </w:p>
    <w:p w14:paraId="421567A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5.2流量：3m³/h</w:t>
      </w:r>
    </w:p>
    <w:p w14:paraId="69D1F95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 xml:space="preserve">5.3额定转速：2900 rpm  </w:t>
      </w:r>
    </w:p>
    <w:p w14:paraId="190B535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 xml:space="preserve">5.4 泵体材质：AISI 304不锈钢 </w:t>
      </w:r>
    </w:p>
    <w:p w14:paraId="1712C84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6.前级加压泵：1个，匹配GAMBROWRO100H水处理机型。</w:t>
      </w:r>
    </w:p>
    <w:p w14:paraId="5E44AA0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7.加压泵压力开关：1个，匹配GAMBROWRO100H水处理机型及前级加压泵。</w:t>
      </w:r>
    </w:p>
    <w:p w14:paraId="392FDFC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8.预处理连接管：匹配GAMBROWRO100H水处理机型的预处理系统，长度不少于21米。</w:t>
      </w:r>
    </w:p>
    <w:p w14:paraId="761DBCF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14:paraId="6B62FA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14:paraId="284C1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14:paraId="502C35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14:paraId="6DCB8B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78AA75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14:paraId="53710A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14:paraId="724EB8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14:paraId="2F0327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14:paraId="324055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14:paraId="1258B9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0C461223">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14:paraId="6E6819EA">
      <w:pPr>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合同编号：</w:t>
      </w:r>
    </w:p>
    <w:p w14:paraId="2AB720AB">
      <w:pPr>
        <w:spacing w:line="440" w:lineRule="exact"/>
        <w:jc w:val="center"/>
        <w:rPr>
          <w:rFonts w:hint="eastAsia" w:ascii="宋体" w:hAnsi="宋体" w:eastAsia="宋体" w:cs="宋体"/>
          <w:b/>
          <w:bCs/>
          <w:color w:val="000000" w:themeColor="text1"/>
          <w:sz w:val="24"/>
          <w14:textFill>
            <w14:solidFill>
              <w14:schemeClr w14:val="tx1"/>
            </w14:solidFill>
          </w14:textFill>
        </w:rPr>
      </w:pPr>
      <w:r>
        <w:rPr>
          <w:rFonts w:hint="eastAsia" w:ascii="黑体" w:hAnsi="黑体" w:eastAsia="黑体" w:cs="黑体"/>
          <w:color w:val="000000" w:themeColor="text1"/>
          <w:sz w:val="44"/>
          <w:szCs w:val="44"/>
          <w14:textFill>
            <w14:solidFill>
              <w14:schemeClr w14:val="tx1"/>
            </w14:solidFill>
          </w14:textFill>
        </w:rPr>
        <w:t>血液净化中心水处理耗材供应合同</w:t>
      </w:r>
    </w:p>
    <w:p w14:paraId="4E6D00EF">
      <w:pPr>
        <w:spacing w:line="440" w:lineRule="exact"/>
        <w:rPr>
          <w:rFonts w:hint="eastAsia" w:ascii="宋体" w:hAnsi="宋体" w:eastAsia="宋体" w:cs="宋体"/>
          <w:b/>
          <w:bCs/>
          <w:color w:val="000000" w:themeColor="text1"/>
          <w:sz w:val="24"/>
          <w14:textFill>
            <w14:solidFill>
              <w14:schemeClr w14:val="tx1"/>
            </w14:solidFill>
          </w14:textFill>
        </w:rPr>
      </w:pPr>
    </w:p>
    <w:p w14:paraId="46C9AF3C">
      <w:pPr>
        <w:spacing w:line="44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甲方（采购方）：</w:t>
      </w:r>
      <w:r>
        <w:rPr>
          <w:rFonts w:hint="eastAsia" w:ascii="宋体" w:hAnsi="宋体" w:eastAsia="宋体" w:cs="宋体"/>
          <w:color w:val="000000" w:themeColor="text1"/>
          <w:sz w:val="24"/>
          <w14:textFill>
            <w14:solidFill>
              <w14:schemeClr w14:val="tx1"/>
            </w14:solidFill>
          </w14:textFill>
        </w:rPr>
        <w:t>娄底市中心医院</w:t>
      </w:r>
    </w:p>
    <w:p w14:paraId="4254658A">
      <w:pPr>
        <w:spacing w:line="44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法定代表人：杨吉军</w:t>
      </w:r>
    </w:p>
    <w:p w14:paraId="3AC849AE">
      <w:pPr>
        <w:spacing w:line="44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统一社会信用代码：12431300447162073W</w:t>
      </w:r>
    </w:p>
    <w:p w14:paraId="30BF7D4A">
      <w:pPr>
        <w:spacing w:line="44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地址：湖南省娄底市娄星区长青中街51号</w:t>
      </w:r>
    </w:p>
    <w:p w14:paraId="3D365AFF">
      <w:pPr>
        <w:spacing w:line="44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联系人：刘子文</w:t>
      </w:r>
    </w:p>
    <w:p w14:paraId="694DBDAE">
      <w:pPr>
        <w:spacing w:line="44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联系电话：13762299668</w:t>
      </w:r>
    </w:p>
    <w:p w14:paraId="66729C44">
      <w:pPr>
        <w:spacing w:line="44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乙方（供货方）：</w:t>
      </w:r>
    </w:p>
    <w:p w14:paraId="55E1D7A9">
      <w:pPr>
        <w:spacing w:line="44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w:t>
      </w:r>
    </w:p>
    <w:p w14:paraId="541B4B01">
      <w:pPr>
        <w:spacing w:line="44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统一社会信用代码：</w:t>
      </w:r>
    </w:p>
    <w:p w14:paraId="361952AF">
      <w:pPr>
        <w:spacing w:line="44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地址：</w:t>
      </w:r>
    </w:p>
    <w:p w14:paraId="0485DDF1">
      <w:pPr>
        <w:widowControl/>
        <w:spacing w:line="440" w:lineRule="exact"/>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联系人：</w:t>
      </w:r>
    </w:p>
    <w:p w14:paraId="1EA01C47">
      <w:pPr>
        <w:spacing w:line="44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联系电话：</w:t>
      </w:r>
    </w:p>
    <w:p w14:paraId="7F698C55">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p>
    <w:p w14:paraId="0F399018">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甲方通过（□公开招标☑医院公开挂网□医院院内议价□湖南政府采购电子卖场竞价）方式采购</w:t>
      </w:r>
      <w:r>
        <w:rPr>
          <w:rFonts w:hint="eastAsia" w:ascii="宋体" w:hAnsi="宋体" w:eastAsia="宋体" w:cs="宋体"/>
          <w:color w:val="000000" w:themeColor="text1"/>
          <w:sz w:val="24"/>
          <w:u w:val="single"/>
          <w14:textFill>
            <w14:solidFill>
              <w14:schemeClr w14:val="tx1"/>
            </w14:solidFill>
          </w14:textFill>
        </w:rPr>
        <w:t>血液净化中心水处理</w:t>
      </w:r>
      <w:r>
        <w:rPr>
          <w:rFonts w:hint="eastAsia" w:ascii="宋体" w:hAnsi="宋体" w:eastAsia="宋体" w:cs="宋体"/>
          <w:color w:val="000000" w:themeColor="text1"/>
          <w:sz w:val="24"/>
          <w:u w:val="single"/>
          <w:lang w:val="en-US" w:eastAsia="zh-CN"/>
          <w14:textFill>
            <w14:solidFill>
              <w14:schemeClr w14:val="tx1"/>
            </w14:solidFill>
          </w14:textFill>
        </w:rPr>
        <w:t>耗材</w:t>
      </w:r>
      <w:r>
        <w:rPr>
          <w:rFonts w:hint="eastAsia" w:ascii="宋体" w:hAnsi="宋体" w:eastAsia="宋体" w:cs="宋体"/>
          <w:color w:val="000000" w:themeColor="text1"/>
          <w:sz w:val="24"/>
          <w14:textFill>
            <w14:solidFill>
              <w14:schemeClr w14:val="tx1"/>
            </w14:solidFill>
          </w14:textFill>
        </w:rPr>
        <w:t>，乙方为中标/中选供应商，项目编号：</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u w:val="single"/>
          <w14:textFill>
            <w14:solidFill>
              <w14:schemeClr w14:val="tx1"/>
            </w14:solidFill>
          </w14:textFill>
        </w:rPr>
        <w:t>血液净化中心水处理</w:t>
      </w:r>
      <w:r>
        <w:rPr>
          <w:rFonts w:hint="eastAsia" w:ascii="宋体" w:hAnsi="宋体" w:eastAsia="宋体" w:cs="宋体"/>
          <w:color w:val="000000" w:themeColor="text1"/>
          <w:sz w:val="24"/>
          <w:u w:val="single"/>
          <w:lang w:val="en-US" w:eastAsia="zh-CN"/>
          <w14:textFill>
            <w14:solidFill>
              <w14:schemeClr w14:val="tx1"/>
            </w14:solidFill>
          </w14:textFill>
        </w:rPr>
        <w:t>耗材</w:t>
      </w:r>
      <w:r>
        <w:rPr>
          <w:rFonts w:hint="eastAsia" w:ascii="宋体" w:hAnsi="宋体" w:eastAsia="宋体" w:cs="宋体"/>
          <w:color w:val="000000" w:themeColor="text1"/>
          <w:sz w:val="24"/>
          <w14:textFill>
            <w14:solidFill>
              <w14:schemeClr w14:val="tx1"/>
            </w14:solidFill>
          </w14:textFill>
        </w:rPr>
        <w:t>相关事宜平等、自愿、公平、诚信协商，达成一致，特订立本合同，以资共同遵守。</w:t>
      </w:r>
    </w:p>
    <w:p w14:paraId="2E599BE5">
      <w:pPr>
        <w:spacing w:line="440" w:lineRule="exact"/>
        <w:ind w:firstLine="482"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第一条  采购内容</w:t>
      </w:r>
    </w:p>
    <w:p w14:paraId="3EBE7C5B">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 配件名称、品牌、型号、价格</w:t>
      </w:r>
    </w:p>
    <w:tbl>
      <w:tblPr>
        <w:tblStyle w:val="10"/>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14:paraId="2A1E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2" w:hRule="atLeast"/>
        </w:trPr>
        <w:tc>
          <w:tcPr>
            <w:tcW w:w="1517" w:type="dxa"/>
          </w:tcPr>
          <w:p w14:paraId="2CB57292">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配件名称</w:t>
            </w:r>
          </w:p>
        </w:tc>
        <w:tc>
          <w:tcPr>
            <w:tcW w:w="1220" w:type="dxa"/>
          </w:tcPr>
          <w:p w14:paraId="47F917C4">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品牌</w:t>
            </w:r>
          </w:p>
        </w:tc>
        <w:tc>
          <w:tcPr>
            <w:tcW w:w="1760" w:type="dxa"/>
          </w:tcPr>
          <w:p w14:paraId="3A11940B">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型号</w:t>
            </w:r>
          </w:p>
        </w:tc>
        <w:tc>
          <w:tcPr>
            <w:tcW w:w="1320" w:type="dxa"/>
          </w:tcPr>
          <w:p w14:paraId="4F693BAB">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单价（元）</w:t>
            </w:r>
          </w:p>
        </w:tc>
        <w:tc>
          <w:tcPr>
            <w:tcW w:w="940" w:type="dxa"/>
          </w:tcPr>
          <w:p w14:paraId="1322E883">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数量</w:t>
            </w:r>
          </w:p>
        </w:tc>
        <w:tc>
          <w:tcPr>
            <w:tcW w:w="1654" w:type="dxa"/>
          </w:tcPr>
          <w:p w14:paraId="3D3EB7D1">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金额（元）</w:t>
            </w:r>
          </w:p>
        </w:tc>
      </w:tr>
      <w:tr w14:paraId="71083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tcPr>
          <w:p w14:paraId="72D4172F">
            <w:pPr>
              <w:widowControl/>
              <w:spacing w:line="440" w:lineRule="exact"/>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反渗透膜</w:t>
            </w:r>
          </w:p>
        </w:tc>
        <w:tc>
          <w:tcPr>
            <w:tcW w:w="1220" w:type="dxa"/>
            <w:vAlign w:val="center"/>
          </w:tcPr>
          <w:p w14:paraId="4D8A6D52">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 xml:space="preserve"> </w:t>
            </w:r>
          </w:p>
        </w:tc>
        <w:tc>
          <w:tcPr>
            <w:tcW w:w="1760" w:type="dxa"/>
          </w:tcPr>
          <w:p w14:paraId="5290B762">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ascii="宋体" w:hAnsi="宋体" w:eastAsia="宋体" w:cs="宋体"/>
                <w:color w:val="000000" w:themeColor="text1"/>
                <w:kern w:val="0"/>
                <w:sz w:val="24"/>
                <w14:textFill>
                  <w14:solidFill>
                    <w14:schemeClr w14:val="tx1"/>
                  </w14:solidFill>
                </w14:textFill>
              </w:rPr>
              <w:t>4040-4021</w:t>
            </w:r>
          </w:p>
        </w:tc>
        <w:tc>
          <w:tcPr>
            <w:tcW w:w="1320" w:type="dxa"/>
          </w:tcPr>
          <w:p w14:paraId="14D80737">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 xml:space="preserve"> </w:t>
            </w:r>
          </w:p>
        </w:tc>
        <w:tc>
          <w:tcPr>
            <w:tcW w:w="940" w:type="dxa"/>
          </w:tcPr>
          <w:p w14:paraId="3E998FF0">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16</w:t>
            </w:r>
          </w:p>
        </w:tc>
        <w:tc>
          <w:tcPr>
            <w:tcW w:w="1654" w:type="dxa"/>
          </w:tcPr>
          <w:p w14:paraId="2433C48E">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r>
      <w:tr w14:paraId="1090D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tcPr>
          <w:p w14:paraId="6258869A">
            <w:pPr>
              <w:widowControl/>
              <w:spacing w:line="440" w:lineRule="exact"/>
              <w:jc w:val="left"/>
              <w:rPr>
                <w:rFonts w:hint="eastAsia" w:ascii="宋体" w:hAnsi="宋体" w:eastAsia="宋体" w:cs="宋体"/>
                <w:color w:val="000000" w:themeColor="text1"/>
                <w:kern w:val="0"/>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反渗透膜</w:t>
            </w:r>
          </w:p>
        </w:tc>
        <w:tc>
          <w:tcPr>
            <w:tcW w:w="1220" w:type="dxa"/>
            <w:vAlign w:val="center"/>
          </w:tcPr>
          <w:p w14:paraId="7930B927">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 xml:space="preserve"> </w:t>
            </w:r>
          </w:p>
        </w:tc>
        <w:tc>
          <w:tcPr>
            <w:tcW w:w="1760" w:type="dxa"/>
          </w:tcPr>
          <w:p w14:paraId="5D3C0CFF">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ascii="宋体" w:hAnsi="宋体" w:eastAsia="宋体" w:cs="宋体"/>
                <w:color w:val="000000" w:themeColor="text1"/>
                <w:kern w:val="0"/>
                <w:sz w:val="24"/>
                <w14:textFill>
                  <w14:solidFill>
                    <w14:schemeClr w14:val="tx1"/>
                  </w14:solidFill>
                </w14:textFill>
              </w:rPr>
              <w:t>4040-4021</w:t>
            </w:r>
          </w:p>
        </w:tc>
        <w:tc>
          <w:tcPr>
            <w:tcW w:w="1320" w:type="dxa"/>
          </w:tcPr>
          <w:p w14:paraId="63CB67FA">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c>
          <w:tcPr>
            <w:tcW w:w="940" w:type="dxa"/>
          </w:tcPr>
          <w:p w14:paraId="0D60DDC1">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10</w:t>
            </w:r>
          </w:p>
        </w:tc>
        <w:tc>
          <w:tcPr>
            <w:tcW w:w="1654" w:type="dxa"/>
          </w:tcPr>
          <w:p w14:paraId="5827F939">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r>
      <w:tr w14:paraId="51749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tcPr>
          <w:p w14:paraId="209A7A29">
            <w:pPr>
              <w:widowControl/>
              <w:spacing w:line="440" w:lineRule="exact"/>
              <w:rPr>
                <w:rFonts w:hint="eastAsia" w:ascii="宋体" w:hAnsi="宋体" w:eastAsia="宋体" w:cs="宋体"/>
                <w:color w:val="000000" w:themeColor="text1"/>
                <w:kern w:val="0"/>
                <w:sz w:val="24"/>
                <w14:textFill>
                  <w14:solidFill>
                    <w14:schemeClr w14:val="tx1"/>
                  </w14:solidFill>
                </w14:textFill>
              </w:rPr>
            </w:pPr>
            <w:r>
              <w:rPr>
                <w:rFonts w:ascii="宋体" w:hAnsi="宋体" w:eastAsia="宋体" w:cs="宋体"/>
                <w:color w:val="000000" w:themeColor="text1"/>
                <w:kern w:val="0"/>
                <w:sz w:val="24"/>
                <w14:textFill>
                  <w14:solidFill>
                    <w14:schemeClr w14:val="tx1"/>
                  </w14:solidFill>
                </w14:textFill>
              </w:rPr>
              <w:t>砂罐</w:t>
            </w:r>
          </w:p>
        </w:tc>
        <w:tc>
          <w:tcPr>
            <w:tcW w:w="1220" w:type="dxa"/>
            <w:vAlign w:val="center"/>
          </w:tcPr>
          <w:p w14:paraId="614D4B90">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c>
          <w:tcPr>
            <w:tcW w:w="1760" w:type="dxa"/>
          </w:tcPr>
          <w:p w14:paraId="6D58B6E4">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ascii="宋体" w:hAnsi="宋体" w:eastAsia="宋体" w:cs="宋体"/>
                <w:color w:val="000000" w:themeColor="text1"/>
                <w:kern w:val="0"/>
                <w:sz w:val="24"/>
                <w14:textFill>
                  <w14:solidFill>
                    <w14:schemeClr w14:val="tx1"/>
                  </w14:solidFill>
                </w14:textFill>
              </w:rPr>
              <w:t xml:space="preserve"> 多介质砂(50kg)</w:t>
            </w:r>
          </w:p>
        </w:tc>
        <w:tc>
          <w:tcPr>
            <w:tcW w:w="1320" w:type="dxa"/>
          </w:tcPr>
          <w:p w14:paraId="7F6D3206">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c>
          <w:tcPr>
            <w:tcW w:w="940" w:type="dxa"/>
          </w:tcPr>
          <w:p w14:paraId="1B251149">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18</w:t>
            </w:r>
          </w:p>
        </w:tc>
        <w:tc>
          <w:tcPr>
            <w:tcW w:w="1654" w:type="dxa"/>
          </w:tcPr>
          <w:p w14:paraId="7814CFCB">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r>
      <w:tr w14:paraId="00228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vMerge w:val="restart"/>
            <w:vAlign w:val="center"/>
          </w:tcPr>
          <w:p w14:paraId="015349FE">
            <w:pPr>
              <w:widowControl/>
              <w:spacing w:line="440" w:lineRule="exact"/>
              <w:rPr>
                <w:rFonts w:hint="eastAsia" w:ascii="宋体" w:hAnsi="宋体" w:eastAsia="宋体" w:cs="宋体"/>
                <w:color w:val="000000" w:themeColor="text1"/>
                <w:kern w:val="0"/>
                <w:sz w:val="24"/>
                <w14:textFill>
                  <w14:solidFill>
                    <w14:schemeClr w14:val="tx1"/>
                  </w14:solidFill>
                </w14:textFill>
              </w:rPr>
            </w:pPr>
            <w:r>
              <w:rPr>
                <w:rFonts w:ascii="宋体" w:hAnsi="宋体" w:eastAsia="宋体" w:cs="宋体"/>
                <w:color w:val="000000" w:themeColor="text1"/>
                <w:kern w:val="0"/>
                <w:sz w:val="24"/>
                <w14:textFill>
                  <w14:solidFill>
                    <w14:schemeClr w14:val="tx1"/>
                  </w14:solidFill>
                </w14:textFill>
              </w:rPr>
              <w:t>活性炭罐</w:t>
            </w:r>
          </w:p>
        </w:tc>
        <w:tc>
          <w:tcPr>
            <w:tcW w:w="1220" w:type="dxa"/>
            <w:vAlign w:val="center"/>
          </w:tcPr>
          <w:p w14:paraId="734A4513">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c>
          <w:tcPr>
            <w:tcW w:w="1760" w:type="dxa"/>
          </w:tcPr>
          <w:p w14:paraId="0348E5C4">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ascii="宋体" w:hAnsi="宋体" w:eastAsia="宋体" w:cs="宋体"/>
                <w:color w:val="000000" w:themeColor="text1"/>
                <w:kern w:val="0"/>
                <w:sz w:val="24"/>
                <w14:textFill>
                  <w14:solidFill>
                    <w14:schemeClr w14:val="tx1"/>
                  </w14:solidFill>
                </w14:textFill>
              </w:rPr>
              <w:t>活性炭(25KG)</w:t>
            </w:r>
          </w:p>
        </w:tc>
        <w:tc>
          <w:tcPr>
            <w:tcW w:w="1320" w:type="dxa"/>
          </w:tcPr>
          <w:p w14:paraId="1EA33299">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c>
          <w:tcPr>
            <w:tcW w:w="940" w:type="dxa"/>
          </w:tcPr>
          <w:p w14:paraId="75D8D95E">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12</w:t>
            </w:r>
          </w:p>
        </w:tc>
        <w:tc>
          <w:tcPr>
            <w:tcW w:w="1654" w:type="dxa"/>
          </w:tcPr>
          <w:p w14:paraId="1B17EE6D">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r>
      <w:tr w14:paraId="2CBF5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vMerge w:val="continue"/>
          </w:tcPr>
          <w:p w14:paraId="47CABE0E">
            <w:pPr>
              <w:widowControl/>
              <w:spacing w:line="440" w:lineRule="exact"/>
              <w:rPr>
                <w:rFonts w:hint="eastAsia" w:ascii="宋体" w:hAnsi="宋体" w:eastAsia="宋体" w:cs="宋体"/>
                <w:color w:val="000000" w:themeColor="text1"/>
                <w:kern w:val="0"/>
                <w:sz w:val="24"/>
                <w14:textFill>
                  <w14:solidFill>
                    <w14:schemeClr w14:val="tx1"/>
                  </w14:solidFill>
                </w14:textFill>
              </w:rPr>
            </w:pPr>
          </w:p>
        </w:tc>
        <w:tc>
          <w:tcPr>
            <w:tcW w:w="1220" w:type="dxa"/>
            <w:vAlign w:val="center"/>
          </w:tcPr>
          <w:p w14:paraId="47E9FCAC">
            <w:pPr>
              <w:widowControl/>
              <w:spacing w:line="440" w:lineRule="exact"/>
              <w:jc w:val="both"/>
              <w:rPr>
                <w:rFonts w:hint="eastAsia" w:ascii="宋体" w:hAnsi="宋体" w:eastAsia="宋体" w:cs="宋体"/>
                <w:color w:val="000000" w:themeColor="text1"/>
                <w:kern w:val="0"/>
                <w:sz w:val="24"/>
                <w14:textFill>
                  <w14:solidFill>
                    <w14:schemeClr w14:val="tx1"/>
                  </w14:solidFill>
                </w14:textFill>
              </w:rPr>
            </w:pPr>
          </w:p>
        </w:tc>
        <w:tc>
          <w:tcPr>
            <w:tcW w:w="1760" w:type="dxa"/>
          </w:tcPr>
          <w:p w14:paraId="768F35B0">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ascii="宋体" w:hAnsi="宋体" w:eastAsia="宋体" w:cs="宋体"/>
                <w:color w:val="000000" w:themeColor="text1"/>
                <w:kern w:val="0"/>
                <w:sz w:val="24"/>
                <w14:textFill>
                  <w14:solidFill>
                    <w14:schemeClr w14:val="tx1"/>
                  </w14:solidFill>
                </w14:textFill>
              </w:rPr>
              <w:t xml:space="preserve"> 多介质砂(50kg)</w:t>
            </w:r>
          </w:p>
        </w:tc>
        <w:tc>
          <w:tcPr>
            <w:tcW w:w="1320" w:type="dxa"/>
          </w:tcPr>
          <w:p w14:paraId="6F0B8DA8">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c>
          <w:tcPr>
            <w:tcW w:w="940" w:type="dxa"/>
          </w:tcPr>
          <w:p w14:paraId="29465574">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3</w:t>
            </w:r>
          </w:p>
        </w:tc>
        <w:tc>
          <w:tcPr>
            <w:tcW w:w="1654" w:type="dxa"/>
          </w:tcPr>
          <w:p w14:paraId="0A48FA84">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r>
      <w:tr w14:paraId="47CFD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vMerge w:val="restart"/>
            <w:vAlign w:val="center"/>
          </w:tcPr>
          <w:p w14:paraId="4360573E">
            <w:pPr>
              <w:widowControl/>
              <w:spacing w:line="440" w:lineRule="exact"/>
              <w:rPr>
                <w:rFonts w:hint="eastAsia" w:ascii="宋体" w:hAnsi="宋体" w:eastAsia="宋体" w:cs="宋体"/>
                <w:color w:val="000000" w:themeColor="text1"/>
                <w:kern w:val="0"/>
                <w:sz w:val="24"/>
                <w14:textFill>
                  <w14:solidFill>
                    <w14:schemeClr w14:val="tx1"/>
                  </w14:solidFill>
                </w14:textFill>
              </w:rPr>
            </w:pPr>
            <w:r>
              <w:rPr>
                <w:rFonts w:ascii="宋体" w:hAnsi="宋体" w:eastAsia="宋体" w:cs="宋体"/>
                <w:color w:val="000000" w:themeColor="text1"/>
                <w:kern w:val="0"/>
                <w:sz w:val="24"/>
                <w14:textFill>
                  <w14:solidFill>
                    <w14:schemeClr w14:val="tx1"/>
                  </w14:solidFill>
                </w14:textFill>
              </w:rPr>
              <w:t>树脂罐</w:t>
            </w:r>
          </w:p>
        </w:tc>
        <w:tc>
          <w:tcPr>
            <w:tcW w:w="1220" w:type="dxa"/>
            <w:vAlign w:val="center"/>
          </w:tcPr>
          <w:p w14:paraId="61FFC73A">
            <w:pPr>
              <w:widowControl/>
              <w:spacing w:line="440" w:lineRule="exact"/>
              <w:jc w:val="both"/>
              <w:rPr>
                <w:rFonts w:hint="eastAsia" w:ascii="宋体" w:hAnsi="宋体" w:eastAsia="宋体" w:cs="宋体"/>
                <w:color w:val="000000" w:themeColor="text1"/>
                <w:kern w:val="0"/>
                <w:sz w:val="24"/>
                <w14:textFill>
                  <w14:solidFill>
                    <w14:schemeClr w14:val="tx1"/>
                  </w14:solidFill>
                </w14:textFill>
              </w:rPr>
            </w:pPr>
          </w:p>
        </w:tc>
        <w:tc>
          <w:tcPr>
            <w:tcW w:w="1760" w:type="dxa"/>
          </w:tcPr>
          <w:p w14:paraId="2C8AF6E1">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ascii="宋体" w:hAnsi="宋体" w:eastAsia="宋体" w:cs="宋体"/>
                <w:color w:val="000000" w:themeColor="text1"/>
                <w:kern w:val="0"/>
                <w:sz w:val="24"/>
                <w14:textFill>
                  <w14:solidFill>
                    <w14:schemeClr w14:val="tx1"/>
                  </w14:solidFill>
                </w14:textFill>
              </w:rPr>
              <w:t xml:space="preserve"> 树脂(25L)</w:t>
            </w:r>
          </w:p>
        </w:tc>
        <w:tc>
          <w:tcPr>
            <w:tcW w:w="1320" w:type="dxa"/>
          </w:tcPr>
          <w:p w14:paraId="6A2DE469">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c>
          <w:tcPr>
            <w:tcW w:w="940" w:type="dxa"/>
          </w:tcPr>
          <w:p w14:paraId="7DA085B4">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39</w:t>
            </w:r>
          </w:p>
        </w:tc>
        <w:tc>
          <w:tcPr>
            <w:tcW w:w="1654" w:type="dxa"/>
          </w:tcPr>
          <w:p w14:paraId="12364A5F">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r>
      <w:tr w14:paraId="3EE13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vMerge w:val="continue"/>
          </w:tcPr>
          <w:p w14:paraId="0C1C188D">
            <w:pPr>
              <w:widowControl/>
              <w:spacing w:line="440" w:lineRule="exact"/>
              <w:rPr>
                <w:rFonts w:hint="eastAsia" w:ascii="宋体" w:hAnsi="宋体" w:eastAsia="宋体" w:cs="宋体"/>
                <w:color w:val="000000" w:themeColor="text1"/>
                <w:kern w:val="0"/>
                <w:sz w:val="24"/>
                <w14:textFill>
                  <w14:solidFill>
                    <w14:schemeClr w14:val="tx1"/>
                  </w14:solidFill>
                </w14:textFill>
              </w:rPr>
            </w:pPr>
          </w:p>
        </w:tc>
        <w:tc>
          <w:tcPr>
            <w:tcW w:w="1220" w:type="dxa"/>
            <w:vAlign w:val="center"/>
          </w:tcPr>
          <w:p w14:paraId="2CE67FF6">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c>
          <w:tcPr>
            <w:tcW w:w="1760" w:type="dxa"/>
          </w:tcPr>
          <w:p w14:paraId="21C7D6B0">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ascii="宋体" w:hAnsi="宋体" w:eastAsia="宋体" w:cs="宋体"/>
                <w:color w:val="000000" w:themeColor="text1"/>
                <w:kern w:val="0"/>
                <w:sz w:val="24"/>
                <w14:textFill>
                  <w14:solidFill>
                    <w14:schemeClr w14:val="tx1"/>
                  </w14:solidFill>
                </w14:textFill>
              </w:rPr>
              <w:t xml:space="preserve"> 多介质砂(50kg)</w:t>
            </w:r>
          </w:p>
        </w:tc>
        <w:tc>
          <w:tcPr>
            <w:tcW w:w="1320" w:type="dxa"/>
          </w:tcPr>
          <w:p w14:paraId="0A83DB02">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c>
          <w:tcPr>
            <w:tcW w:w="940" w:type="dxa"/>
          </w:tcPr>
          <w:p w14:paraId="7F75909F">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3</w:t>
            </w:r>
          </w:p>
        </w:tc>
        <w:tc>
          <w:tcPr>
            <w:tcW w:w="1654" w:type="dxa"/>
          </w:tcPr>
          <w:p w14:paraId="5C3A2D1B">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r>
      <w:tr w14:paraId="4E27F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tcPr>
          <w:p w14:paraId="61E27B56">
            <w:pPr>
              <w:widowControl/>
              <w:spacing w:line="440" w:lineRule="exact"/>
              <w:rPr>
                <w:rFonts w:hint="eastAsia" w:ascii="宋体" w:hAnsi="宋体" w:eastAsia="宋体" w:cs="宋体"/>
                <w:color w:val="000000" w:themeColor="text1"/>
                <w:kern w:val="0"/>
                <w:sz w:val="24"/>
                <w14:textFill>
                  <w14:solidFill>
                    <w14:schemeClr w14:val="tx1"/>
                  </w14:solidFill>
                </w14:textFill>
              </w:rPr>
            </w:pPr>
            <w:r>
              <w:rPr>
                <w:rFonts w:ascii="宋体" w:hAnsi="宋体" w:eastAsia="宋体" w:cs="宋体"/>
                <w:color w:val="000000" w:themeColor="text1"/>
                <w:kern w:val="0"/>
                <w:sz w:val="24"/>
                <w14:textFill>
                  <w14:solidFill>
                    <w14:schemeClr w14:val="tx1"/>
                  </w14:solidFill>
                </w14:textFill>
              </w:rPr>
              <w:t>主机潜水泵</w:t>
            </w:r>
          </w:p>
        </w:tc>
        <w:tc>
          <w:tcPr>
            <w:tcW w:w="1220" w:type="dxa"/>
            <w:vAlign w:val="center"/>
          </w:tcPr>
          <w:p w14:paraId="48A28A0D">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c>
          <w:tcPr>
            <w:tcW w:w="1760" w:type="dxa"/>
          </w:tcPr>
          <w:p w14:paraId="1E96FF93">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ascii="宋体" w:hAnsi="宋体" w:eastAsia="宋体" w:cs="宋体"/>
                <w:color w:val="000000" w:themeColor="text1"/>
                <w:kern w:val="0"/>
                <w:sz w:val="24"/>
                <w14:textFill>
                  <w14:solidFill>
                    <w14:schemeClr w14:val="tx1"/>
                  </w14:solidFill>
                </w14:textFill>
              </w:rPr>
              <w:t>SP3A-33</w:t>
            </w:r>
          </w:p>
        </w:tc>
        <w:tc>
          <w:tcPr>
            <w:tcW w:w="1320" w:type="dxa"/>
          </w:tcPr>
          <w:p w14:paraId="21D75EA1">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c>
          <w:tcPr>
            <w:tcW w:w="940" w:type="dxa"/>
          </w:tcPr>
          <w:p w14:paraId="5E56111E">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1</w:t>
            </w:r>
          </w:p>
        </w:tc>
        <w:tc>
          <w:tcPr>
            <w:tcW w:w="1654" w:type="dxa"/>
          </w:tcPr>
          <w:p w14:paraId="26DB8271">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r>
      <w:tr w14:paraId="48B1B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tcPr>
          <w:p w14:paraId="6ED5E414">
            <w:pPr>
              <w:widowControl/>
              <w:spacing w:line="440" w:lineRule="exact"/>
              <w:rPr>
                <w:rFonts w:hint="eastAsia" w:ascii="宋体" w:hAnsi="宋体" w:eastAsia="宋体" w:cs="宋体"/>
                <w:color w:val="000000" w:themeColor="text1"/>
                <w:kern w:val="0"/>
                <w:sz w:val="24"/>
                <w14:textFill>
                  <w14:solidFill>
                    <w14:schemeClr w14:val="tx1"/>
                  </w14:solidFill>
                </w14:textFill>
              </w:rPr>
            </w:pPr>
            <w:r>
              <w:rPr>
                <w:rFonts w:ascii="宋体" w:hAnsi="宋体" w:eastAsia="宋体" w:cs="宋体"/>
                <w:color w:val="000000" w:themeColor="text1"/>
                <w:kern w:val="0"/>
                <w:sz w:val="24"/>
                <w14:textFill>
                  <w14:solidFill>
                    <w14:schemeClr w14:val="tx1"/>
                  </w14:solidFill>
                </w14:textFill>
              </w:rPr>
              <w:t>主机潜水泵</w:t>
            </w:r>
          </w:p>
        </w:tc>
        <w:tc>
          <w:tcPr>
            <w:tcW w:w="1220" w:type="dxa"/>
            <w:vAlign w:val="center"/>
          </w:tcPr>
          <w:p w14:paraId="1E9BB75F">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c>
          <w:tcPr>
            <w:tcW w:w="1760" w:type="dxa"/>
          </w:tcPr>
          <w:p w14:paraId="56D684C3">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ascii="宋体" w:hAnsi="宋体" w:eastAsia="宋体" w:cs="宋体"/>
                <w:color w:val="000000" w:themeColor="text1"/>
                <w:kern w:val="0"/>
                <w:sz w:val="24"/>
                <w14:textFill>
                  <w14:solidFill>
                    <w14:schemeClr w14:val="tx1"/>
                  </w14:solidFill>
                </w14:textFill>
              </w:rPr>
              <w:t>SP3A-29</w:t>
            </w:r>
          </w:p>
        </w:tc>
        <w:tc>
          <w:tcPr>
            <w:tcW w:w="1320" w:type="dxa"/>
          </w:tcPr>
          <w:p w14:paraId="7EB01117">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c>
          <w:tcPr>
            <w:tcW w:w="940" w:type="dxa"/>
          </w:tcPr>
          <w:p w14:paraId="438CA0E8">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1</w:t>
            </w:r>
          </w:p>
        </w:tc>
        <w:tc>
          <w:tcPr>
            <w:tcW w:w="1654" w:type="dxa"/>
          </w:tcPr>
          <w:p w14:paraId="0505C05F">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r>
      <w:tr w14:paraId="2707B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2" w:hRule="atLeast"/>
        </w:trPr>
        <w:tc>
          <w:tcPr>
            <w:tcW w:w="1517" w:type="dxa"/>
          </w:tcPr>
          <w:p w14:paraId="65151EEE">
            <w:pPr>
              <w:widowControl/>
              <w:spacing w:line="440" w:lineRule="exact"/>
              <w:rPr>
                <w:rFonts w:hint="eastAsia" w:ascii="宋体" w:hAnsi="宋体" w:eastAsia="宋体" w:cs="宋体"/>
                <w:color w:val="000000" w:themeColor="text1"/>
                <w:kern w:val="0"/>
                <w:sz w:val="24"/>
                <w14:textFill>
                  <w14:solidFill>
                    <w14:schemeClr w14:val="tx1"/>
                  </w14:solidFill>
                </w14:textFill>
              </w:rPr>
            </w:pPr>
            <w:r>
              <w:rPr>
                <w:rFonts w:ascii="宋体" w:hAnsi="宋体" w:eastAsia="宋体" w:cs="宋体"/>
                <w:color w:val="000000" w:themeColor="text1"/>
                <w:kern w:val="0"/>
                <w:sz w:val="24"/>
                <w14:textFill>
                  <w14:solidFill>
                    <w14:schemeClr w14:val="tx1"/>
                  </w14:solidFill>
                </w14:textFill>
              </w:rPr>
              <w:t>前级加压泵</w:t>
            </w:r>
          </w:p>
        </w:tc>
        <w:tc>
          <w:tcPr>
            <w:tcW w:w="1220" w:type="dxa"/>
            <w:vAlign w:val="center"/>
          </w:tcPr>
          <w:p w14:paraId="76509049">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c>
          <w:tcPr>
            <w:tcW w:w="1760" w:type="dxa"/>
          </w:tcPr>
          <w:p w14:paraId="0BBC3C14">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ascii="宋体" w:hAnsi="宋体" w:eastAsia="宋体" w:cs="宋体"/>
                <w:color w:val="000000" w:themeColor="text1"/>
                <w:kern w:val="0"/>
                <w:sz w:val="24"/>
                <w14:textFill>
                  <w14:solidFill>
                    <w14:schemeClr w14:val="tx1"/>
                  </w14:solidFill>
                </w14:textFill>
              </w:rPr>
              <w:t>CM5-5</w:t>
            </w:r>
          </w:p>
        </w:tc>
        <w:tc>
          <w:tcPr>
            <w:tcW w:w="1320" w:type="dxa"/>
          </w:tcPr>
          <w:p w14:paraId="4F5992F9">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c>
          <w:tcPr>
            <w:tcW w:w="940" w:type="dxa"/>
          </w:tcPr>
          <w:p w14:paraId="3A682DC7">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2</w:t>
            </w:r>
          </w:p>
        </w:tc>
        <w:tc>
          <w:tcPr>
            <w:tcW w:w="1654" w:type="dxa"/>
          </w:tcPr>
          <w:p w14:paraId="49B10488">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r>
      <w:tr w14:paraId="46A16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tcPr>
          <w:p w14:paraId="6EC65F71">
            <w:pPr>
              <w:widowControl/>
              <w:spacing w:line="440" w:lineRule="exact"/>
              <w:rPr>
                <w:rFonts w:hint="eastAsia" w:ascii="宋体" w:hAnsi="宋体" w:eastAsia="宋体" w:cs="宋体"/>
                <w:color w:val="000000" w:themeColor="text1"/>
                <w:kern w:val="0"/>
                <w:sz w:val="24"/>
                <w14:textFill>
                  <w14:solidFill>
                    <w14:schemeClr w14:val="tx1"/>
                  </w14:solidFill>
                </w14:textFill>
              </w:rPr>
            </w:pPr>
            <w:r>
              <w:rPr>
                <w:rFonts w:ascii="宋体" w:hAnsi="宋体" w:eastAsia="宋体" w:cs="宋体"/>
                <w:color w:val="000000" w:themeColor="text1"/>
                <w:kern w:val="0"/>
                <w:sz w:val="24"/>
                <w14:textFill>
                  <w14:solidFill>
                    <w14:schemeClr w14:val="tx1"/>
                  </w14:solidFill>
                </w14:textFill>
              </w:rPr>
              <w:t>加压泵压力开关</w:t>
            </w:r>
          </w:p>
        </w:tc>
        <w:tc>
          <w:tcPr>
            <w:tcW w:w="1220" w:type="dxa"/>
            <w:vAlign w:val="center"/>
          </w:tcPr>
          <w:p w14:paraId="4B4863A4">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c>
          <w:tcPr>
            <w:tcW w:w="1760" w:type="dxa"/>
          </w:tcPr>
          <w:p w14:paraId="33237281">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ascii="宋体" w:hAnsi="宋体" w:eastAsia="宋体" w:cs="宋体"/>
                <w:color w:val="000000" w:themeColor="text1"/>
                <w:kern w:val="0"/>
                <w:sz w:val="24"/>
                <w14:textFill>
                  <w14:solidFill>
                    <w14:schemeClr w14:val="tx1"/>
                  </w14:solidFill>
                </w14:textFill>
              </w:rPr>
              <w:t>A-96848738</w:t>
            </w:r>
          </w:p>
        </w:tc>
        <w:tc>
          <w:tcPr>
            <w:tcW w:w="1320" w:type="dxa"/>
          </w:tcPr>
          <w:p w14:paraId="71EC963A">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c>
          <w:tcPr>
            <w:tcW w:w="940" w:type="dxa"/>
          </w:tcPr>
          <w:p w14:paraId="1C4C2755">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2</w:t>
            </w:r>
          </w:p>
        </w:tc>
        <w:tc>
          <w:tcPr>
            <w:tcW w:w="1654" w:type="dxa"/>
          </w:tcPr>
          <w:p w14:paraId="308DAFE3">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r>
      <w:tr w14:paraId="0D421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tcPr>
          <w:p w14:paraId="37F80C5E">
            <w:pPr>
              <w:widowControl/>
              <w:spacing w:line="440" w:lineRule="exact"/>
              <w:rPr>
                <w:rFonts w:hint="eastAsia" w:ascii="宋体" w:hAnsi="宋体" w:eastAsia="宋体" w:cs="宋体"/>
                <w:color w:val="000000" w:themeColor="text1"/>
                <w:kern w:val="0"/>
                <w:sz w:val="24"/>
                <w14:textFill>
                  <w14:solidFill>
                    <w14:schemeClr w14:val="tx1"/>
                  </w14:solidFill>
                </w14:textFill>
              </w:rPr>
            </w:pPr>
            <w:r>
              <w:rPr>
                <w:rFonts w:ascii="宋体" w:hAnsi="宋体" w:eastAsia="宋体" w:cs="宋体"/>
                <w:color w:val="000000" w:themeColor="text1"/>
                <w:kern w:val="0"/>
                <w:sz w:val="24"/>
                <w14:textFill>
                  <w14:solidFill>
                    <w14:schemeClr w14:val="tx1"/>
                  </w14:solidFill>
                </w14:textFill>
              </w:rPr>
              <w:t>连接管</w:t>
            </w:r>
          </w:p>
        </w:tc>
        <w:tc>
          <w:tcPr>
            <w:tcW w:w="1220" w:type="dxa"/>
            <w:vAlign w:val="center"/>
          </w:tcPr>
          <w:p w14:paraId="41FF33F0">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c>
          <w:tcPr>
            <w:tcW w:w="1760" w:type="dxa"/>
          </w:tcPr>
          <w:p w14:paraId="76784418">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c>
          <w:tcPr>
            <w:tcW w:w="1320" w:type="dxa"/>
          </w:tcPr>
          <w:p w14:paraId="7ED9389D">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c>
          <w:tcPr>
            <w:tcW w:w="940" w:type="dxa"/>
          </w:tcPr>
          <w:p w14:paraId="6E5DCE73">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21</w:t>
            </w:r>
          </w:p>
        </w:tc>
        <w:tc>
          <w:tcPr>
            <w:tcW w:w="1654" w:type="dxa"/>
          </w:tcPr>
          <w:p w14:paraId="1FC615E1">
            <w:pPr>
              <w:widowControl/>
              <w:spacing w:line="440" w:lineRule="exact"/>
              <w:jc w:val="center"/>
              <w:rPr>
                <w:rFonts w:hint="eastAsia" w:ascii="宋体" w:hAnsi="宋体" w:eastAsia="宋体" w:cs="宋体"/>
                <w:color w:val="000000" w:themeColor="text1"/>
                <w:kern w:val="0"/>
                <w:sz w:val="24"/>
                <w14:textFill>
                  <w14:solidFill>
                    <w14:schemeClr w14:val="tx1"/>
                  </w14:solidFill>
                </w14:textFill>
              </w:rPr>
            </w:pPr>
          </w:p>
        </w:tc>
      </w:tr>
      <w:tr w14:paraId="62BF6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2" w:hRule="atLeast"/>
        </w:trPr>
        <w:tc>
          <w:tcPr>
            <w:tcW w:w="8411" w:type="dxa"/>
            <w:gridSpan w:val="6"/>
          </w:tcPr>
          <w:p w14:paraId="3B345C22">
            <w:pPr>
              <w:widowControl/>
              <w:spacing w:line="440" w:lineRule="exact"/>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合计价款金额人民币（大写）：</w:t>
            </w:r>
            <w:r>
              <w:rPr>
                <w:rFonts w:hint="eastAsia" w:ascii="宋体" w:hAnsi="宋体" w:eastAsia="宋体" w:cs="宋体"/>
                <w:color w:val="000000" w:themeColor="text1"/>
                <w:kern w:val="0"/>
                <w:sz w:val="24"/>
                <w:u w:val="single"/>
                <w14:textFill>
                  <w14:solidFill>
                    <w14:schemeClr w14:val="tx1"/>
                  </w14:solidFill>
                </w14:textFill>
              </w:rPr>
              <w:t xml:space="preserve">      </w:t>
            </w:r>
            <w:r>
              <w:rPr>
                <w:rFonts w:hint="eastAsia" w:ascii="宋体" w:hAnsi="宋体" w:eastAsia="宋体" w:cs="宋体"/>
                <w:color w:val="000000" w:themeColor="text1"/>
                <w:kern w:val="0"/>
                <w:sz w:val="24"/>
                <w14:textFill>
                  <w14:solidFill>
                    <w14:schemeClr w14:val="tx1"/>
                  </w14:solidFill>
                </w14:textFill>
              </w:rPr>
              <w:t>元整      （小写）：</w:t>
            </w:r>
            <w:r>
              <w:rPr>
                <w:rFonts w:hint="eastAsia" w:ascii="宋体" w:hAnsi="宋体" w:eastAsia="宋体" w:cs="宋体"/>
                <w:color w:val="000000" w:themeColor="text1"/>
                <w:kern w:val="0"/>
                <w:sz w:val="24"/>
                <w:u w:val="single"/>
                <w14:textFill>
                  <w14:solidFill>
                    <w14:schemeClr w14:val="tx1"/>
                  </w14:solidFill>
                </w14:textFill>
              </w:rPr>
              <w:t xml:space="preserve">      </w:t>
            </w:r>
            <w:r>
              <w:rPr>
                <w:rFonts w:hint="eastAsia" w:ascii="宋体" w:hAnsi="宋体" w:eastAsia="宋体" w:cs="宋体"/>
                <w:color w:val="000000" w:themeColor="text1"/>
                <w:kern w:val="0"/>
                <w:sz w:val="24"/>
                <w14:textFill>
                  <w14:solidFill>
                    <w14:schemeClr w14:val="tx1"/>
                  </w14:solidFill>
                </w14:textFill>
              </w:rPr>
              <w:t>元</w:t>
            </w:r>
          </w:p>
        </w:tc>
      </w:tr>
    </w:tbl>
    <w:p w14:paraId="631D0901">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 本合同约定价格为固定总价，不因物价、市场波动变更，约定价格包括且不限于设计费、材料费、</w:t>
      </w:r>
      <w:r>
        <w:rPr>
          <w:rFonts w:hint="eastAsia" w:ascii="宋体" w:hAnsi="宋体" w:eastAsia="宋体" w:cs="宋体"/>
          <w:color w:val="000000" w:themeColor="text1"/>
          <w:sz w:val="24"/>
          <w:lang w:val="en-US" w:eastAsia="zh-CN"/>
          <w14:textFill>
            <w14:solidFill>
              <w14:schemeClr w14:val="tx1"/>
            </w14:solidFill>
          </w14:textFill>
        </w:rPr>
        <w:t>耗材</w:t>
      </w:r>
      <w:r>
        <w:rPr>
          <w:rFonts w:hint="eastAsia" w:ascii="宋体" w:hAnsi="宋体" w:eastAsia="宋体" w:cs="宋体"/>
          <w:color w:val="000000" w:themeColor="text1"/>
          <w:sz w:val="24"/>
          <w14:textFill>
            <w14:solidFill>
              <w14:schemeClr w14:val="tx1"/>
            </w14:solidFill>
          </w14:textFill>
        </w:rPr>
        <w:t xml:space="preserve">费、人工费、安装费、包装费、运输费、装卸费、调试费、检测费、检验费、税费、保险费、售后服务费、附随服务费等在内所有费用。 </w:t>
      </w:r>
    </w:p>
    <w:p w14:paraId="6BEF5CE1">
      <w:pPr>
        <w:spacing w:line="48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 乙方在维修、安装完成并经甲方在总体验收报告单上签字确认合格之前无须提供本合同约定配件的备用件给甲方免费使用。</w:t>
      </w:r>
    </w:p>
    <w:p w14:paraId="58CB04B2">
      <w:pPr>
        <w:spacing w:line="440" w:lineRule="exact"/>
        <w:ind w:firstLine="482"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 xml:space="preserve">第二条  </w:t>
      </w:r>
      <w:r>
        <w:rPr>
          <w:rFonts w:ascii="宋体" w:hAnsi="宋体" w:eastAsia="宋体" w:cs="宋体"/>
          <w:b/>
          <w:bCs/>
          <w:color w:val="000000" w:themeColor="text1"/>
          <w:sz w:val="24"/>
          <w14:textFill>
            <w14:solidFill>
              <w14:schemeClr w14:val="tx1"/>
            </w14:solidFill>
          </w14:textFill>
        </w:rPr>
        <w:t>交货时间、地点、运输</w:t>
      </w:r>
      <w:r>
        <w:rPr>
          <w:rFonts w:hint="eastAsia" w:ascii="宋体" w:hAnsi="宋体" w:eastAsia="宋体" w:cs="宋体"/>
          <w:b/>
          <w:bCs/>
          <w:color w:val="000000" w:themeColor="text1"/>
          <w:sz w:val="24"/>
          <w14:textFill>
            <w14:solidFill>
              <w14:schemeClr w14:val="tx1"/>
            </w14:solidFill>
          </w14:textFill>
        </w:rPr>
        <w:t>、</w:t>
      </w:r>
      <w:r>
        <w:rPr>
          <w:rFonts w:ascii="宋体" w:hAnsi="宋体" w:eastAsia="宋体" w:cs="宋体"/>
          <w:b/>
          <w:bCs/>
          <w:color w:val="000000" w:themeColor="text1"/>
          <w:sz w:val="24"/>
          <w14:textFill>
            <w14:solidFill>
              <w14:schemeClr w14:val="tx1"/>
            </w14:solidFill>
          </w14:textFill>
        </w:rPr>
        <w:t>装卸</w:t>
      </w:r>
      <w:r>
        <w:rPr>
          <w:rFonts w:hint="eastAsia" w:ascii="宋体" w:hAnsi="宋体" w:eastAsia="宋体" w:cs="宋体"/>
          <w:b/>
          <w:bCs/>
          <w:color w:val="000000" w:themeColor="text1"/>
          <w:sz w:val="24"/>
          <w14:textFill>
            <w14:solidFill>
              <w14:schemeClr w14:val="tx1"/>
            </w14:solidFill>
          </w14:textFill>
        </w:rPr>
        <w:t>、搬运</w:t>
      </w:r>
    </w:p>
    <w:p w14:paraId="69807121">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2.1 </w:t>
      </w:r>
      <w:r>
        <w:rPr>
          <w:rFonts w:ascii="宋体" w:hAnsi="宋体" w:eastAsia="宋体" w:cs="宋体"/>
          <w:color w:val="000000" w:themeColor="text1"/>
          <w:sz w:val="24"/>
          <w14:textFill>
            <w14:solidFill>
              <w14:schemeClr w14:val="tx1"/>
            </w14:solidFill>
          </w14:textFill>
        </w:rPr>
        <w:t>交货时间：</w:t>
      </w:r>
      <w:r>
        <w:rPr>
          <w:rFonts w:hint="eastAsia" w:ascii="宋体" w:hAnsi="宋体" w:eastAsia="宋体" w:cs="宋体"/>
          <w:color w:val="0000FF"/>
          <w:sz w:val="24"/>
          <w:szCs w:val="24"/>
          <w:highlight w:val="none"/>
          <w:u w:val="none"/>
          <w:lang w:val="en-US" w:eastAsia="zh-CN"/>
        </w:rPr>
        <w:t>本合同配件分批次交付，乙方应在每次接到甲方通知之日起</w:t>
      </w:r>
      <w:r>
        <w:rPr>
          <w:rFonts w:hint="eastAsia" w:ascii="宋体" w:hAnsi="宋体" w:eastAsia="宋体" w:cs="宋体"/>
          <w:color w:val="0000FF"/>
          <w:sz w:val="24"/>
          <w:szCs w:val="24"/>
          <w:highlight w:val="none"/>
          <w:u w:val="single"/>
          <w:lang w:val="en-US" w:eastAsia="zh-CN"/>
        </w:rPr>
        <w:t xml:space="preserve"> 3 </w:t>
      </w:r>
      <w:r>
        <w:rPr>
          <w:rFonts w:hint="eastAsia" w:ascii="宋体" w:hAnsi="宋体" w:eastAsia="宋体" w:cs="宋体"/>
          <w:color w:val="0000FF"/>
          <w:sz w:val="24"/>
          <w:szCs w:val="24"/>
          <w:highlight w:val="none"/>
          <w:u w:val="none"/>
          <w:lang w:val="en-US" w:eastAsia="zh-CN"/>
        </w:rPr>
        <w:t>日内将</w:t>
      </w:r>
      <w:r>
        <w:rPr>
          <w:rFonts w:hint="eastAsia" w:ascii="宋体" w:hAnsi="宋体" w:eastAsia="宋体" w:cs="宋体"/>
          <w:color w:val="0000FF"/>
          <w:sz w:val="24"/>
          <w:szCs w:val="24"/>
          <w:highlight w:val="none"/>
          <w:lang w:val="en-US" w:eastAsia="zh-CN"/>
        </w:rPr>
        <w:t>甲方要求的配件运至甲方指定交货地点</w:t>
      </w:r>
      <w:r>
        <w:rPr>
          <w:rFonts w:ascii="宋体" w:hAnsi="宋体" w:eastAsia="宋体" w:cs="宋体"/>
          <w:color w:val="000000" w:themeColor="text1"/>
          <w:sz w:val="24"/>
          <w14:textFill>
            <w14:solidFill>
              <w14:schemeClr w14:val="tx1"/>
            </w14:solidFill>
          </w14:textFill>
        </w:rPr>
        <w:t>。</w:t>
      </w:r>
    </w:p>
    <w:p w14:paraId="2F1A66B0">
      <w:pPr>
        <w:spacing w:line="440" w:lineRule="exact"/>
        <w:ind w:firstLine="480" w:firstLineChars="200"/>
        <w:rPr>
          <w:rFonts w:hint="eastAsia" w:ascii="宋体" w:hAnsi="宋体" w:eastAsia="宋体" w:cs="宋体"/>
          <w:color w:val="000000" w:themeColor="text1"/>
          <w:sz w:val="24"/>
          <w:u w:val="single"/>
          <w14:textFill>
            <w14:solidFill>
              <w14:schemeClr w14:val="tx1"/>
            </w14:solidFill>
          </w14:textFill>
        </w:rPr>
      </w:pPr>
      <w:r>
        <w:rPr>
          <w:rFonts w:ascii="宋体" w:hAnsi="宋体" w:eastAsia="宋体" w:cs="宋体"/>
          <w:color w:val="000000" w:themeColor="text1"/>
          <w:sz w:val="24"/>
          <w14:textFill>
            <w14:solidFill>
              <w14:schemeClr w14:val="tx1"/>
            </w14:solidFill>
          </w14:textFill>
        </w:rPr>
        <w:t>2</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2</w:t>
      </w:r>
      <w:r>
        <w:rPr>
          <w:rFonts w:hint="eastAsia" w:ascii="宋体" w:hAnsi="宋体" w:eastAsia="宋体" w:cs="宋体"/>
          <w:color w:val="000000" w:themeColor="text1"/>
          <w:sz w:val="24"/>
          <w14:textFill>
            <w14:solidFill>
              <w14:schemeClr w14:val="tx1"/>
            </w14:solidFill>
          </w14:textFill>
        </w:rPr>
        <w:t xml:space="preserve"> 甲方指定</w:t>
      </w:r>
      <w:r>
        <w:rPr>
          <w:rFonts w:ascii="宋体" w:hAnsi="宋体" w:eastAsia="宋体" w:cs="宋体"/>
          <w:color w:val="000000" w:themeColor="text1"/>
          <w:sz w:val="24"/>
          <w14:textFill>
            <w14:solidFill>
              <w14:schemeClr w14:val="tx1"/>
            </w14:solidFill>
          </w14:textFill>
        </w:rPr>
        <w:t>交货地点：</w:t>
      </w:r>
      <w:r>
        <w:rPr>
          <w:rFonts w:ascii="宋体" w:hAnsi="宋体" w:eastAsia="宋体" w:cs="宋体"/>
          <w:color w:val="000000" w:themeColor="text1"/>
          <w:sz w:val="24"/>
          <w:u w:val="single"/>
          <w14:textFill>
            <w14:solidFill>
              <w14:schemeClr w14:val="tx1"/>
            </w14:solidFill>
          </w14:textFill>
        </w:rPr>
        <w:t>湖南省娄底市</w:t>
      </w:r>
      <w:r>
        <w:rPr>
          <w:rFonts w:hint="eastAsia" w:ascii="宋体" w:hAnsi="宋体" w:eastAsia="宋体" w:cs="宋体"/>
          <w:color w:val="000000" w:themeColor="text1"/>
          <w:sz w:val="24"/>
          <w:u w:val="single"/>
          <w14:textFill>
            <w14:solidFill>
              <w14:schemeClr w14:val="tx1"/>
            </w14:solidFill>
          </w14:textFill>
        </w:rPr>
        <w:t>娄星区</w:t>
      </w:r>
      <w:r>
        <w:rPr>
          <w:rFonts w:ascii="宋体" w:hAnsi="宋体" w:eastAsia="宋体" w:cs="宋体"/>
          <w:color w:val="000000" w:themeColor="text1"/>
          <w:sz w:val="24"/>
          <w:u w:val="single"/>
          <w14:textFill>
            <w14:solidFill>
              <w14:schemeClr w14:val="tx1"/>
            </w14:solidFill>
          </w14:textFill>
        </w:rPr>
        <w:t>长青中街51号</w:t>
      </w:r>
      <w:r>
        <w:rPr>
          <w:rFonts w:hint="eastAsia" w:ascii="宋体" w:hAnsi="宋体" w:eastAsia="宋体" w:cs="宋体"/>
          <w:color w:val="000000" w:themeColor="text1"/>
          <w:sz w:val="24"/>
          <w:u w:val="single"/>
          <w14:textFill>
            <w14:solidFill>
              <w14:schemeClr w14:val="tx1"/>
            </w14:solidFill>
          </w14:textFill>
        </w:rPr>
        <w:t xml:space="preserve"> </w:t>
      </w:r>
      <w:r>
        <w:rPr>
          <w:rFonts w:ascii="宋体" w:hAnsi="宋体" w:eastAsia="宋体" w:cs="宋体"/>
          <w:color w:val="000000" w:themeColor="text1"/>
          <w:sz w:val="24"/>
          <w:u w:val="single"/>
          <w14:textFill>
            <w14:solidFill>
              <w14:schemeClr w14:val="tx1"/>
            </w14:solidFill>
          </w14:textFill>
        </w:rPr>
        <w:t>娄底市中心医院</w:t>
      </w:r>
      <w:r>
        <w:rPr>
          <w:rFonts w:hint="eastAsia" w:ascii="宋体" w:hAnsi="宋体" w:eastAsia="宋体" w:cs="宋体"/>
          <w:color w:val="000000" w:themeColor="text1"/>
          <w:sz w:val="24"/>
          <w:u w:val="single"/>
          <w14:textFill>
            <w14:solidFill>
              <w14:schemeClr w14:val="tx1"/>
            </w14:solidFill>
          </w14:textFill>
        </w:rPr>
        <w:t>血液净化中心</w:t>
      </w:r>
      <w:r>
        <w:rPr>
          <w:rFonts w:ascii="宋体" w:hAnsi="宋体" w:eastAsia="宋体" w:cs="宋体"/>
          <w:color w:val="000000" w:themeColor="text1"/>
          <w:sz w:val="24"/>
          <w:u w:val="single"/>
          <w14:textFill>
            <w14:solidFill>
              <w14:schemeClr w14:val="tx1"/>
            </w14:solidFill>
          </w14:textFill>
        </w:rPr>
        <w:t xml:space="preserve">。 </w:t>
      </w:r>
    </w:p>
    <w:p w14:paraId="22E22CCE">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w:t>
      </w:r>
      <w:r>
        <w:rPr>
          <w:rFonts w:hint="eastAsia" w:ascii="宋体" w:hAnsi="宋体" w:eastAsia="宋体" w:cs="宋体"/>
          <w:color w:val="000000" w:themeColor="text1"/>
          <w:sz w:val="24"/>
          <w:lang w:val="en-US" w:eastAsia="zh-CN"/>
          <w14:textFill>
            <w14:solidFill>
              <w14:schemeClr w14:val="tx1"/>
            </w14:solidFill>
          </w14:textFill>
        </w:rPr>
        <w:t>3</w:t>
      </w:r>
      <w:r>
        <w:rPr>
          <w:rFonts w:hint="eastAsia" w:ascii="宋体" w:hAnsi="宋体" w:eastAsia="宋体" w:cs="宋体"/>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运输</w:t>
      </w:r>
      <w:r>
        <w:rPr>
          <w:rFonts w:hint="eastAsia" w:ascii="宋体" w:hAnsi="宋体" w:eastAsia="宋体" w:cs="宋体"/>
          <w:color w:val="000000" w:themeColor="text1"/>
          <w:sz w:val="24"/>
          <w14:textFill>
            <w14:solidFill>
              <w14:schemeClr w14:val="tx1"/>
            </w14:solidFill>
          </w14:textFill>
        </w:rPr>
        <w:t>、</w:t>
      </w:r>
      <w:r>
        <w:rPr>
          <w:rFonts w:ascii="宋体" w:hAnsi="宋体" w:eastAsia="宋体" w:cs="宋体"/>
          <w:color w:val="000000" w:themeColor="text1"/>
          <w:sz w:val="24"/>
          <w14:textFill>
            <w14:solidFill>
              <w14:schemeClr w14:val="tx1"/>
            </w14:solidFill>
          </w14:textFill>
        </w:rPr>
        <w:t>装卸</w:t>
      </w:r>
      <w:r>
        <w:rPr>
          <w:rFonts w:hint="eastAsia" w:ascii="宋体" w:hAnsi="宋体" w:eastAsia="宋体" w:cs="宋体"/>
          <w:color w:val="000000" w:themeColor="text1"/>
          <w:sz w:val="24"/>
          <w14:textFill>
            <w14:solidFill>
              <w14:schemeClr w14:val="tx1"/>
            </w14:solidFill>
          </w14:textFill>
        </w:rPr>
        <w:t>、搬运</w:t>
      </w:r>
      <w:r>
        <w:rPr>
          <w:rFonts w:ascii="宋体" w:hAnsi="宋体" w:eastAsia="宋体" w:cs="宋体"/>
          <w:color w:val="000000" w:themeColor="text1"/>
          <w:sz w:val="24"/>
          <w14:textFill>
            <w14:solidFill>
              <w14:schemeClr w14:val="tx1"/>
            </w14:solidFill>
          </w14:textFill>
        </w:rPr>
        <w:t>：由乙方自备交通运输工具将</w:t>
      </w:r>
      <w:r>
        <w:rPr>
          <w:rFonts w:hint="eastAsia" w:ascii="宋体" w:hAnsi="宋体" w:eastAsia="宋体" w:cs="宋体"/>
          <w:color w:val="000000" w:themeColor="text1"/>
          <w:sz w:val="24"/>
          <w14:textFill>
            <w14:solidFill>
              <w14:schemeClr w14:val="tx1"/>
            </w14:solidFill>
          </w14:textFill>
        </w:rPr>
        <w:t>配件</w:t>
      </w:r>
      <w:r>
        <w:rPr>
          <w:rFonts w:ascii="宋体" w:hAnsi="宋体" w:eastAsia="宋体" w:cs="宋体"/>
          <w:color w:val="000000" w:themeColor="text1"/>
          <w:sz w:val="24"/>
          <w14:textFill>
            <w14:solidFill>
              <w14:schemeClr w14:val="tx1"/>
            </w14:solidFill>
          </w14:textFill>
        </w:rPr>
        <w:t>运至合同约定地点，并负责</w:t>
      </w:r>
      <w:r>
        <w:rPr>
          <w:rFonts w:hint="eastAsia" w:ascii="宋体" w:hAnsi="宋体" w:eastAsia="宋体" w:cs="宋体"/>
          <w:color w:val="000000" w:themeColor="text1"/>
          <w:sz w:val="24"/>
          <w14:textFill>
            <w14:solidFill>
              <w14:schemeClr w14:val="tx1"/>
            </w14:solidFill>
          </w14:textFill>
        </w:rPr>
        <w:t>配件</w:t>
      </w:r>
      <w:r>
        <w:rPr>
          <w:rFonts w:ascii="宋体" w:hAnsi="宋体" w:eastAsia="宋体" w:cs="宋体"/>
          <w:color w:val="000000" w:themeColor="text1"/>
          <w:sz w:val="24"/>
          <w14:textFill>
            <w14:solidFill>
              <w14:schemeClr w14:val="tx1"/>
            </w14:solidFill>
          </w14:textFill>
        </w:rPr>
        <w:t>装卸</w:t>
      </w:r>
      <w:r>
        <w:rPr>
          <w:rFonts w:hint="eastAsia" w:ascii="宋体" w:hAnsi="宋体" w:eastAsia="宋体" w:cs="宋体"/>
          <w:color w:val="000000" w:themeColor="text1"/>
          <w:sz w:val="24"/>
          <w14:textFill>
            <w14:solidFill>
              <w14:schemeClr w14:val="tx1"/>
            </w14:solidFill>
          </w14:textFill>
        </w:rPr>
        <w:t>、搬运的人工及费用</w:t>
      </w:r>
      <w:r>
        <w:rPr>
          <w:rFonts w:ascii="宋体" w:hAnsi="宋体" w:eastAsia="宋体" w:cs="宋体"/>
          <w:color w:val="000000" w:themeColor="text1"/>
          <w:sz w:val="24"/>
          <w14:textFill>
            <w14:solidFill>
              <w14:schemeClr w14:val="tx1"/>
            </w14:solidFill>
          </w14:textFill>
        </w:rPr>
        <w:t>。</w:t>
      </w:r>
    </w:p>
    <w:p w14:paraId="59DD9D85">
      <w:pPr>
        <w:spacing w:line="440" w:lineRule="exact"/>
        <w:ind w:firstLine="482"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第三条 质量标准、质量验收、包装要求</w:t>
      </w:r>
    </w:p>
    <w:p w14:paraId="25F0EA7C">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3.1 质量标准：乙方提供配件的质量、安装应符合或优于国家标准；如投标文件/响应文件中的技术参数和质量标准高于国家标准，则配件的技术参数和质量标准以投标文件/响应文件为准。</w:t>
      </w:r>
    </w:p>
    <w:p w14:paraId="2660517E">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3.2 质量验收：以本合同约定标准按以下方式进行</w:t>
      </w:r>
      <w:r>
        <w:rPr>
          <w:rFonts w:hint="eastAsia" w:ascii="宋体" w:hAnsi="宋体" w:eastAsia="宋体" w:cs="宋体"/>
          <w:color w:val="0000FF"/>
          <w:sz w:val="24"/>
          <w:lang w:val="en-US" w:eastAsia="zh-CN"/>
        </w:rPr>
        <w:t>分批次</w:t>
      </w:r>
      <w:r>
        <w:rPr>
          <w:rFonts w:hint="eastAsia" w:ascii="宋体" w:hAnsi="宋体" w:eastAsia="宋体" w:cs="宋体"/>
          <w:color w:val="000000" w:themeColor="text1"/>
          <w:sz w:val="24"/>
          <w14:textFill>
            <w14:solidFill>
              <w14:schemeClr w14:val="tx1"/>
            </w14:solidFill>
          </w14:textFill>
        </w:rPr>
        <w:t xml:space="preserve">验收： </w:t>
      </w:r>
    </w:p>
    <w:p w14:paraId="58231C53">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3.2.1 到货验收：乙方将</w:t>
      </w:r>
      <w:r>
        <w:rPr>
          <w:rFonts w:hint="eastAsia" w:ascii="宋体" w:hAnsi="宋体" w:eastAsia="宋体" w:cs="宋体"/>
          <w:color w:val="0000FF"/>
          <w:sz w:val="24"/>
          <w:lang w:val="en-US" w:eastAsia="zh-CN"/>
        </w:rPr>
        <w:t>甲方要求的每批次</w:t>
      </w:r>
      <w:r>
        <w:rPr>
          <w:rFonts w:hint="eastAsia" w:ascii="宋体" w:hAnsi="宋体" w:eastAsia="宋体" w:cs="宋体"/>
          <w:color w:val="000000" w:themeColor="text1"/>
          <w:sz w:val="24"/>
          <w14:textFill>
            <w14:solidFill>
              <w14:schemeClr w14:val="tx1"/>
            </w14:solidFill>
          </w14:textFill>
        </w:rPr>
        <w:t>配件运至指定交货地点后，应通知甲方，并向甲方提供厂家标准资料文件（进口配件需提供真实有效的海关报关单，其他配件需提供产品合格证</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FF"/>
          <w:sz w:val="24"/>
          <w:lang w:val="en-US" w:eastAsia="zh-CN"/>
        </w:rPr>
        <w:t>前述配件提供资料均应符合采购需求要求</w:t>
      </w:r>
      <w:r>
        <w:rPr>
          <w:rFonts w:hint="eastAsia" w:ascii="宋体" w:hAnsi="宋体" w:eastAsia="宋体" w:cs="宋体"/>
          <w:color w:val="000000" w:themeColor="text1"/>
          <w:sz w:val="24"/>
          <w14:textFill>
            <w14:solidFill>
              <w14:schemeClr w14:val="tx1"/>
            </w14:solidFill>
          </w14:textFill>
        </w:rPr>
        <w:t>）和原厂售后质保承诺书。甲方自接到乙方通知之日起</w:t>
      </w:r>
      <w:r>
        <w:rPr>
          <w:rFonts w:hint="eastAsia" w:ascii="宋体" w:hAnsi="宋体" w:eastAsia="宋体" w:cs="宋体"/>
          <w:color w:val="000000" w:themeColor="text1"/>
          <w:sz w:val="24"/>
          <w:u w:val="single"/>
          <w14:textFill>
            <w14:solidFill>
              <w14:schemeClr w14:val="tx1"/>
            </w14:solidFill>
          </w14:textFill>
        </w:rPr>
        <w:t xml:space="preserve"> 7</w:t>
      </w:r>
      <w:r>
        <w:rPr>
          <w:rFonts w:hint="eastAsia" w:ascii="宋体" w:hAnsi="宋体" w:eastAsia="宋体" w:cs="宋体"/>
          <w:color w:val="000000" w:themeColor="text1"/>
          <w:sz w:val="24"/>
          <w14:textFill>
            <w14:solidFill>
              <w14:schemeClr w14:val="tx1"/>
            </w14:solidFill>
          </w14:textFill>
        </w:rPr>
        <w:t>日内组织人员对</w:t>
      </w:r>
      <w:r>
        <w:rPr>
          <w:rFonts w:hint="eastAsia" w:ascii="宋体" w:hAnsi="宋体" w:eastAsia="宋体" w:cs="宋体"/>
          <w:color w:val="0000FF"/>
          <w:sz w:val="24"/>
          <w:lang w:val="en-US" w:eastAsia="zh-CN"/>
        </w:rPr>
        <w:t>该批次</w:t>
      </w:r>
      <w:r>
        <w:rPr>
          <w:rFonts w:hint="eastAsia" w:ascii="宋体" w:hAnsi="宋体" w:eastAsia="宋体" w:cs="宋体"/>
          <w:color w:val="000000" w:themeColor="text1"/>
          <w:sz w:val="24"/>
          <w14:textFill>
            <w14:solidFill>
              <w14:schemeClr w14:val="tx1"/>
            </w14:solidFill>
          </w14:textFill>
        </w:rPr>
        <w:t>配件按合同约定及厂家出厂装箱单进行到货验收，经甲方验收合格</w:t>
      </w:r>
      <w:r>
        <w:rPr>
          <w:rFonts w:hint="eastAsia" w:ascii="宋体" w:hAnsi="宋体" w:eastAsia="宋体" w:cs="宋体"/>
          <w:color w:val="000000" w:themeColor="text1"/>
          <w:sz w:val="24"/>
          <w:lang w:val="en-US" w:eastAsia="zh-CN"/>
          <w14:textFill>
            <w14:solidFill>
              <w14:schemeClr w14:val="tx1"/>
            </w14:solidFill>
          </w14:textFill>
        </w:rPr>
        <w:t>并</w:t>
      </w:r>
      <w:r>
        <w:rPr>
          <w:rFonts w:hint="eastAsia" w:ascii="宋体" w:hAnsi="宋体" w:eastAsia="宋体" w:cs="宋体"/>
          <w:color w:val="000000" w:themeColor="text1"/>
          <w:sz w:val="24"/>
          <w14:textFill>
            <w14:solidFill>
              <w14:schemeClr w14:val="tx1"/>
            </w14:solidFill>
          </w14:textFill>
        </w:rPr>
        <w:t>签署验收报告单后，乙方方可进行现场拆包、安装、调试、培训。如经甲方验收不合格，乙方应在</w:t>
      </w:r>
      <w:r>
        <w:rPr>
          <w:rFonts w:hint="eastAsia" w:ascii="宋体" w:hAnsi="宋体" w:eastAsia="宋体" w:cs="宋体"/>
          <w:color w:val="000000" w:themeColor="text1"/>
          <w:sz w:val="24"/>
          <w:u w:val="single"/>
          <w14:textFill>
            <w14:solidFill>
              <w14:schemeClr w14:val="tx1"/>
            </w14:solidFill>
          </w14:textFill>
        </w:rPr>
        <w:t xml:space="preserve"> 7</w:t>
      </w:r>
      <w:r>
        <w:rPr>
          <w:rFonts w:hint="eastAsia" w:ascii="宋体" w:hAnsi="宋体" w:eastAsia="宋体" w:cs="宋体"/>
          <w:color w:val="000000" w:themeColor="text1"/>
          <w:sz w:val="24"/>
          <w14:textFill>
            <w14:solidFill>
              <w14:schemeClr w14:val="tx1"/>
            </w14:solidFill>
          </w14:textFill>
        </w:rPr>
        <w:t>日内无条件予以更换。</w:t>
      </w:r>
    </w:p>
    <w:p w14:paraId="560275EA">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3.2.2 总体验收：乙方将</w:t>
      </w:r>
      <w:r>
        <w:rPr>
          <w:rFonts w:hint="eastAsia" w:ascii="宋体" w:hAnsi="宋体" w:eastAsia="宋体" w:cs="宋体"/>
          <w:color w:val="0000FF"/>
          <w:sz w:val="24"/>
          <w:lang w:val="en-US" w:eastAsia="zh-CN"/>
        </w:rPr>
        <w:t>该批次</w:t>
      </w:r>
      <w:r>
        <w:rPr>
          <w:rFonts w:hint="eastAsia" w:ascii="宋体" w:hAnsi="宋体" w:eastAsia="宋体" w:cs="宋体"/>
          <w:color w:val="000000" w:themeColor="text1"/>
          <w:sz w:val="24"/>
          <w14:textFill>
            <w14:solidFill>
              <w14:schemeClr w14:val="tx1"/>
            </w14:solidFill>
          </w14:textFill>
        </w:rPr>
        <w:t>配件全部拆包、安装、调试、培训后应及时通知甲方，甲方自接到乙方通知之日起</w:t>
      </w:r>
      <w:r>
        <w:rPr>
          <w:rFonts w:hint="eastAsia" w:ascii="宋体" w:hAnsi="宋体" w:eastAsia="宋体" w:cs="宋体"/>
          <w:color w:val="000000" w:themeColor="text1"/>
          <w:sz w:val="24"/>
          <w:u w:val="single"/>
          <w14:textFill>
            <w14:solidFill>
              <w14:schemeClr w14:val="tx1"/>
            </w14:solidFill>
          </w14:textFill>
        </w:rPr>
        <w:t>7</w:t>
      </w:r>
      <w:r>
        <w:rPr>
          <w:rFonts w:hint="eastAsia" w:ascii="宋体" w:hAnsi="宋体" w:eastAsia="宋体" w:cs="宋体"/>
          <w:color w:val="000000" w:themeColor="text1"/>
          <w:sz w:val="24"/>
          <w14:textFill>
            <w14:solidFill>
              <w14:schemeClr w14:val="tx1"/>
            </w14:solidFill>
          </w14:textFill>
        </w:rPr>
        <w:t>日内自行组织或委托第三方进行总体验收，验收合格</w:t>
      </w:r>
      <w:r>
        <w:rPr>
          <w:rFonts w:hint="eastAsia" w:ascii="宋体" w:hAnsi="宋体" w:eastAsia="宋体" w:cs="宋体"/>
          <w:color w:val="FF0000"/>
          <w:sz w:val="24"/>
          <w:lang w:val="en-US" w:eastAsia="zh-CN"/>
        </w:rPr>
        <w:t>后在</w:t>
      </w:r>
      <w:r>
        <w:rPr>
          <w:rFonts w:hint="eastAsia" w:ascii="宋体" w:hAnsi="宋体" w:eastAsia="宋体" w:cs="宋体"/>
          <w:color w:val="FF0000"/>
          <w:sz w:val="24"/>
        </w:rPr>
        <w:t>总体验收报告</w:t>
      </w:r>
      <w:r>
        <w:rPr>
          <w:rFonts w:hint="eastAsia" w:ascii="宋体" w:hAnsi="宋体" w:eastAsia="宋体" w:cs="宋体"/>
          <w:color w:val="FF0000"/>
          <w:sz w:val="24"/>
          <w:lang w:val="en-US" w:eastAsia="zh-CN"/>
        </w:rPr>
        <w:t>单上签字确认</w:t>
      </w:r>
      <w:r>
        <w:rPr>
          <w:rFonts w:hint="eastAsia" w:ascii="宋体" w:hAnsi="宋体" w:eastAsia="宋体" w:cs="宋体"/>
          <w:color w:val="000000" w:themeColor="text1"/>
          <w:sz w:val="24"/>
          <w:lang w:val="en-US" w:eastAsia="zh-CN"/>
          <w14:textFill>
            <w14:solidFill>
              <w14:schemeClr w14:val="tx1"/>
            </w14:solidFill>
          </w14:textFill>
        </w:rPr>
        <w:t>合格</w:t>
      </w:r>
      <w:r>
        <w:rPr>
          <w:rFonts w:hint="eastAsia" w:ascii="宋体" w:hAnsi="宋体" w:eastAsia="宋体" w:cs="宋体"/>
          <w:color w:val="000000" w:themeColor="text1"/>
          <w:sz w:val="24"/>
          <w14:textFill>
            <w14:solidFill>
              <w14:schemeClr w14:val="tx1"/>
            </w14:solidFill>
          </w14:textFill>
        </w:rPr>
        <w:t>。如经甲方或第三方验收不合格，乙方应在</w:t>
      </w:r>
      <w:r>
        <w:rPr>
          <w:rFonts w:hint="eastAsia" w:ascii="宋体" w:hAnsi="宋体" w:eastAsia="宋体" w:cs="宋体"/>
          <w:color w:val="000000" w:themeColor="text1"/>
          <w:sz w:val="24"/>
          <w:u w:val="single"/>
          <w14:textFill>
            <w14:solidFill>
              <w14:schemeClr w14:val="tx1"/>
            </w14:solidFill>
          </w14:textFill>
        </w:rPr>
        <w:t xml:space="preserve"> 7</w:t>
      </w:r>
      <w:r>
        <w:rPr>
          <w:rFonts w:hint="eastAsia" w:ascii="宋体" w:hAnsi="宋体" w:eastAsia="宋体" w:cs="宋体"/>
          <w:color w:val="000000" w:themeColor="text1"/>
          <w:sz w:val="24"/>
          <w14:textFill>
            <w14:solidFill>
              <w14:schemeClr w14:val="tx1"/>
            </w14:solidFill>
          </w14:textFill>
        </w:rPr>
        <w:t>日内无条件予以返工并承担所有费用。</w:t>
      </w:r>
    </w:p>
    <w:p w14:paraId="37728313">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3.2.3 甲方验收时如发现乙方所交付、安装的</w:t>
      </w:r>
      <w:r>
        <w:rPr>
          <w:rFonts w:hint="eastAsia" w:ascii="宋体" w:hAnsi="宋体" w:eastAsia="宋体" w:cs="宋体"/>
          <w:color w:val="0000FF"/>
          <w:sz w:val="24"/>
          <w:lang w:val="en-US" w:eastAsia="zh-CN"/>
        </w:rPr>
        <w:t>该批次</w:t>
      </w:r>
      <w:r>
        <w:rPr>
          <w:rFonts w:hint="eastAsia" w:ascii="宋体" w:hAnsi="宋体" w:eastAsia="宋体" w:cs="宋体"/>
          <w:color w:val="000000" w:themeColor="text1"/>
          <w:sz w:val="24"/>
          <w14:textFill>
            <w14:solidFill>
              <w14:schemeClr w14:val="tx1"/>
            </w14:solidFill>
          </w14:textFill>
        </w:rPr>
        <w:t>配件不符合本合同约定，甲方应做出详尽的现场记录，由甲乙双方签署备忘录，该现场记录和备忘录作为乙方补交缺少部件、更换不</w:t>
      </w:r>
      <w:r>
        <w:rPr>
          <w:rFonts w:hint="eastAsia" w:ascii="宋体" w:hAnsi="宋体" w:eastAsia="宋体" w:cs="宋体"/>
          <w:color w:val="000000" w:themeColor="text1"/>
          <w:sz w:val="24"/>
          <w:lang w:eastAsia="zh-CN"/>
          <w14:textFill>
            <w14:solidFill>
              <w14:schemeClr w14:val="tx1"/>
            </w14:solidFill>
          </w14:textFill>
        </w:rPr>
        <w:t>符合</w:t>
      </w:r>
      <w:r>
        <w:rPr>
          <w:rFonts w:hint="eastAsia" w:ascii="宋体" w:hAnsi="宋体" w:eastAsia="宋体" w:cs="宋体"/>
          <w:color w:val="000000" w:themeColor="text1"/>
          <w:sz w:val="24"/>
          <w14:textFill>
            <w14:solidFill>
              <w14:schemeClr w14:val="tx1"/>
            </w14:solidFill>
          </w14:textFill>
        </w:rPr>
        <w:t>标准部件的有效依据，由此产生的一切经济损失由乙方承担。</w:t>
      </w:r>
    </w:p>
    <w:p w14:paraId="3F1B4D6A">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3.3 包装要求：乙方提供的配件必须为原厂包装，外包装到货时应保证完好无损，否则甲方有权拒绝收货，由此造成的延期交货违约责任和一切经济损失全部由乙方承担。</w:t>
      </w:r>
    </w:p>
    <w:p w14:paraId="1575A95C">
      <w:pPr>
        <w:spacing w:line="440" w:lineRule="exact"/>
        <w:ind w:firstLine="482"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第四条 安装、培训等事项</w:t>
      </w:r>
    </w:p>
    <w:p w14:paraId="5DEEFDB2">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4.1 甲方负责协调、处理与安装、调试有关事宜，为乙方创造良好的安装、调试环境。</w:t>
      </w:r>
    </w:p>
    <w:p w14:paraId="3487763F">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4.2 甲方委派</w:t>
      </w:r>
      <w:r>
        <w:rPr>
          <w:rFonts w:hint="eastAsia" w:ascii="宋体" w:hAnsi="宋体" w:eastAsia="宋体" w:cs="宋体"/>
          <w:color w:val="000000" w:themeColor="text1"/>
          <w:sz w:val="24"/>
          <w:u w:val="single"/>
          <w14:textFill>
            <w14:solidFill>
              <w14:schemeClr w14:val="tx1"/>
            </w14:solidFill>
          </w14:textFill>
        </w:rPr>
        <w:t xml:space="preserve"> 朱权 </w:t>
      </w:r>
      <w:r>
        <w:rPr>
          <w:rFonts w:hint="eastAsia" w:ascii="宋体" w:hAnsi="宋体" w:eastAsia="宋体" w:cs="宋体"/>
          <w:color w:val="000000" w:themeColor="text1"/>
          <w:sz w:val="24"/>
          <w14:textFill>
            <w14:solidFill>
              <w14:schemeClr w14:val="tx1"/>
            </w14:solidFill>
          </w14:textFill>
        </w:rPr>
        <w:t>作为代表，跟踪、检查安装、调试现场。</w:t>
      </w:r>
    </w:p>
    <w:p w14:paraId="4BD02DE5">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4.3 乙方负责对甲方的操作人员进行免费培训。</w:t>
      </w:r>
    </w:p>
    <w:p w14:paraId="0C7D9052">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4.4 乙方在安装、调试过程中应加强操作人员的安全教育，杜绝安全事故的发生。 </w:t>
      </w:r>
    </w:p>
    <w:p w14:paraId="4816635E">
      <w:pPr>
        <w:spacing w:line="440" w:lineRule="exact"/>
        <w:ind w:firstLine="482"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第五条 售后服务</w:t>
      </w:r>
    </w:p>
    <w:p w14:paraId="1DEEF53A">
      <w:pPr>
        <w:widowControl/>
        <w:numPr>
          <w:ilvl w:val="255"/>
          <w:numId w:val="0"/>
        </w:num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5.1 本合同</w:t>
      </w:r>
      <w:r>
        <w:rPr>
          <w:rFonts w:hint="eastAsia" w:ascii="宋体" w:hAnsi="宋体" w:eastAsia="宋体" w:cs="宋体"/>
          <w:color w:val="0000FF"/>
          <w:sz w:val="24"/>
          <w:lang w:val="en-US" w:eastAsia="zh-CN"/>
        </w:rPr>
        <w:t>每批次</w:t>
      </w:r>
      <w:r>
        <w:rPr>
          <w:rFonts w:hint="eastAsia" w:ascii="宋体" w:hAnsi="宋体" w:eastAsia="宋体" w:cs="宋体"/>
          <w:color w:val="000000" w:themeColor="text1"/>
          <w:sz w:val="24"/>
          <w14:textFill>
            <w14:solidFill>
              <w14:schemeClr w14:val="tx1"/>
            </w14:solidFill>
          </w14:textFill>
        </w:rPr>
        <w:t>配件质保期为</w:t>
      </w:r>
      <w:r>
        <w:rPr>
          <w:rFonts w:hint="eastAsia" w:ascii="宋体" w:hAnsi="宋体" w:eastAsia="宋体" w:cs="宋体"/>
          <w:color w:val="000000" w:themeColor="text1"/>
          <w:sz w:val="24"/>
          <w:u w:val="single"/>
          <w14:textFill>
            <w14:solidFill>
              <w14:schemeClr w14:val="tx1"/>
            </w14:solidFill>
          </w14:textFill>
        </w:rPr>
        <w:t xml:space="preserve"> 壹</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FF"/>
          <w:sz w:val="24"/>
          <w:lang w:val="en-US" w:eastAsia="zh-CN"/>
        </w:rPr>
        <w:t>自甲方在该批次总体验收报告单上签字确认合格之日起开始计算</w:t>
      </w:r>
      <w:r>
        <w:rPr>
          <w:rFonts w:hint="eastAsia" w:ascii="宋体" w:hAnsi="宋体" w:eastAsia="宋体" w:cs="宋体"/>
          <w:color w:val="000000" w:themeColor="text1"/>
          <w:sz w:val="24"/>
          <w14:textFill>
            <w14:solidFill>
              <w14:schemeClr w14:val="tx1"/>
            </w14:solidFill>
          </w14:textFill>
        </w:rPr>
        <w:t>。</w:t>
      </w:r>
    </w:p>
    <w:p w14:paraId="73427102">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5.2 乙方在质保期内免费提供技术服务。如配件在质保期内出现质量问题</w:t>
      </w:r>
      <w:r>
        <w:rPr>
          <w:rFonts w:hint="eastAsia" w:ascii="宋体" w:hAnsi="宋体" w:eastAsia="宋体" w:cs="宋体"/>
          <w:color w:val="0000FF"/>
          <w:sz w:val="24"/>
          <w:lang w:val="en-US" w:eastAsia="zh-CN"/>
        </w:rPr>
        <w:t>或安装配件</w:t>
      </w:r>
      <w:r>
        <w:rPr>
          <w:rFonts w:hint="eastAsia" w:ascii="宋体" w:hAnsi="宋体" w:eastAsia="宋体" w:cs="宋体"/>
          <w:color w:val="FF0000"/>
          <w:sz w:val="24"/>
          <w:lang w:val="en-US" w:eastAsia="zh-CN"/>
        </w:rPr>
        <w:t>后</w:t>
      </w:r>
      <w:r>
        <w:rPr>
          <w:rFonts w:hint="eastAsia" w:ascii="宋体" w:hAnsi="宋体" w:eastAsia="宋体" w:cs="宋体"/>
          <w:color w:val="0000FF"/>
          <w:sz w:val="24"/>
          <w:lang w:val="en-US" w:eastAsia="zh-CN"/>
        </w:rPr>
        <w:t>设备水质不符合SOP标准</w:t>
      </w:r>
      <w:r>
        <w:rPr>
          <w:rFonts w:hint="eastAsia" w:ascii="宋体" w:hAnsi="宋体" w:eastAsia="宋体" w:cs="宋体"/>
          <w:color w:val="000000" w:themeColor="text1"/>
          <w:sz w:val="24"/>
          <w14:textFill>
            <w14:solidFill>
              <w14:schemeClr w14:val="tx1"/>
            </w14:solidFill>
          </w14:textFill>
        </w:rPr>
        <w:t>，乙方应在接到甲方通知（包括电话通知）后</w:t>
      </w:r>
      <w:r>
        <w:rPr>
          <w:rFonts w:hint="eastAsia" w:ascii="宋体" w:hAnsi="宋体" w:eastAsia="宋体" w:cs="宋体"/>
          <w:color w:val="000000" w:themeColor="text1"/>
          <w:sz w:val="24"/>
          <w:u w:val="single"/>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小时内响应，响应后</w:t>
      </w:r>
      <w:r>
        <w:rPr>
          <w:rFonts w:hint="eastAsia" w:ascii="宋体" w:hAnsi="宋体" w:eastAsia="宋体" w:cs="宋体"/>
          <w:color w:val="000000" w:themeColor="text1"/>
          <w:sz w:val="24"/>
          <w:u w:val="single"/>
          <w14:textFill>
            <w14:solidFill>
              <w14:schemeClr w14:val="tx1"/>
            </w14:solidFill>
          </w14:textFill>
        </w:rPr>
        <w:t>24</w:t>
      </w:r>
      <w:r>
        <w:rPr>
          <w:rFonts w:hint="eastAsia" w:ascii="宋体" w:hAnsi="宋体" w:eastAsia="宋体" w:cs="宋体"/>
          <w:color w:val="000000" w:themeColor="text1"/>
          <w:sz w:val="24"/>
          <w14:textFill>
            <w14:solidFill>
              <w14:schemeClr w14:val="tx1"/>
            </w14:solidFill>
          </w14:textFill>
        </w:rPr>
        <w:t>小时内赶到甲方提供</w:t>
      </w:r>
      <w:r>
        <w:rPr>
          <w:rFonts w:hint="eastAsia" w:ascii="宋体" w:hAnsi="宋体" w:eastAsia="宋体" w:cs="宋体"/>
          <w:color w:val="0000FF"/>
          <w:sz w:val="24"/>
          <w:lang w:val="en-US" w:eastAsia="zh-CN"/>
        </w:rPr>
        <w:t>维修、更换等服务并保障设备水质符合SOP标准</w:t>
      </w:r>
      <w:r>
        <w:rPr>
          <w:rFonts w:hint="eastAsia" w:ascii="宋体" w:hAnsi="宋体" w:eastAsia="宋体" w:cs="宋体"/>
          <w:color w:val="000000" w:themeColor="text1"/>
          <w:sz w:val="24"/>
          <w14:textFill>
            <w14:solidFill>
              <w14:schemeClr w14:val="tx1"/>
            </w14:solidFill>
          </w14:textFill>
        </w:rPr>
        <w:t>，相关费用由乙方承担。如乙方不及时提供服务，甲方有权委托第三方提供维修、更换、保养、咨询等服务，由此产生的相关费用，甲方有权在应付款中扣除、不足部分由乙方另行补足，或要求乙方将第三方提供技术服务产生的相关费用直接支付给甲方。</w:t>
      </w:r>
    </w:p>
    <w:p w14:paraId="56F649BE">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5.3 质保期内，乙方每年至少对配件进行一次巡检并向甲方提交巡检记录。</w:t>
      </w:r>
    </w:p>
    <w:p w14:paraId="4177ED24">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5.4 质保期届满后，如配件出现问题，乙方应在接到甲方通知（包括电话通知）后</w:t>
      </w:r>
      <w:r>
        <w:rPr>
          <w:rFonts w:hint="eastAsia" w:ascii="宋体" w:hAnsi="宋体" w:eastAsia="宋体" w:cs="宋体"/>
          <w:color w:val="000000" w:themeColor="text1"/>
          <w:sz w:val="24"/>
          <w:u w:val="single"/>
          <w14:textFill>
            <w14:solidFill>
              <w14:schemeClr w14:val="tx1"/>
            </w14:solidFill>
          </w14:textFill>
        </w:rPr>
        <w:t xml:space="preserve"> 1 </w:t>
      </w:r>
      <w:r>
        <w:rPr>
          <w:rFonts w:hint="eastAsia" w:ascii="宋体" w:hAnsi="宋体" w:eastAsia="宋体" w:cs="宋体"/>
          <w:color w:val="000000" w:themeColor="text1"/>
          <w:sz w:val="24"/>
          <w14:textFill>
            <w14:solidFill>
              <w14:schemeClr w14:val="tx1"/>
            </w14:solidFill>
          </w14:textFill>
        </w:rPr>
        <w:t>小时内响应，响应后</w:t>
      </w:r>
      <w:r>
        <w:rPr>
          <w:rFonts w:hint="eastAsia" w:ascii="宋体" w:hAnsi="宋体" w:eastAsia="宋体" w:cs="宋体"/>
          <w:color w:val="000000" w:themeColor="text1"/>
          <w:sz w:val="24"/>
          <w:u w:val="single"/>
          <w14:textFill>
            <w14:solidFill>
              <w14:schemeClr w14:val="tx1"/>
            </w14:solidFill>
          </w14:textFill>
        </w:rPr>
        <w:t>24</w:t>
      </w:r>
      <w:r>
        <w:rPr>
          <w:rFonts w:hint="eastAsia" w:ascii="宋体" w:hAnsi="宋体" w:eastAsia="宋体" w:cs="宋体"/>
          <w:color w:val="000000" w:themeColor="text1"/>
          <w:sz w:val="24"/>
          <w14:textFill>
            <w14:solidFill>
              <w14:schemeClr w14:val="tx1"/>
            </w14:solidFill>
          </w14:textFill>
        </w:rPr>
        <w:t>小时上门服务，相关费用由甲方承担。</w:t>
      </w:r>
    </w:p>
    <w:p w14:paraId="30D1663B">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5.5 乙方须指派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（电话：</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）专门负责与甲方联系售后服务事宜，如人员发生变动，应及时通知甲方。</w:t>
      </w:r>
    </w:p>
    <w:p w14:paraId="6C4BAB57">
      <w:pPr>
        <w:spacing w:line="440" w:lineRule="exact"/>
        <w:ind w:firstLine="482"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第六条 付款时间、方式</w:t>
      </w:r>
    </w:p>
    <w:p w14:paraId="2DF91481">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 甲方通过银行转账方式向乙方指定银行账户支付款项：甲方</w:t>
      </w:r>
      <w:r>
        <w:rPr>
          <w:rFonts w:hint="eastAsia" w:ascii="宋体" w:hAnsi="宋体" w:eastAsia="宋体" w:cs="宋体"/>
          <w:color w:val="0000FF"/>
          <w:sz w:val="24"/>
        </w:rPr>
        <w:t>在</w:t>
      </w:r>
      <w:r>
        <w:rPr>
          <w:rFonts w:hint="eastAsia" w:ascii="宋体" w:hAnsi="宋体" w:eastAsia="宋体" w:cs="宋体"/>
          <w:color w:val="FF0000"/>
          <w:sz w:val="24"/>
          <w:lang w:val="en-US" w:eastAsia="zh-CN"/>
        </w:rPr>
        <w:t>本合同约定的</w:t>
      </w:r>
      <w:r>
        <w:rPr>
          <w:rFonts w:hint="eastAsia" w:ascii="宋体" w:hAnsi="宋体" w:eastAsia="宋体" w:cs="宋体"/>
          <w:color w:val="0000FF"/>
          <w:sz w:val="24"/>
          <w:szCs w:val="24"/>
          <w:highlight w:val="none"/>
          <w:lang w:val="en-US" w:eastAsia="zh-CN"/>
        </w:rPr>
        <w:t>全部配件</w:t>
      </w:r>
      <w:r>
        <w:rPr>
          <w:rFonts w:hint="eastAsia" w:ascii="宋体" w:hAnsi="宋体" w:eastAsia="宋体" w:cs="宋体"/>
          <w:color w:val="FF0000"/>
          <w:sz w:val="24"/>
          <w:szCs w:val="24"/>
          <w:highlight w:val="none"/>
          <w:lang w:val="en-US" w:eastAsia="zh-CN"/>
        </w:rPr>
        <w:t>总体</w:t>
      </w:r>
      <w:r>
        <w:rPr>
          <w:rFonts w:hint="eastAsia" w:ascii="宋体" w:hAnsi="宋体" w:eastAsia="宋体" w:cs="宋体"/>
          <w:color w:val="0000FF"/>
          <w:sz w:val="24"/>
          <w:szCs w:val="24"/>
          <w:highlight w:val="none"/>
          <w:lang w:val="en-US" w:eastAsia="zh-CN"/>
        </w:rPr>
        <w:t>验收合格之日起</w:t>
      </w:r>
      <w:r>
        <w:rPr>
          <w:rFonts w:hint="eastAsia" w:ascii="宋体" w:hAnsi="宋体" w:eastAsia="宋体" w:cs="宋体"/>
          <w:color w:val="000000" w:themeColor="text1"/>
          <w:sz w:val="24"/>
          <w:szCs w:val="24"/>
          <w:highlight w:val="none"/>
          <w:lang w:val="en-US" w:eastAsia="zh-CN"/>
          <w14:textFill>
            <w14:solidFill>
              <w14:schemeClr w14:val="tx1"/>
            </w14:solidFill>
          </w14:textFill>
        </w:rPr>
        <w:t>4个月</w:t>
      </w:r>
      <w:r>
        <w:rPr>
          <w:rFonts w:hint="eastAsia" w:ascii="宋体" w:hAnsi="宋体" w:eastAsia="宋体" w:cs="宋体"/>
          <w:color w:val="000000" w:themeColor="text1"/>
          <w:sz w:val="24"/>
          <w14:textFill>
            <w14:solidFill>
              <w14:schemeClr w14:val="tx1"/>
            </w14:solidFill>
          </w14:textFill>
        </w:rPr>
        <w:t>内，向乙方支付合同约定总价款的90%；余款10%，甲方在</w:t>
      </w:r>
      <w:r>
        <w:rPr>
          <w:rFonts w:hint="eastAsia" w:ascii="宋体" w:hAnsi="宋体" w:eastAsia="宋体" w:cs="宋体"/>
          <w:color w:val="0000FF"/>
          <w:sz w:val="24"/>
          <w:lang w:val="en-US" w:eastAsia="zh-CN"/>
        </w:rPr>
        <w:t>全部配件质保期均届满</w:t>
      </w:r>
      <w:r>
        <w:rPr>
          <w:rFonts w:hint="eastAsia" w:ascii="宋体" w:hAnsi="宋体" w:eastAsia="宋体" w:cs="宋体"/>
          <w:color w:val="000000" w:themeColor="text1"/>
          <w:sz w:val="24"/>
          <w:lang w:val="en-US" w:eastAsia="zh-CN"/>
          <w14:textFill>
            <w14:solidFill>
              <w14:schemeClr w14:val="tx1"/>
            </w14:solidFill>
          </w14:textFill>
        </w:rPr>
        <w:t>且不存在需被扣除情形之日起10个工作日内，免息支付给乙方</w:t>
      </w:r>
      <w:r>
        <w:rPr>
          <w:rFonts w:hint="eastAsia" w:ascii="宋体" w:hAnsi="宋体" w:eastAsia="宋体" w:cs="宋体"/>
          <w:color w:val="000000" w:themeColor="text1"/>
          <w:sz w:val="24"/>
          <w14:textFill>
            <w14:solidFill>
              <w14:schemeClr w14:val="tx1"/>
            </w14:solidFill>
          </w14:textFill>
        </w:rPr>
        <w:t>。</w:t>
      </w:r>
    </w:p>
    <w:p w14:paraId="479461EB">
      <w:pPr>
        <w:spacing w:line="440" w:lineRule="exact"/>
        <w:ind w:firstLine="480" w:firstLineChars="200"/>
        <w:rPr>
          <w:rFonts w:hint="eastAsia" w:ascii="宋体" w:hAnsi="宋体"/>
          <w:color w:val="000000" w:themeColor="text1"/>
          <w:sz w:val="28"/>
          <w:szCs w:val="28"/>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 乙方指定收款银行账户的开户名：</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；开户银行：</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账号：</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w:t>
      </w:r>
      <w:r>
        <w:rPr>
          <w:rFonts w:hint="eastAsia" w:ascii="宋体" w:hAnsi="宋体"/>
          <w:color w:val="000000" w:themeColor="text1"/>
          <w:sz w:val="28"/>
          <w:szCs w:val="28"/>
          <w14:textFill>
            <w14:solidFill>
              <w14:schemeClr w14:val="tx1"/>
            </w14:solidFill>
          </w14:textFill>
        </w:rPr>
        <w:t xml:space="preserve">  </w:t>
      </w:r>
    </w:p>
    <w:p w14:paraId="227D5209">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6.3 乙方应在甲方首次付款前，向甲方提供以乙方自己名义开具</w:t>
      </w:r>
      <w:r>
        <w:rPr>
          <w:rFonts w:hint="eastAsia" w:ascii="宋体" w:hAnsi="宋体" w:eastAsia="宋体" w:cs="宋体"/>
          <w:color w:val="FF0000"/>
          <w:sz w:val="24"/>
          <w:lang w:val="en-US" w:eastAsia="zh-CN"/>
        </w:rPr>
        <w:t>价税合计金额</w:t>
      </w:r>
      <w:r>
        <w:rPr>
          <w:rFonts w:hint="eastAsia" w:ascii="宋体" w:hAnsi="宋体" w:eastAsia="宋体" w:cs="宋体"/>
          <w:color w:val="000000" w:themeColor="text1"/>
          <w:sz w:val="24"/>
          <w14:textFill>
            <w14:solidFill>
              <w14:schemeClr w14:val="tx1"/>
            </w14:solidFill>
          </w14:textFill>
        </w:rPr>
        <w:t>与本合同总价等额的增值税普通发票；如乙方未及时提供发票，甲方有权顺延付款，由此产生的责任均由乙方自行承担。</w:t>
      </w:r>
    </w:p>
    <w:p w14:paraId="3CC0D8B2">
      <w:pPr>
        <w:spacing w:line="440" w:lineRule="exact"/>
        <w:ind w:firstLine="482"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第七条 风险承担</w:t>
      </w:r>
    </w:p>
    <w:p w14:paraId="4D45EBB2">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w:t>
      </w:r>
    </w:p>
    <w:p w14:paraId="0E6FED00">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7.2 本合同</w:t>
      </w:r>
      <w:r>
        <w:rPr>
          <w:rFonts w:hint="eastAsia" w:ascii="宋体" w:hAnsi="宋体" w:eastAsia="宋体" w:cs="宋体"/>
          <w:color w:val="0000FF"/>
          <w:sz w:val="24"/>
          <w:lang w:val="en-US" w:eastAsia="zh-CN"/>
        </w:rPr>
        <w:t>每批次</w:t>
      </w:r>
      <w:r>
        <w:rPr>
          <w:rFonts w:hint="eastAsia" w:ascii="宋体" w:hAnsi="宋体" w:eastAsia="宋体" w:cs="宋体"/>
          <w:color w:val="000000" w:themeColor="text1"/>
          <w:sz w:val="24"/>
          <w14:textFill>
            <w14:solidFill>
              <w14:schemeClr w14:val="tx1"/>
            </w14:solidFill>
          </w14:textFill>
        </w:rPr>
        <w:t>配件毁损、丢失的风险自甲方在</w:t>
      </w:r>
      <w:r>
        <w:rPr>
          <w:rFonts w:hint="eastAsia" w:ascii="宋体" w:hAnsi="宋体" w:eastAsia="宋体" w:cs="宋体"/>
          <w:color w:val="0000FF"/>
          <w:sz w:val="24"/>
          <w:lang w:val="en-US" w:eastAsia="zh-CN"/>
        </w:rPr>
        <w:t>该批次</w:t>
      </w:r>
      <w:r>
        <w:rPr>
          <w:rFonts w:hint="eastAsia" w:ascii="宋体" w:hAnsi="宋体" w:eastAsia="宋体" w:cs="宋体"/>
          <w:color w:val="000000" w:themeColor="text1"/>
          <w:sz w:val="24"/>
          <w14:textFill>
            <w14:solidFill>
              <w14:schemeClr w14:val="tx1"/>
            </w14:solidFill>
          </w14:textFill>
        </w:rPr>
        <w:t>总体验收报告单上签字确认合格后转移给甲方，此前配件的一切风险均由乙方承担。</w:t>
      </w:r>
    </w:p>
    <w:p w14:paraId="76E3CA99">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7.3 如甲方因乙方配件、质保服务等原因涉及纠纷、诉讼或被处以行政处罚，由乙方承担甲方因纠纷、诉讼、罚款等造成的全部经济损失。</w:t>
      </w:r>
    </w:p>
    <w:p w14:paraId="1BE0593A">
      <w:pPr>
        <w:spacing w:line="440" w:lineRule="exact"/>
        <w:ind w:firstLine="482"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第八条 廉洁条款</w:t>
      </w:r>
    </w:p>
    <w:p w14:paraId="08CBD37A">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0E7C94CA">
      <w:pPr>
        <w:spacing w:line="440" w:lineRule="exact"/>
        <w:ind w:firstLine="482" w:firstLineChars="200"/>
        <w:rPr>
          <w:rFonts w:hint="eastAsia" w:ascii="宋体" w:hAnsi="宋体" w:eastAsia="宋体" w:cs="宋体"/>
          <w:b/>
          <w:bCs/>
          <w:color w:val="000000" w:themeColor="text1"/>
          <w:sz w:val="24"/>
          <w14:textFill>
            <w14:solidFill>
              <w14:schemeClr w14:val="tx1"/>
            </w14:solidFill>
          </w14:textFill>
        </w:rPr>
      </w:pPr>
      <w:r>
        <w:rPr>
          <w:rFonts w:ascii="宋体" w:hAnsi="宋体" w:eastAsia="宋体" w:cs="宋体"/>
          <w:b/>
          <w:bCs/>
          <w:color w:val="000000" w:themeColor="text1"/>
          <w:sz w:val="24"/>
          <w14:textFill>
            <w14:solidFill>
              <w14:schemeClr w14:val="tx1"/>
            </w14:solidFill>
          </w14:textFill>
        </w:rPr>
        <w:t xml:space="preserve">8.2 </w:t>
      </w:r>
      <w:r>
        <w:rPr>
          <w:rFonts w:ascii="宋体" w:hAnsi="宋体" w:eastAsia="宋体" w:cs="宋体"/>
          <w:b/>
          <w:bCs/>
          <w:color w:val="000000" w:themeColor="text1"/>
          <w:sz w:val="24"/>
          <w:u w:val="single"/>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5C64B5F7">
      <w:pPr>
        <w:spacing w:line="440" w:lineRule="exact"/>
        <w:ind w:firstLine="482"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第九条 保密条款</w:t>
      </w:r>
    </w:p>
    <w:p w14:paraId="1EA5A17E">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533133AB">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9.2 乙方应对保密信息采取有效手段严格保密，不得用于非本合同之目的或向第三方泄露。如政府部门、法院或其他有权部门要求乙方提供保密信息，乙方应当立即向甲方通报。</w:t>
      </w:r>
    </w:p>
    <w:p w14:paraId="2197F93F">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9.3 因乙方未履行本合同保密义务造成甲方或第三方损失的，由乙方承担全部赔偿责任。</w:t>
      </w:r>
    </w:p>
    <w:p w14:paraId="5E419C5C">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9.4 本合同保密条款在合同被认定无效、被撤销或终止、解除后仍然有效。</w:t>
      </w:r>
    </w:p>
    <w:p w14:paraId="16185149">
      <w:pPr>
        <w:spacing w:line="440" w:lineRule="exact"/>
        <w:ind w:firstLine="482"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 xml:space="preserve">第十条 </w:t>
      </w:r>
      <w:r>
        <w:rPr>
          <w:rFonts w:ascii="宋体" w:hAnsi="宋体" w:eastAsia="宋体" w:cs="宋体"/>
          <w:b/>
          <w:bCs/>
          <w:color w:val="000000" w:themeColor="text1"/>
          <w:sz w:val="24"/>
          <w14:textFill>
            <w14:solidFill>
              <w14:schemeClr w14:val="tx1"/>
            </w14:solidFill>
          </w14:textFill>
        </w:rPr>
        <w:t>通知</w:t>
      </w:r>
      <w:r>
        <w:rPr>
          <w:rFonts w:hint="eastAsia" w:ascii="宋体" w:hAnsi="宋体" w:eastAsia="宋体" w:cs="宋体"/>
          <w:b/>
          <w:bCs/>
          <w:color w:val="000000" w:themeColor="text1"/>
          <w:sz w:val="24"/>
          <w14:textFill>
            <w14:solidFill>
              <w14:schemeClr w14:val="tx1"/>
            </w14:solidFill>
          </w14:textFill>
        </w:rPr>
        <w:t>与送达</w:t>
      </w:r>
    </w:p>
    <w:p w14:paraId="3DF32B85">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10.1 甲乙双方同意，与本合同有关的任何文书，应以书面方式按照本合同约定发送，书面方式包括手机短信、微信、书面函件、电子邮件等形式。</w:t>
      </w:r>
    </w:p>
    <w:p w14:paraId="34D96A87">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10.2 双方确认的文书（包括未来可能发生的诉讼或仲裁活动中法院或仲裁机构的送达法律文书）送达地址：</w:t>
      </w:r>
    </w:p>
    <w:p w14:paraId="13D89563">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10.2.1 </w:t>
      </w:r>
      <w:r>
        <w:rPr>
          <w:rFonts w:ascii="宋体" w:hAnsi="宋体" w:eastAsia="宋体" w:cs="宋体"/>
          <w:color w:val="000000" w:themeColor="text1"/>
          <w:sz w:val="24"/>
          <w14:textFill>
            <w14:solidFill>
              <w14:schemeClr w14:val="tx1"/>
            </w14:solidFill>
          </w14:textFill>
        </w:rPr>
        <w:t>甲方的联系地址：</w:t>
      </w:r>
      <w:r>
        <w:rPr>
          <w:rFonts w:hint="eastAsia" w:ascii="宋体" w:hAnsi="宋体" w:eastAsia="宋体" w:cs="宋体"/>
          <w:color w:val="000000" w:themeColor="text1"/>
          <w:sz w:val="24"/>
          <w:u w:val="single"/>
          <w14:textFill>
            <w14:solidFill>
              <w14:schemeClr w14:val="tx1"/>
            </w14:solidFill>
          </w14:textFill>
        </w:rPr>
        <w:t>娄底市娄星区</w:t>
      </w:r>
      <w:r>
        <w:rPr>
          <w:rFonts w:ascii="宋体" w:hAnsi="宋体" w:eastAsia="宋体" w:cs="宋体"/>
          <w:color w:val="000000" w:themeColor="text1"/>
          <w:sz w:val="24"/>
          <w:u w:val="single"/>
          <w14:textFill>
            <w14:solidFill>
              <w14:schemeClr w14:val="tx1"/>
            </w14:solidFill>
          </w14:textFill>
        </w:rPr>
        <w:t>长青中街51号</w:t>
      </w:r>
      <w:r>
        <w:rPr>
          <w:rFonts w:hint="eastAsia" w:ascii="宋体" w:hAnsi="宋体" w:eastAsia="宋体" w:cs="宋体"/>
          <w:color w:val="000000" w:themeColor="text1"/>
          <w:sz w:val="24"/>
          <w:u w:val="single"/>
          <w14:textFill>
            <w14:solidFill>
              <w14:schemeClr w14:val="tx1"/>
            </w14:solidFill>
          </w14:textFill>
        </w:rPr>
        <w:t>娄底市中心医院医疗设备维修中心</w:t>
      </w:r>
      <w:r>
        <w:rPr>
          <w:rFonts w:ascii="宋体" w:hAnsi="宋体" w:eastAsia="宋体" w:cs="宋体"/>
          <w:color w:val="000000" w:themeColor="text1"/>
          <w:sz w:val="24"/>
          <w14:textFill>
            <w14:solidFill>
              <w14:schemeClr w14:val="tx1"/>
            </w14:solidFill>
          </w14:textFill>
        </w:rPr>
        <w:t>，联系人：</w:t>
      </w:r>
      <w:r>
        <w:rPr>
          <w:rFonts w:hint="eastAsia" w:ascii="宋体" w:hAnsi="宋体" w:eastAsia="宋体" w:cs="宋体"/>
          <w:color w:val="000000" w:themeColor="text1"/>
          <w:sz w:val="24"/>
          <w:u w:val="single"/>
          <w14:textFill>
            <w14:solidFill>
              <w14:schemeClr w14:val="tx1"/>
            </w14:solidFill>
          </w14:textFill>
        </w:rPr>
        <w:t xml:space="preserve"> 王学辉 </w:t>
      </w:r>
      <w:r>
        <w:rPr>
          <w:rFonts w:ascii="宋体" w:hAnsi="宋体" w:eastAsia="宋体" w:cs="宋体"/>
          <w:color w:val="000000" w:themeColor="text1"/>
          <w:sz w:val="24"/>
          <w14:textFill>
            <w14:solidFill>
              <w14:schemeClr w14:val="tx1"/>
            </w14:solidFill>
          </w14:textFill>
        </w:rPr>
        <w:t>，联系电话：</w:t>
      </w:r>
      <w:r>
        <w:rPr>
          <w:rFonts w:hint="eastAsia" w:ascii="宋体" w:hAnsi="宋体" w:eastAsia="宋体" w:cs="宋体"/>
          <w:color w:val="000000" w:themeColor="text1"/>
          <w:sz w:val="24"/>
          <w:u w:val="single"/>
          <w14:textFill>
            <w14:solidFill>
              <w14:schemeClr w14:val="tx1"/>
            </w14:solidFill>
          </w14:textFill>
        </w:rPr>
        <w:t xml:space="preserve">13875448558 </w:t>
      </w:r>
      <w:r>
        <w:rPr>
          <w:rFonts w:ascii="宋体" w:hAnsi="宋体" w:eastAsia="宋体" w:cs="宋体"/>
          <w:color w:val="000000" w:themeColor="text1"/>
          <w:sz w:val="24"/>
          <w14:textFill>
            <w14:solidFill>
              <w14:schemeClr w14:val="tx1"/>
            </w14:solidFill>
          </w14:textFill>
        </w:rPr>
        <w:t>，邮箱地址</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 </w:t>
      </w:r>
      <w:r>
        <w:rPr>
          <w:rFonts w:hint="eastAsia" w:ascii="宋体" w:hAnsi="宋体" w:eastAsia="宋体" w:cs="宋体"/>
          <w:color w:val="000000" w:themeColor="text1"/>
          <w:sz w:val="24"/>
          <w14:textFill>
            <w14:solidFill>
              <w14:schemeClr w14:val="tx1"/>
            </w14:solidFill>
          </w14:textFill>
        </w:rPr>
        <w:t>，</w:t>
      </w:r>
      <w:r>
        <w:rPr>
          <w:rFonts w:ascii="宋体" w:hAnsi="宋体" w:eastAsia="宋体" w:cs="宋体"/>
          <w:color w:val="000000" w:themeColor="text1"/>
          <w:sz w:val="24"/>
          <w14:textFill>
            <w14:solidFill>
              <w14:schemeClr w14:val="tx1"/>
            </w14:solidFill>
          </w14:textFill>
        </w:rPr>
        <w:t>或微信号</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13875448558 </w:t>
      </w:r>
      <w:r>
        <w:rPr>
          <w:rFonts w:ascii="宋体" w:hAnsi="宋体" w:eastAsia="宋体" w:cs="宋体"/>
          <w:color w:val="000000" w:themeColor="text1"/>
          <w:sz w:val="24"/>
          <w14:textFill>
            <w14:solidFill>
              <w14:schemeClr w14:val="tx1"/>
            </w14:solidFill>
          </w14:textFill>
        </w:rPr>
        <w:t>。</w:t>
      </w:r>
    </w:p>
    <w:p w14:paraId="76E7B05B">
      <w:pPr>
        <w:spacing w:line="440" w:lineRule="exact"/>
        <w:ind w:left="479" w:leftChars="228"/>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10.2.2 </w:t>
      </w:r>
      <w:r>
        <w:rPr>
          <w:rFonts w:ascii="宋体" w:hAnsi="宋体" w:eastAsia="宋体" w:cs="宋体"/>
          <w:color w:val="000000" w:themeColor="text1"/>
          <w:sz w:val="24"/>
          <w14:textFill>
            <w14:solidFill>
              <w14:schemeClr w14:val="tx1"/>
            </w14:solidFill>
          </w14:textFill>
        </w:rPr>
        <w:t>乙方的联系地址：</w:t>
      </w:r>
      <w:r>
        <w:rPr>
          <w:rFonts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ascii="宋体" w:hAnsi="宋体" w:eastAsia="宋体" w:cs="宋体"/>
          <w:color w:val="000000" w:themeColor="text1"/>
          <w:sz w:val="24"/>
          <w:u w:val="single"/>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 xml:space="preserve"> ，联系人：</w:t>
      </w:r>
      <w:r>
        <w:rPr>
          <w:rFonts w:hint="eastAsia" w:ascii="宋体" w:hAnsi="宋体" w:eastAsia="宋体" w:cs="宋体"/>
          <w:color w:val="000000" w:themeColor="text1"/>
          <w:sz w:val="24"/>
          <w:u w:val="single"/>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 联系电话：</w:t>
      </w:r>
      <w:r>
        <w:rPr>
          <w:rFonts w:hint="eastAsia" w:ascii="宋体" w:hAnsi="宋体" w:eastAsia="宋体" w:cs="宋体"/>
          <w:color w:val="000000" w:themeColor="text1"/>
          <w:sz w:val="24"/>
          <w:u w:val="single"/>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，邮箱地址</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w:t>
      </w:r>
      <w:r>
        <w:rPr>
          <w:rFonts w:ascii="宋体" w:hAnsi="宋体" w:eastAsia="宋体" w:cs="宋体"/>
          <w:color w:val="000000" w:themeColor="text1"/>
          <w:sz w:val="24"/>
          <w14:textFill>
            <w14:solidFill>
              <w14:schemeClr w14:val="tx1"/>
            </w14:solidFill>
          </w14:textFill>
        </w:rPr>
        <w:t>或微信号</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      </w:t>
      </w:r>
      <w:r>
        <w:rPr>
          <w:rFonts w:ascii="宋体" w:hAnsi="宋体" w:eastAsia="宋体" w:cs="宋体"/>
          <w:color w:val="000000" w:themeColor="text1"/>
          <w:sz w:val="24"/>
          <w14:textFill>
            <w14:solidFill>
              <w14:schemeClr w14:val="tx1"/>
            </w14:solidFill>
          </w14:textFill>
        </w:rPr>
        <w:t>。</w:t>
      </w:r>
    </w:p>
    <w:p w14:paraId="31659882">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21987A09">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718E77B2">
      <w:pPr>
        <w:spacing w:line="440" w:lineRule="exact"/>
        <w:ind w:firstLine="482"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第十一条 合同的变更、解除</w:t>
      </w:r>
    </w:p>
    <w:p w14:paraId="0192CBFF">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11.1 本合同经双方协商一致后可以变更，双方应另行签订补充协议。</w:t>
      </w:r>
    </w:p>
    <w:p w14:paraId="77A8B180">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11.2 如甲方因政策变化等非自身主观原因不需要购买本合同全部配件，经书面通知乙方后可以提前终止本合同；如甲方因运营需要等原因不需要购买本合同部分配件，不需要购买的部分自动从采购内容中剔除。</w:t>
      </w:r>
    </w:p>
    <w:p w14:paraId="1DAE80BA">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11.3 乙方出现以下违约情形之一的，甲方有权拒绝支付任何价款并解除合同：</w:t>
      </w:r>
    </w:p>
    <w:p w14:paraId="4A8D1CF0">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.3.1 乙方逾期</w:t>
      </w:r>
      <w:r>
        <w:rPr>
          <w:rFonts w:hint="eastAsia" w:ascii="宋体" w:hAnsi="宋体" w:eastAsia="宋体" w:cs="宋体"/>
          <w:color w:val="000000" w:themeColor="text1"/>
          <w:sz w:val="24"/>
          <w:u w:val="single"/>
          <w14:textFill>
            <w14:solidFill>
              <w14:schemeClr w14:val="tx1"/>
            </w14:solidFill>
          </w14:textFill>
        </w:rPr>
        <w:t xml:space="preserve"> 7 </w:t>
      </w:r>
      <w:r>
        <w:rPr>
          <w:rFonts w:hint="eastAsia" w:ascii="宋体" w:hAnsi="宋体" w:eastAsia="宋体" w:cs="宋体"/>
          <w:color w:val="000000" w:themeColor="text1"/>
          <w:sz w:val="24"/>
          <w14:textFill>
            <w14:solidFill>
              <w14:schemeClr w14:val="tx1"/>
            </w14:solidFill>
          </w14:textFill>
        </w:rPr>
        <w:t>日仍不能供货；</w:t>
      </w:r>
    </w:p>
    <w:p w14:paraId="229BF3F6">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.3.2 乙方提供的配件质量不符合国家标准、本合同标准或投标文件/响应文件约定标准</w:t>
      </w:r>
      <w:r>
        <w:rPr>
          <w:rFonts w:hint="eastAsia" w:ascii="宋体" w:hAnsi="宋体" w:eastAsia="宋体" w:cs="宋体"/>
          <w:color w:val="FF0000"/>
          <w:sz w:val="24"/>
        </w:rPr>
        <w:t>；</w:t>
      </w:r>
    </w:p>
    <w:p w14:paraId="53EAF6DD">
      <w:pPr>
        <w:spacing w:line="48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 xml:space="preserve">.3.3 </w:t>
      </w:r>
      <w:r>
        <w:rPr>
          <w:rFonts w:hint="eastAsia" w:ascii="宋体" w:hAnsi="宋体" w:cs="宋体"/>
          <w:color w:val="000000" w:themeColor="text1"/>
          <w:sz w:val="24"/>
          <w14:textFill>
            <w14:solidFill>
              <w14:schemeClr w14:val="tx1"/>
            </w14:solidFill>
          </w14:textFill>
        </w:rPr>
        <w:t>乙方在维修安装时未尽注意义务导致本合同维修安装配件的设备发生无法修复的故障；</w:t>
      </w:r>
    </w:p>
    <w:p w14:paraId="780D5599">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11.3.4 乙方将本合同权利义务全部或部分转让给第三方；</w:t>
      </w:r>
    </w:p>
    <w:p w14:paraId="3299BC34">
      <w:pPr>
        <w:spacing w:line="440" w:lineRule="exact"/>
        <w:ind w:firstLine="480"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.3.5 其他根本违约的情形。</w:t>
      </w:r>
    </w:p>
    <w:p w14:paraId="4ED5E6D7">
      <w:pPr>
        <w:spacing w:line="440" w:lineRule="exact"/>
        <w:ind w:firstLine="482"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第十二条 违约责任</w:t>
      </w:r>
    </w:p>
    <w:p w14:paraId="7F0598AC">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.1 甲方因11.2情形提前终止本合同或剔除部分采购内容均无须承担违约责任，乙方不得因此要求甲方予以任何经济赔偿或补偿。</w:t>
      </w:r>
    </w:p>
    <w:p w14:paraId="14BF0522">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.2 如乙方未在本合同约定时间内将验收合格的配件交付给甲方使用，除应赔偿甲方因此造成的损失外，每逾期一日，按本合同约定总价款的千分之一标准向甲方支付违约金。</w:t>
      </w:r>
    </w:p>
    <w:p w14:paraId="7F34AC8F">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.3 如乙方单方解除合同或甲方因11.3情形解除合同，乙方除赔偿甲方由此造成的全部损失（包括但不限于实际经济损失，因纠纷产生的律师费、诉讼费、差旅费、保全保险费等）外，还须按本合同总价款30%标准向甲方支付违约金。</w:t>
      </w:r>
    </w:p>
    <w:p w14:paraId="22CCE788">
      <w:pPr>
        <w:spacing w:line="440" w:lineRule="exact"/>
        <w:ind w:firstLine="482" w:firstLineChars="200"/>
        <w:rPr>
          <w:rFonts w:hint="eastAsia" w:ascii="宋体" w:hAnsi="宋体" w:eastAsia="宋体" w:cs="宋体"/>
          <w:b/>
          <w:bCs/>
          <w:color w:val="000000" w:themeColor="text1"/>
          <w:sz w:val="24"/>
          <w:u w:val="single"/>
          <w14:textFill>
            <w14:solidFill>
              <w14:schemeClr w14:val="tx1"/>
            </w14:solidFill>
          </w14:textFill>
        </w:rPr>
      </w:pPr>
      <w:r>
        <w:rPr>
          <w:rFonts w:hint="eastAsia" w:ascii="宋体" w:hAnsi="宋体" w:eastAsia="宋体" w:cs="宋体"/>
          <w:b/>
          <w:bCs/>
          <w:color w:val="000000" w:themeColor="text1"/>
          <w:sz w:val="24"/>
          <w:u w:val="single"/>
          <w14:textFill>
            <w14:solidFill>
              <w14:schemeClr w14:val="tx1"/>
            </w14:solidFill>
          </w14:textFill>
        </w:rPr>
        <w:t>12.4 无论甲方在任意时候（不限于本合同履行期间）发现存在违反本合同廉洁条款及供应商考核管理制度约定的行为，乙方均须向甲方一次性支付惩罚性违约金</w:t>
      </w:r>
      <w:r>
        <w:rPr>
          <w:rFonts w:hint="eastAsia" w:ascii="宋体" w:hAnsi="宋体" w:eastAsia="宋体" w:cs="宋体"/>
          <w:b/>
          <w:bCs/>
          <w:color w:val="0000FF"/>
          <w:sz w:val="24"/>
          <w:u w:val="single"/>
          <w:lang w:val="en-US" w:eastAsia="zh-CN"/>
        </w:rPr>
        <w:t>43000</w:t>
      </w:r>
      <w:r>
        <w:rPr>
          <w:rFonts w:hint="eastAsia" w:ascii="宋体" w:hAnsi="宋体" w:eastAsia="宋体" w:cs="宋体"/>
          <w:b/>
          <w:bCs/>
          <w:color w:val="0000FF"/>
          <w:sz w:val="24"/>
          <w:u w:val="single"/>
        </w:rPr>
        <w:t>.00</w:t>
      </w:r>
      <w:r>
        <w:rPr>
          <w:rFonts w:hint="eastAsia" w:ascii="宋体" w:hAnsi="宋体" w:eastAsia="宋体" w:cs="宋体"/>
          <w:b/>
          <w:bCs/>
          <w:color w:val="000000" w:themeColor="text1"/>
          <w:sz w:val="24"/>
          <w:u w:val="single"/>
          <w14:textFill>
            <w14:solidFill>
              <w14:schemeClr w14:val="tx1"/>
            </w14:solidFill>
          </w14:textFill>
        </w:rPr>
        <w:t>元。如乙方除需承担违反廉洁条款及供应商考核管理制度的违约责任外，同时存在其他违约行为，乙方仍须就其他违约行为承担相应违约责任。</w:t>
      </w:r>
    </w:p>
    <w:p w14:paraId="29DB105E">
      <w:pPr>
        <w:spacing w:line="440" w:lineRule="exact"/>
        <w:ind w:firstLine="482" w:firstLineChars="200"/>
        <w:rPr>
          <w:rFonts w:hint="eastAsia" w:ascii="宋体" w:hAnsi="宋体" w:eastAsia="宋体" w:cs="宋体"/>
          <w:b/>
          <w:bCs/>
          <w:color w:val="000000" w:themeColor="text1"/>
          <w:sz w:val="24"/>
          <w:u w:val="single"/>
          <w14:textFill>
            <w14:solidFill>
              <w14:schemeClr w14:val="tx1"/>
            </w14:solidFill>
          </w14:textFill>
        </w:rPr>
      </w:pPr>
      <w:r>
        <w:rPr>
          <w:rFonts w:hint="eastAsia" w:ascii="宋体" w:hAnsi="宋体" w:eastAsia="宋体" w:cs="宋体"/>
          <w:b/>
          <w:bCs/>
          <w:color w:val="000000" w:themeColor="text1"/>
          <w:sz w:val="24"/>
          <w:u w:val="single"/>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540FB652">
      <w:pPr>
        <w:spacing w:line="440" w:lineRule="exact"/>
        <w:ind w:firstLine="482"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第</w:t>
      </w:r>
      <w:r>
        <w:rPr>
          <w:rFonts w:hint="eastAsia" w:ascii="宋体" w:hAnsi="宋体" w:cs="宋体"/>
          <w:b/>
          <w:bCs/>
          <w:color w:val="000000" w:themeColor="text1"/>
          <w:sz w:val="24"/>
          <w14:textFill>
            <w14:solidFill>
              <w14:schemeClr w14:val="tx1"/>
            </w14:solidFill>
          </w14:textFill>
        </w:rPr>
        <w:t>十三</w:t>
      </w:r>
      <w:r>
        <w:rPr>
          <w:rFonts w:hint="eastAsia" w:ascii="宋体" w:hAnsi="宋体" w:eastAsia="宋体" w:cs="宋体"/>
          <w:b/>
          <w:bCs/>
          <w:color w:val="000000" w:themeColor="text1"/>
          <w:sz w:val="24"/>
          <w14:textFill>
            <w14:solidFill>
              <w14:schemeClr w14:val="tx1"/>
            </w14:solidFill>
          </w14:textFill>
        </w:rPr>
        <w:t>条 争议解决</w:t>
      </w:r>
    </w:p>
    <w:p w14:paraId="79D24F43">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13.1 本合同适用中华人民共和国法律，并按其解释。</w:t>
      </w:r>
    </w:p>
    <w:p w14:paraId="1437B7A0">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13.2 如双方在履行本合同过程中发生争议，双方应先协商解决，协商解决不成的，任一方均可向甲方所在地有管辖权的人民法院提起诉讼解决。</w:t>
      </w:r>
    </w:p>
    <w:p w14:paraId="388C3963">
      <w:pPr>
        <w:spacing w:line="440" w:lineRule="exact"/>
        <w:ind w:firstLine="482"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第十</w:t>
      </w:r>
      <w:r>
        <w:rPr>
          <w:rFonts w:hint="eastAsia" w:ascii="宋体" w:hAnsi="宋体" w:cs="宋体"/>
          <w:b/>
          <w:bCs/>
          <w:color w:val="000000" w:themeColor="text1"/>
          <w:sz w:val="24"/>
          <w14:textFill>
            <w14:solidFill>
              <w14:schemeClr w14:val="tx1"/>
            </w14:solidFill>
          </w14:textFill>
        </w:rPr>
        <w:t>四</w:t>
      </w:r>
      <w:r>
        <w:rPr>
          <w:rFonts w:hint="eastAsia" w:ascii="宋体" w:hAnsi="宋体" w:eastAsia="宋体" w:cs="宋体"/>
          <w:b/>
          <w:bCs/>
          <w:color w:val="000000" w:themeColor="text1"/>
          <w:sz w:val="24"/>
          <w14:textFill>
            <w14:solidFill>
              <w14:schemeClr w14:val="tx1"/>
            </w14:solidFill>
          </w14:textFill>
        </w:rPr>
        <w:t>条 附则</w:t>
      </w:r>
    </w:p>
    <w:p w14:paraId="768250A5">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14.1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005CC74D">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14.2 本合同一式伍份，甲方执肆份、乙方执壹份，自双方签字并盖章后生效。</w:t>
      </w:r>
    </w:p>
    <w:p w14:paraId="0256841B">
      <w:pPr>
        <w:spacing w:line="440" w:lineRule="exact"/>
        <w:rPr>
          <w:rFonts w:hint="eastAsia" w:ascii="宋体" w:hAnsi="宋体" w:eastAsia="宋体" w:cs="宋体"/>
          <w:color w:val="000000" w:themeColor="text1"/>
          <w:sz w:val="24"/>
          <w14:textFill>
            <w14:solidFill>
              <w14:schemeClr w14:val="tx1"/>
            </w14:solidFill>
          </w14:textFill>
        </w:rPr>
      </w:pPr>
    </w:p>
    <w:p w14:paraId="4C16BCF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甲方（盖章）：</w:t>
      </w:r>
      <w:r>
        <w:rPr>
          <w:rFonts w:hint="eastAsia" w:ascii="宋体" w:hAnsi="宋体" w:eastAsia="宋体" w:cs="宋体"/>
          <w:color w:val="000000" w:themeColor="text1"/>
          <w:sz w:val="24"/>
          <w14:textFill>
            <w14:solidFill>
              <w14:schemeClr w14:val="tx1"/>
            </w14:solidFill>
          </w14:textFill>
        </w:rPr>
        <w:t>娄底市中心医院</w:t>
      </w:r>
      <w:r>
        <w:rPr>
          <w:rFonts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乙方（盖章）</w:t>
      </w:r>
      <w:r>
        <w:rPr>
          <w:rFonts w:hint="eastAsia" w:ascii="宋体" w:hAnsi="宋体" w:eastAsia="宋体" w:cs="宋体"/>
          <w:color w:val="000000" w:themeColor="text1"/>
          <w:sz w:val="24"/>
          <w14:textFill>
            <w14:solidFill>
              <w14:schemeClr w14:val="tx1"/>
            </w14:solidFill>
          </w14:textFill>
        </w:rPr>
        <w:t>：</w:t>
      </w:r>
    </w:p>
    <w:p w14:paraId="07E6D7E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14:textFill>
            <w14:solidFill>
              <w14:schemeClr w14:val="tx1"/>
            </w14:solidFill>
          </w14:textFill>
        </w:rPr>
      </w:pPr>
    </w:p>
    <w:p w14:paraId="1F5BA6E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法定代表人（签字）：        </w:t>
      </w:r>
      <w:r>
        <w:rPr>
          <w:rFonts w:hint="eastAsia" w:ascii="宋体" w:hAnsi="宋体" w:eastAsia="宋体" w:cs="宋体"/>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 xml:space="preserve">法定代表人（签字）：  </w:t>
      </w:r>
    </w:p>
    <w:p w14:paraId="50745FC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 w:val="24"/>
          <w14:textFill>
            <w14:solidFill>
              <w14:schemeClr w14:val="tx1"/>
            </w14:solidFill>
          </w14:textFill>
        </w:rPr>
      </w:pPr>
    </w:p>
    <w:p w14:paraId="1A1E063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或</w:t>
      </w:r>
      <w:r>
        <w:rPr>
          <w:rFonts w:ascii="宋体" w:hAnsi="宋体" w:eastAsia="宋体" w:cs="宋体"/>
          <w:color w:val="000000" w:themeColor="text1"/>
          <w:sz w:val="24"/>
          <w14:textFill>
            <w14:solidFill>
              <w14:schemeClr w14:val="tx1"/>
            </w14:solidFill>
          </w14:textFill>
        </w:rPr>
        <w:t xml:space="preserve">委托代理人（签字）：        </w:t>
      </w:r>
      <w:r>
        <w:rPr>
          <w:rFonts w:hint="eastAsia" w:ascii="宋体" w:hAnsi="宋体" w:eastAsia="宋体" w:cs="宋体"/>
          <w:color w:val="000000" w:themeColor="text1"/>
          <w:sz w:val="24"/>
          <w14:textFill>
            <w14:solidFill>
              <w14:schemeClr w14:val="tx1"/>
            </w14:solidFill>
          </w14:textFill>
        </w:rPr>
        <w:t xml:space="preserve">      或</w:t>
      </w:r>
      <w:r>
        <w:rPr>
          <w:rFonts w:ascii="宋体" w:hAnsi="宋体" w:eastAsia="宋体" w:cs="宋体"/>
          <w:color w:val="000000" w:themeColor="text1"/>
          <w:sz w:val="24"/>
          <w14:textFill>
            <w14:solidFill>
              <w14:schemeClr w14:val="tx1"/>
            </w14:solidFill>
          </w14:textFill>
        </w:rPr>
        <w:t>委托代理人（签字）：</w:t>
      </w:r>
    </w:p>
    <w:p w14:paraId="0904669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eastAsia="宋体" w:cs="宋体"/>
          <w:color w:val="000000" w:themeColor="text1"/>
          <w:sz w:val="24"/>
          <w14:textFill>
            <w14:solidFill>
              <w14:schemeClr w14:val="tx1"/>
            </w14:solidFill>
          </w14:textFill>
        </w:rPr>
      </w:pPr>
    </w:p>
    <w:p w14:paraId="0CE23FB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合同签订地</w:t>
      </w:r>
      <w:r>
        <w:rPr>
          <w:rFonts w:hint="eastAsia" w:ascii="宋体" w:hAnsi="宋体" w:eastAsia="宋体" w:cs="宋体"/>
          <w:color w:val="000000" w:themeColor="text1"/>
          <w:sz w:val="24"/>
          <w14:textFill>
            <w14:solidFill>
              <w14:schemeClr w14:val="tx1"/>
            </w14:solidFill>
          </w14:textFill>
        </w:rPr>
        <w:t>履行地</w:t>
      </w:r>
      <w:r>
        <w:rPr>
          <w:rFonts w:ascii="宋体" w:hAnsi="宋体" w:eastAsia="宋体" w:cs="宋体"/>
          <w:color w:val="000000" w:themeColor="text1"/>
          <w:sz w:val="24"/>
          <w14:textFill>
            <w14:solidFill>
              <w14:schemeClr w14:val="tx1"/>
            </w14:solidFill>
          </w14:textFill>
        </w:rPr>
        <w:t xml:space="preserve">：娄底市娄星区 </w:t>
      </w:r>
      <w:r>
        <w:rPr>
          <w:rFonts w:hint="eastAsia" w:ascii="宋体" w:hAnsi="宋体" w:eastAsia="宋体" w:cs="宋体"/>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签订时间：</w:t>
      </w:r>
      <w:r>
        <w:rPr>
          <w:rFonts w:hint="eastAsia" w:ascii="宋体" w:hAnsi="宋体" w:eastAsia="宋体" w:cs="宋体"/>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日</w:t>
      </w:r>
    </w:p>
    <w:p w14:paraId="0A5685DA">
      <w:pPr>
        <w:keepNext w:val="0"/>
        <w:keepLines w:val="0"/>
        <w:pageBreakBefore w:val="0"/>
        <w:widowControl w:val="0"/>
        <w:kinsoku/>
        <w:wordWrap/>
        <w:overflowPunct/>
        <w:topLinePunct w:val="0"/>
        <w:autoSpaceDE/>
        <w:bidi w:val="0"/>
        <w:adjustRightInd/>
        <w:snapToGrid/>
        <w:spacing w:line="480" w:lineRule="exact"/>
        <w:ind w:right="0" w:rightChars="0" w:firstLine="480" w:firstLineChars="200"/>
        <w:textAlignment w:val="auto"/>
        <w:rPr>
          <w:color w:val="auto"/>
          <w:sz w:val="24"/>
        </w:rPr>
      </w:pPr>
    </w:p>
    <w:p w14:paraId="2658157B">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p>
    <w:p w14:paraId="7BCC3E47">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p>
    <w:p w14:paraId="3A9CDB27">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p>
    <w:p w14:paraId="0080E8F3">
      <w:pPr>
        <w:rPr>
          <w:rFonts w:hint="eastAsia" w:ascii="黑体" w:hAnsi="黑体" w:eastAsia="黑体" w:cs="黑体"/>
          <w:sz w:val="32"/>
          <w:szCs w:val="32"/>
          <w:lang w:val="en-US" w:eastAsia="zh-CN"/>
        </w:rPr>
      </w:pPr>
    </w:p>
    <w:p w14:paraId="2D8BA7C8">
      <w:pPr>
        <w:rPr>
          <w:rFonts w:hint="default" w:ascii="宋体" w:hAnsi="宋体" w:eastAsia="宋体" w:cs="宋体"/>
          <w:color w:val="auto"/>
          <w:sz w:val="24"/>
          <w:szCs w:val="24"/>
          <w:lang w:val="en-US" w:eastAsia="zh-CN"/>
        </w:rPr>
      </w:pPr>
      <w:r>
        <w:rPr>
          <w:rFonts w:hint="eastAsia" w:ascii="黑体" w:hAnsi="黑体" w:eastAsia="黑体" w:cs="黑体"/>
          <w:sz w:val="32"/>
          <w:szCs w:val="32"/>
          <w:lang w:val="en-US" w:eastAsia="zh-CN"/>
        </w:rPr>
        <w:br w:type="page"/>
      </w:r>
    </w:p>
    <w:p w14:paraId="2CC2C481">
      <w:pPr>
        <w:rPr>
          <w:rFonts w:hint="default" w:ascii="宋体" w:hAnsi="宋体" w:eastAsia="宋体" w:cs="宋体"/>
          <w:color w:val="auto"/>
          <w:sz w:val="24"/>
          <w:szCs w:val="24"/>
          <w:lang w:val="en-US" w:eastAsia="zh-CN"/>
        </w:rPr>
      </w:pPr>
    </w:p>
    <w:p w14:paraId="7F7089C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14:paraId="548EAA27">
      <w:pPr>
        <w:jc w:val="center"/>
        <w:rPr>
          <w:rFonts w:hint="eastAsia" w:ascii="仿宋" w:hAnsi="仿宋" w:eastAsia="仿宋" w:cs="仿宋"/>
          <w:sz w:val="24"/>
          <w:szCs w:val="24"/>
        </w:rPr>
      </w:pPr>
    </w:p>
    <w:tbl>
      <w:tblPr>
        <w:tblStyle w:val="10"/>
        <w:tblW w:w="9375" w:type="dxa"/>
        <w:tblInd w:w="-176"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581"/>
        <w:gridCol w:w="1703"/>
        <w:gridCol w:w="6513"/>
        <w:gridCol w:w="578"/>
      </w:tblGrid>
      <w:tr w14:paraId="60DC988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Ex>
        <w:trPr>
          <w:trHeight w:val="460" w:hRule="atLeast"/>
        </w:trPr>
        <w:tc>
          <w:tcPr>
            <w:tcW w:w="581" w:type="dxa"/>
            <w:tcBorders>
              <w:top w:val="single" w:color="000000" w:sz="4" w:space="0"/>
              <w:left w:val="single" w:color="000000" w:sz="4" w:space="0"/>
              <w:bottom w:val="single" w:color="000000" w:sz="4" w:space="0"/>
              <w:right w:val="single" w:color="000000" w:sz="4" w:space="0"/>
            </w:tcBorders>
            <w:noWrap w:val="0"/>
            <w:vAlign w:val="center"/>
          </w:tcPr>
          <w:p w14:paraId="06924CB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auto"/>
                <w:highlight w:val="none"/>
              </w:rPr>
            </w:pPr>
            <w:r>
              <w:rPr>
                <w:rFonts w:hint="eastAsia"/>
                <w:color w:val="auto"/>
                <w:highlight w:val="none"/>
              </w:rPr>
              <w:t>序号</w:t>
            </w:r>
          </w:p>
        </w:tc>
        <w:tc>
          <w:tcPr>
            <w:tcW w:w="1703" w:type="dxa"/>
            <w:tcBorders>
              <w:top w:val="single" w:color="000000" w:sz="4" w:space="0"/>
              <w:left w:val="single" w:color="000000" w:sz="4" w:space="0"/>
              <w:bottom w:val="single" w:color="000000" w:sz="4" w:space="0"/>
              <w:right w:val="single" w:color="000000" w:sz="4" w:space="0"/>
            </w:tcBorders>
            <w:noWrap w:val="0"/>
            <w:vAlign w:val="center"/>
          </w:tcPr>
          <w:p w14:paraId="569D1CA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auto"/>
                <w:highlight w:val="none"/>
              </w:rPr>
            </w:pPr>
            <w:r>
              <w:rPr>
                <w:rFonts w:hint="eastAsia"/>
                <w:color w:val="auto"/>
                <w:highlight w:val="none"/>
              </w:rPr>
              <w:t>评审项目</w:t>
            </w:r>
          </w:p>
        </w:tc>
        <w:tc>
          <w:tcPr>
            <w:tcW w:w="6513" w:type="dxa"/>
            <w:tcBorders>
              <w:top w:val="single" w:color="000000" w:sz="4" w:space="0"/>
              <w:left w:val="single" w:color="000000" w:sz="4" w:space="0"/>
              <w:bottom w:val="single" w:color="000000" w:sz="4" w:space="0"/>
              <w:right w:val="single" w:color="000000" w:sz="4" w:space="0"/>
            </w:tcBorders>
            <w:noWrap w:val="0"/>
            <w:vAlign w:val="center"/>
          </w:tcPr>
          <w:p w14:paraId="537A64E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auto"/>
                <w:highlight w:val="none"/>
              </w:rPr>
            </w:pPr>
            <w:r>
              <w:rPr>
                <w:rFonts w:hint="eastAsia"/>
                <w:color w:val="auto"/>
                <w:highlight w:val="none"/>
              </w:rPr>
              <w:t>评审标准</w:t>
            </w:r>
          </w:p>
        </w:tc>
        <w:tc>
          <w:tcPr>
            <w:tcW w:w="578" w:type="dxa"/>
            <w:tcBorders>
              <w:top w:val="single" w:color="000000" w:sz="4" w:space="0"/>
              <w:left w:val="single" w:color="000000" w:sz="4" w:space="0"/>
              <w:bottom w:val="single" w:color="000000" w:sz="4" w:space="0"/>
              <w:right w:val="single" w:color="000000" w:sz="4" w:space="0"/>
            </w:tcBorders>
            <w:noWrap w:val="0"/>
            <w:vAlign w:val="center"/>
          </w:tcPr>
          <w:p w14:paraId="10F7967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auto"/>
                <w:highlight w:val="none"/>
              </w:rPr>
            </w:pPr>
            <w:r>
              <w:rPr>
                <w:rFonts w:hint="eastAsia"/>
                <w:color w:val="auto"/>
                <w:highlight w:val="none"/>
              </w:rPr>
              <w:t>分值</w:t>
            </w:r>
          </w:p>
        </w:tc>
      </w:tr>
      <w:tr w14:paraId="4681A66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1169" w:hRule="atLeast"/>
        </w:trPr>
        <w:tc>
          <w:tcPr>
            <w:tcW w:w="581" w:type="dxa"/>
            <w:tcBorders>
              <w:top w:val="single" w:color="000000" w:sz="4" w:space="0"/>
              <w:left w:val="single" w:color="000000" w:sz="4" w:space="0"/>
              <w:bottom w:val="single" w:color="000000" w:sz="4" w:space="0"/>
              <w:right w:val="single" w:color="000000" w:sz="4" w:space="0"/>
            </w:tcBorders>
            <w:noWrap w:val="0"/>
            <w:vAlign w:val="center"/>
          </w:tcPr>
          <w:p w14:paraId="34FC724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auto"/>
                <w:highlight w:val="none"/>
              </w:rPr>
            </w:pPr>
            <w:r>
              <w:rPr>
                <w:rFonts w:hint="eastAsia"/>
                <w:color w:val="auto"/>
                <w:highlight w:val="none"/>
              </w:rPr>
              <w:t>1</w:t>
            </w:r>
          </w:p>
        </w:tc>
        <w:tc>
          <w:tcPr>
            <w:tcW w:w="1703" w:type="dxa"/>
            <w:tcBorders>
              <w:top w:val="single" w:color="000000" w:sz="4" w:space="0"/>
              <w:left w:val="single" w:color="000000" w:sz="4" w:space="0"/>
              <w:bottom w:val="single" w:color="000000" w:sz="4" w:space="0"/>
              <w:right w:val="single" w:color="000000" w:sz="4" w:space="0"/>
            </w:tcBorders>
            <w:noWrap w:val="0"/>
            <w:vAlign w:val="center"/>
          </w:tcPr>
          <w:p w14:paraId="3DE177B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auto"/>
                <w:highlight w:val="none"/>
              </w:rPr>
            </w:pPr>
            <w:r>
              <w:rPr>
                <w:rFonts w:hint="eastAsia"/>
                <w:color w:val="auto"/>
                <w:highlight w:val="none"/>
              </w:rPr>
              <w:t>价格（</w:t>
            </w:r>
            <w:r>
              <w:rPr>
                <w:rFonts w:hint="eastAsia"/>
                <w:color w:val="auto"/>
                <w:highlight w:val="none"/>
                <w:lang w:val="en-US" w:eastAsia="zh-CN"/>
              </w:rPr>
              <w:t>4</w:t>
            </w:r>
            <w:r>
              <w:rPr>
                <w:rFonts w:hint="eastAsia"/>
                <w:color w:val="auto"/>
                <w:highlight w:val="none"/>
              </w:rPr>
              <w:t>0分）</w:t>
            </w:r>
          </w:p>
        </w:tc>
        <w:tc>
          <w:tcPr>
            <w:tcW w:w="6513" w:type="dxa"/>
            <w:tcBorders>
              <w:top w:val="single" w:color="000000" w:sz="4" w:space="0"/>
              <w:left w:val="single" w:color="000000" w:sz="4" w:space="0"/>
              <w:bottom w:val="single" w:color="000000" w:sz="4" w:space="0"/>
              <w:right w:val="single" w:color="000000" w:sz="4" w:space="0"/>
            </w:tcBorders>
            <w:noWrap w:val="0"/>
            <w:vAlign w:val="center"/>
          </w:tcPr>
          <w:p w14:paraId="7D415C3B">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color w:val="auto"/>
                <w:highlight w:val="none"/>
              </w:rPr>
            </w:pPr>
            <w:r>
              <w:rPr>
                <w:rFonts w:hint="eastAsia"/>
                <w:color w:val="auto"/>
                <w:highlight w:val="none"/>
              </w:rPr>
              <w:t>满足招标文件要求且投标报价中最低的投标报价为评标基准价其价格分为满分；其他投标人的价格分统一按照以下公式计算：</w:t>
            </w:r>
          </w:p>
          <w:p w14:paraId="7A04C9BE">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eastAsia="宋体"/>
                <w:color w:val="auto"/>
                <w:highlight w:val="none"/>
                <w:lang w:val="en-US" w:eastAsia="zh-CN"/>
              </w:rPr>
            </w:pPr>
            <w:r>
              <w:rPr>
                <w:rFonts w:hint="eastAsia"/>
                <w:color w:val="auto"/>
                <w:highlight w:val="none"/>
              </w:rPr>
              <w:t>投标报价得分=（评标基准价/投标报价）×</w:t>
            </w:r>
            <w:r>
              <w:rPr>
                <w:rFonts w:hint="eastAsia"/>
                <w:color w:val="auto"/>
                <w:highlight w:val="none"/>
                <w:lang w:val="en-US" w:eastAsia="zh-CN"/>
              </w:rPr>
              <w:t>40</w:t>
            </w:r>
          </w:p>
        </w:tc>
        <w:tc>
          <w:tcPr>
            <w:tcW w:w="578" w:type="dxa"/>
            <w:tcBorders>
              <w:top w:val="single" w:color="000000" w:sz="4" w:space="0"/>
              <w:left w:val="single" w:color="000000" w:sz="4" w:space="0"/>
              <w:bottom w:val="single" w:color="000000" w:sz="4" w:space="0"/>
              <w:right w:val="single" w:color="000000" w:sz="4" w:space="0"/>
            </w:tcBorders>
            <w:noWrap w:val="0"/>
            <w:vAlign w:val="center"/>
          </w:tcPr>
          <w:p w14:paraId="42C6FD3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auto"/>
                <w:highlight w:val="none"/>
              </w:rPr>
            </w:pPr>
            <w:r>
              <w:rPr>
                <w:rFonts w:hint="eastAsia"/>
                <w:color w:val="auto"/>
                <w:highlight w:val="none"/>
                <w:lang w:val="en-US" w:eastAsia="zh-CN"/>
              </w:rPr>
              <w:t>4</w:t>
            </w:r>
            <w:r>
              <w:rPr>
                <w:rFonts w:hint="eastAsia"/>
                <w:color w:val="auto"/>
                <w:highlight w:val="none"/>
              </w:rPr>
              <w:t>0</w:t>
            </w:r>
          </w:p>
        </w:tc>
      </w:tr>
      <w:tr w14:paraId="5FB18CF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473" w:hRule="atLeast"/>
        </w:trPr>
        <w:tc>
          <w:tcPr>
            <w:tcW w:w="581" w:type="dxa"/>
            <w:tcBorders>
              <w:top w:val="single" w:color="000000" w:sz="4" w:space="0"/>
              <w:left w:val="single" w:color="000000" w:sz="4" w:space="0"/>
              <w:right w:val="single" w:color="000000" w:sz="4" w:space="0"/>
            </w:tcBorders>
            <w:noWrap w:val="0"/>
            <w:vAlign w:val="center"/>
          </w:tcPr>
          <w:p w14:paraId="0168189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eastAsia="宋体"/>
                <w:color w:val="auto"/>
                <w:highlight w:val="none"/>
                <w:lang w:val="en-US" w:eastAsia="zh-CN"/>
              </w:rPr>
            </w:pPr>
            <w:r>
              <w:rPr>
                <w:rFonts w:hint="eastAsia"/>
                <w:color w:val="auto"/>
                <w:highlight w:val="none"/>
                <w:lang w:val="en-US" w:eastAsia="zh-CN"/>
              </w:rPr>
              <w:t>2</w:t>
            </w:r>
          </w:p>
        </w:tc>
        <w:tc>
          <w:tcPr>
            <w:tcW w:w="1703" w:type="dxa"/>
            <w:tcBorders>
              <w:top w:val="single" w:color="000000" w:sz="4" w:space="0"/>
              <w:left w:val="single" w:color="000000" w:sz="4" w:space="0"/>
              <w:right w:val="single" w:color="000000" w:sz="4" w:space="0"/>
            </w:tcBorders>
            <w:noWrap w:val="0"/>
            <w:vAlign w:val="center"/>
          </w:tcPr>
          <w:p w14:paraId="351AC4A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技术评价项</w:t>
            </w:r>
          </w:p>
          <w:p w14:paraId="44195A2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Calibri" w:hAnsi="Calibri"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highlight w:val="none"/>
              </w:rPr>
              <w:t>（F=</w:t>
            </w:r>
            <w:r>
              <w:rPr>
                <w:rFonts w:hint="eastAsia" w:ascii="Times New Roman" w:hAnsi="Times New Roman" w:eastAsia="宋体" w:cs="Times New Roman"/>
                <w:color w:val="auto"/>
                <w:highlight w:val="none"/>
                <w:lang w:val="en-US" w:eastAsia="zh-CN"/>
              </w:rPr>
              <w:t>50</w:t>
            </w:r>
            <w:r>
              <w:rPr>
                <w:rFonts w:hint="eastAsia" w:ascii="Times New Roman" w:hAnsi="Times New Roman" w:eastAsia="宋体" w:cs="Times New Roman"/>
                <w:color w:val="auto"/>
                <w:highlight w:val="none"/>
              </w:rPr>
              <w:t>分）</w:t>
            </w:r>
          </w:p>
        </w:tc>
        <w:tc>
          <w:tcPr>
            <w:tcW w:w="6513" w:type="dxa"/>
            <w:tcBorders>
              <w:top w:val="single" w:color="000000" w:sz="4" w:space="0"/>
              <w:left w:val="single" w:color="000000" w:sz="4" w:space="0"/>
              <w:right w:val="single" w:color="000000" w:sz="4" w:space="0"/>
            </w:tcBorders>
            <w:noWrap w:val="0"/>
            <w:vAlign w:val="center"/>
          </w:tcPr>
          <w:p w14:paraId="2FE7637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alibri" w:hAnsi="Calibri" w:eastAsia="宋体" w:cs="Times New Roman"/>
                <w:color w:val="auto"/>
                <w:kern w:val="2"/>
                <w:sz w:val="21"/>
                <w:szCs w:val="24"/>
                <w:highlight w:val="none"/>
                <w:lang w:val="en-US" w:eastAsia="zh-CN" w:bidi="ar-SA"/>
              </w:rPr>
            </w:pPr>
            <w:r>
              <w:rPr>
                <w:rFonts w:hint="eastAsia" w:ascii="Calibri" w:hAnsi="Calibri" w:eastAsia="宋体" w:cs="Times New Roman"/>
                <w:color w:val="auto"/>
                <w:kern w:val="2"/>
                <w:sz w:val="21"/>
                <w:szCs w:val="24"/>
                <w:highlight w:val="none"/>
                <w:lang w:val="en-US" w:eastAsia="zh-CN" w:bidi="ar-SA"/>
              </w:rPr>
              <w:t>技术参数清楚，阐述详尽，满足招标文件要求的全部技术指标和配置的计 50 分，无配置清单、规格响应一览表或有缺漏项视为偏离项；技术参数负偏离的每项扣6分，扣完为止。需提供满足上述每条技术参数标准的产品原厂证明材料或由</w:t>
            </w:r>
            <w:r>
              <w:rPr>
                <w:rFonts w:hint="eastAsia" w:ascii="Calibri" w:hAnsi="Calibri" w:cs="Times New Roman"/>
                <w:color w:val="auto"/>
                <w:kern w:val="2"/>
                <w:sz w:val="21"/>
                <w:szCs w:val="24"/>
                <w:highlight w:val="none"/>
                <w:lang w:val="en-US" w:eastAsia="zh-CN" w:bidi="ar-SA"/>
              </w:rPr>
              <w:t>厂家</w:t>
            </w:r>
            <w:r>
              <w:rPr>
                <w:rFonts w:hint="eastAsia" w:ascii="Calibri" w:hAnsi="Calibri" w:eastAsia="宋体" w:cs="Times New Roman"/>
                <w:color w:val="auto"/>
                <w:kern w:val="2"/>
                <w:sz w:val="21"/>
                <w:szCs w:val="24"/>
                <w:highlight w:val="none"/>
                <w:lang w:val="en-US" w:eastAsia="zh-CN" w:bidi="ar-SA"/>
              </w:rPr>
              <w:t>出具的检测（检验）报告等证明文件，证明材料无法体现上述要求，按负偏离处理。</w:t>
            </w:r>
          </w:p>
          <w:p w14:paraId="7B4A44BB">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Calibri" w:hAnsi="Calibri" w:eastAsia="宋体" w:cs="Times New Roman"/>
                <w:color w:val="auto"/>
                <w:kern w:val="2"/>
                <w:sz w:val="21"/>
                <w:szCs w:val="24"/>
                <w:highlight w:val="none"/>
                <w:lang w:val="en-US" w:eastAsia="zh-CN" w:bidi="ar-SA"/>
              </w:rPr>
            </w:pPr>
            <w:r>
              <w:rPr>
                <w:rFonts w:hint="eastAsia" w:ascii="宋体" w:hAnsi="宋体" w:cs="宋体"/>
                <w:kern w:val="0"/>
              </w:rPr>
              <w:sym w:font="Wingdings" w:char="F0AB"/>
            </w:r>
            <w:r>
              <w:rPr>
                <w:rFonts w:hint="eastAsia" w:ascii="宋体" w:hAnsi="宋体" w:cs="宋体"/>
                <w:kern w:val="0"/>
                <w:lang w:val="en-US" w:eastAsia="zh-CN"/>
              </w:rPr>
              <w:t>为实质性条款，任何一条负偏离视为无效投标</w:t>
            </w:r>
            <w:bookmarkStart w:id="5" w:name="_GoBack"/>
            <w:bookmarkEnd w:id="5"/>
          </w:p>
        </w:tc>
        <w:tc>
          <w:tcPr>
            <w:tcW w:w="578" w:type="dxa"/>
            <w:tcBorders>
              <w:top w:val="single" w:color="000000" w:sz="4" w:space="0"/>
              <w:left w:val="single" w:color="000000" w:sz="4" w:space="0"/>
              <w:bottom w:val="single" w:color="000000" w:sz="4" w:space="0"/>
              <w:right w:val="single" w:color="000000" w:sz="4" w:space="0"/>
            </w:tcBorders>
            <w:noWrap w:val="0"/>
            <w:vAlign w:val="center"/>
          </w:tcPr>
          <w:p w14:paraId="40EC47E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Calibri" w:hAnsi="Calibri" w:eastAsia="宋体" w:cs="Times New Roman"/>
                <w:color w:val="auto"/>
                <w:kern w:val="2"/>
                <w:sz w:val="21"/>
                <w:szCs w:val="24"/>
                <w:highlight w:val="none"/>
                <w:lang w:val="en-US" w:eastAsia="zh-CN" w:bidi="ar-SA"/>
              </w:rPr>
            </w:pPr>
            <w:r>
              <w:rPr>
                <w:rFonts w:hint="eastAsia" w:ascii="Calibri" w:hAnsi="Calibri" w:cs="Times New Roman"/>
                <w:color w:val="auto"/>
                <w:kern w:val="2"/>
                <w:sz w:val="21"/>
                <w:szCs w:val="24"/>
                <w:highlight w:val="none"/>
                <w:lang w:val="en-US" w:eastAsia="zh-CN" w:bidi="ar-SA"/>
              </w:rPr>
              <w:t>50</w:t>
            </w:r>
          </w:p>
        </w:tc>
      </w:tr>
      <w:tr w14:paraId="0F6FD2A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994" w:hRule="atLeast"/>
        </w:trPr>
        <w:tc>
          <w:tcPr>
            <w:tcW w:w="581" w:type="dxa"/>
            <w:tcBorders>
              <w:top w:val="single" w:color="000000" w:sz="4" w:space="0"/>
              <w:left w:val="single" w:color="000000" w:sz="4" w:space="0"/>
              <w:bottom w:val="single" w:color="000000" w:sz="4" w:space="0"/>
              <w:right w:val="single" w:color="000000" w:sz="4" w:space="0"/>
            </w:tcBorders>
            <w:noWrap w:val="0"/>
            <w:vAlign w:val="center"/>
          </w:tcPr>
          <w:p w14:paraId="54CBBC8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auto"/>
                <w:highlight w:val="none"/>
              </w:rPr>
            </w:pPr>
            <w:r>
              <w:rPr>
                <w:rFonts w:hint="eastAsia"/>
                <w:color w:val="auto"/>
                <w:highlight w:val="none"/>
              </w:rPr>
              <w:t>3</w:t>
            </w:r>
          </w:p>
        </w:tc>
        <w:tc>
          <w:tcPr>
            <w:tcW w:w="1703" w:type="dxa"/>
            <w:tcBorders>
              <w:top w:val="single" w:color="000000" w:sz="4" w:space="0"/>
              <w:left w:val="single" w:color="000000" w:sz="4" w:space="0"/>
              <w:bottom w:val="single" w:color="000000" w:sz="4" w:space="0"/>
              <w:right w:val="single" w:color="000000" w:sz="4" w:space="0"/>
            </w:tcBorders>
            <w:noWrap w:val="0"/>
            <w:vAlign w:val="center"/>
          </w:tcPr>
          <w:p w14:paraId="173D019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auto"/>
                <w:highlight w:val="none"/>
              </w:rPr>
            </w:pPr>
            <w:r>
              <w:rPr>
                <w:rFonts w:hint="eastAsia"/>
                <w:color w:val="auto"/>
                <w:highlight w:val="none"/>
              </w:rPr>
              <w:t>商务评价项</w:t>
            </w:r>
          </w:p>
          <w:p w14:paraId="0E7F8E0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auto"/>
                <w:highlight w:val="none"/>
              </w:rPr>
            </w:pPr>
            <w:r>
              <w:rPr>
                <w:rFonts w:hint="eastAsia"/>
                <w:color w:val="auto"/>
                <w:highlight w:val="none"/>
              </w:rPr>
              <w:t>（F=10分）</w:t>
            </w:r>
          </w:p>
        </w:tc>
        <w:tc>
          <w:tcPr>
            <w:tcW w:w="6513" w:type="dxa"/>
            <w:tcBorders>
              <w:top w:val="single" w:color="000000" w:sz="4" w:space="0"/>
              <w:left w:val="single" w:color="000000" w:sz="4" w:space="0"/>
              <w:bottom w:val="single" w:color="000000" w:sz="4" w:space="0"/>
              <w:right w:val="single" w:color="000000" w:sz="4" w:space="0"/>
            </w:tcBorders>
            <w:noWrap w:val="0"/>
            <w:vAlign w:val="center"/>
          </w:tcPr>
          <w:p w14:paraId="1E0312B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s="Times New Roman"/>
                <w:color w:val="auto"/>
                <w:highlight w:val="none"/>
                <w:lang w:val="en-US" w:eastAsia="zh-CN"/>
              </w:rPr>
            </w:pPr>
            <w:r>
              <w:rPr>
                <w:rFonts w:hint="eastAsia" w:cs="Times New Roman"/>
                <w:color w:val="auto"/>
                <w:highlight w:val="none"/>
                <w:lang w:val="en-US" w:eastAsia="zh-CN"/>
              </w:rPr>
              <w:t>1、投标人提供的售后服务方案（包含但不限于：①质保期、②质保期内响应时间、③售后服务承诺、④售后服务人员、⑤厂家技术支持、⑥技术升级服务、⑦应急维修预案、⑧培训方案、⑨提供备品备件服务、⑩质保期满后的后续维修服务等），方案内容全面、详细完整、科学合理、操作可行的计4分；方案欠合理、欠完整的每项扣0.5分；有漏项的，每项扣1分，扣完为止。</w:t>
            </w:r>
          </w:p>
          <w:p w14:paraId="7ACDF78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s="Times New Roman"/>
                <w:color w:val="auto"/>
                <w:highlight w:val="none"/>
                <w:lang w:val="en-US" w:eastAsia="zh-CN"/>
              </w:rPr>
            </w:pPr>
            <w:r>
              <w:rPr>
                <w:rFonts w:hint="eastAsia" w:cs="Times New Roman"/>
                <w:color w:val="auto"/>
                <w:highlight w:val="none"/>
                <w:lang w:val="en-US" w:eastAsia="zh-CN"/>
              </w:rPr>
              <w:t>（注：欠合理指内容逻辑混乱、存在科学原理错误以及内容过于简单无实质性内容等情况；欠完整指内容具有明显缺陷，存在逻辑漏洞、前后内容无法连贯，不符合项目实际情况指内容脱离了实际情况，不具备实施的可能性以及涉及的规范、标准与本项目要求不一致等情形。）</w:t>
            </w:r>
          </w:p>
          <w:p w14:paraId="2395FE9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s="Times New Roman"/>
                <w:color w:val="auto"/>
                <w:highlight w:val="none"/>
                <w:lang w:val="en-US" w:eastAsia="zh-CN"/>
              </w:rPr>
            </w:pPr>
          </w:p>
          <w:p w14:paraId="21467C48">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cs="Times New Roman"/>
                <w:color w:val="auto"/>
                <w:highlight w:val="none"/>
                <w:lang w:val="en-US" w:eastAsia="zh-CN"/>
              </w:rPr>
            </w:pPr>
            <w:r>
              <w:rPr>
                <w:rFonts w:hint="eastAsia" w:cs="Times New Roman"/>
                <w:color w:val="auto"/>
                <w:highlight w:val="none"/>
                <w:lang w:val="en-US" w:eastAsia="zh-CN"/>
              </w:rPr>
              <w:t>2、提供类似业绩合同，有一项加1分，最多计4分。（投标文件中须提供业绩合同，扫描件应能辨识买卖双方公章（或合同专用章）、标的信息</w:t>
            </w:r>
          </w:p>
        </w:tc>
        <w:tc>
          <w:tcPr>
            <w:tcW w:w="578" w:type="dxa"/>
            <w:tcBorders>
              <w:top w:val="single" w:color="000000" w:sz="4" w:space="0"/>
              <w:left w:val="single" w:color="000000" w:sz="4" w:space="0"/>
              <w:bottom w:val="single" w:color="000000" w:sz="4" w:space="0"/>
              <w:right w:val="single" w:color="000000" w:sz="4" w:space="0"/>
            </w:tcBorders>
            <w:noWrap w:val="0"/>
            <w:vAlign w:val="center"/>
          </w:tcPr>
          <w:p w14:paraId="2B5E33D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eastAsia="宋体"/>
                <w:color w:val="auto"/>
                <w:highlight w:val="none"/>
                <w:lang w:val="en-US" w:eastAsia="zh-CN"/>
              </w:rPr>
            </w:pPr>
            <w:r>
              <w:rPr>
                <w:rFonts w:hint="eastAsia"/>
                <w:color w:val="auto"/>
                <w:highlight w:val="none"/>
                <w:lang w:val="en-US" w:eastAsia="zh-CN"/>
              </w:rPr>
              <w:t>10</w:t>
            </w:r>
          </w:p>
        </w:tc>
      </w:tr>
    </w:tbl>
    <w:p w14:paraId="4F0B6473">
      <w:pPr>
        <w:jc w:val="center"/>
        <w:rPr>
          <w:rFonts w:hint="eastAsia" w:ascii="仿宋" w:hAnsi="仿宋" w:eastAsia="仿宋" w:cs="仿宋"/>
          <w:sz w:val="24"/>
          <w:szCs w:val="24"/>
        </w:rPr>
      </w:pPr>
      <w:r>
        <w:rPr>
          <w:rFonts w:hint="eastAsia" w:ascii="仿宋" w:hAnsi="仿宋" w:eastAsia="仿宋" w:cs="仿宋"/>
          <w:sz w:val="24"/>
          <w:szCs w:val="24"/>
        </w:rPr>
        <w:br w:type="page"/>
      </w:r>
    </w:p>
    <w:p w14:paraId="5294AC11">
      <w:pPr>
        <w:jc w:val="center"/>
        <w:rPr>
          <w:rFonts w:hint="eastAsia" w:ascii="仿宋" w:hAnsi="仿宋" w:eastAsia="仿宋" w:cs="仿宋"/>
          <w:sz w:val="24"/>
          <w:szCs w:val="24"/>
        </w:rPr>
      </w:pPr>
    </w:p>
    <w:p w14:paraId="6F76C45F">
      <w:pPr>
        <w:pStyle w:val="2"/>
        <w:numPr>
          <w:ilvl w:val="0"/>
          <w:numId w:val="0"/>
        </w:numPr>
        <w:spacing w:line="240" w:lineRule="auto"/>
        <w:ind w:left="2940" w:leftChars="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7A4E95C4">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13CAE84F">
      <w:pPr>
        <w:rPr>
          <w:rFonts w:hint="eastAsia" w:ascii="宋体" w:hAnsi="宋体" w:cs="宋体"/>
          <w:color w:val="auto"/>
        </w:rPr>
      </w:pPr>
    </w:p>
    <w:bookmarkEnd w:id="2"/>
    <w:p w14:paraId="09E4C51D">
      <w:pPr>
        <w:rPr>
          <w:rFonts w:hint="eastAsia"/>
          <w:color w:val="auto"/>
        </w:rPr>
      </w:pPr>
    </w:p>
    <w:p w14:paraId="37CD40BF">
      <w:pPr>
        <w:jc w:val="center"/>
        <w:rPr>
          <w:b/>
          <w:color w:val="auto"/>
          <w:sz w:val="24"/>
        </w:rPr>
      </w:pPr>
      <w:r>
        <w:rPr>
          <w:b/>
          <w:color w:val="auto"/>
          <w:sz w:val="28"/>
          <w:szCs w:val="28"/>
        </w:rPr>
        <w:t>第一部分、开标一览表</w:t>
      </w:r>
    </w:p>
    <w:p w14:paraId="6B1338EE">
      <w:pPr>
        <w:jc w:val="center"/>
        <w:rPr>
          <w:b/>
          <w:color w:val="auto"/>
          <w:sz w:val="24"/>
        </w:rPr>
      </w:pPr>
    </w:p>
    <w:p w14:paraId="3D3C4477">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14:paraId="75BF73B1">
      <w:pPr>
        <w:pStyle w:val="18"/>
        <w:rPr>
          <w:color w:val="auto"/>
        </w:rPr>
      </w:pPr>
    </w:p>
    <w:p w14:paraId="7D0A891F">
      <w:pPr>
        <w:adjustRightInd w:val="0"/>
        <w:snapToGrid w:val="0"/>
        <w:spacing w:line="360" w:lineRule="auto"/>
        <w:jc w:val="center"/>
        <w:rPr>
          <w:rFonts w:hint="eastAsia" w:ascii="宋体" w:hAnsi="宋体" w:cs="宋体"/>
          <w:b/>
          <w:color w:val="auto"/>
          <w:sz w:val="28"/>
          <w:szCs w:val="28"/>
        </w:rPr>
      </w:pPr>
    </w:p>
    <w:p w14:paraId="62BF4973">
      <w:pPr>
        <w:adjustRightInd w:val="0"/>
        <w:snapToGrid w:val="0"/>
        <w:spacing w:line="360" w:lineRule="auto"/>
        <w:jc w:val="center"/>
        <w:rPr>
          <w:rFonts w:hint="eastAsia" w:ascii="宋体" w:hAnsi="宋体" w:cs="宋体"/>
          <w:b/>
          <w:color w:val="auto"/>
          <w:sz w:val="28"/>
          <w:szCs w:val="28"/>
        </w:rPr>
      </w:pPr>
    </w:p>
    <w:p w14:paraId="0BBB54E5">
      <w:pPr>
        <w:adjustRightInd w:val="0"/>
        <w:snapToGrid w:val="0"/>
        <w:spacing w:line="360" w:lineRule="auto"/>
        <w:jc w:val="center"/>
        <w:rPr>
          <w:rFonts w:hint="eastAsia" w:ascii="宋体" w:hAnsi="宋体" w:cs="宋体"/>
          <w:b/>
          <w:color w:val="auto"/>
          <w:sz w:val="28"/>
          <w:szCs w:val="28"/>
        </w:rPr>
      </w:pPr>
    </w:p>
    <w:p w14:paraId="4CE6E22F">
      <w:pPr>
        <w:adjustRightInd w:val="0"/>
        <w:snapToGrid w:val="0"/>
        <w:spacing w:line="360" w:lineRule="auto"/>
        <w:jc w:val="center"/>
        <w:rPr>
          <w:rFonts w:hint="eastAsia" w:ascii="宋体" w:hAnsi="宋体" w:cs="宋体"/>
          <w:b/>
          <w:color w:val="auto"/>
          <w:sz w:val="28"/>
          <w:szCs w:val="28"/>
        </w:rPr>
      </w:pPr>
    </w:p>
    <w:p w14:paraId="1982FCFC">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171996F6">
      <w:pPr>
        <w:pStyle w:val="17"/>
        <w:rPr>
          <w:rFonts w:hint="eastAsia"/>
          <w:lang w:eastAsia="zh-CN"/>
        </w:rPr>
      </w:pPr>
    </w:p>
    <w:p w14:paraId="7FDE0FEA">
      <w:pPr>
        <w:adjustRightInd w:val="0"/>
        <w:snapToGrid w:val="0"/>
        <w:spacing w:line="360" w:lineRule="auto"/>
        <w:jc w:val="center"/>
        <w:rPr>
          <w:rFonts w:hint="eastAsia" w:ascii="宋体" w:hAnsi="宋体" w:cs="宋体"/>
          <w:b/>
          <w:color w:val="auto"/>
          <w:sz w:val="24"/>
          <w:szCs w:val="20"/>
        </w:rPr>
      </w:pPr>
    </w:p>
    <w:p w14:paraId="239AF00B">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59A4596C">
      <w:pPr>
        <w:adjustRightInd w:val="0"/>
        <w:snapToGrid w:val="0"/>
        <w:spacing w:line="360" w:lineRule="auto"/>
        <w:rPr>
          <w:rFonts w:hint="eastAsia" w:ascii="宋体" w:hAnsi="宋体" w:cs="宋体"/>
          <w:b/>
          <w:color w:val="auto"/>
          <w:sz w:val="28"/>
          <w:szCs w:val="28"/>
        </w:rPr>
      </w:pPr>
    </w:p>
    <w:p w14:paraId="7BE53E5B">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4D5D1246">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58ACAEB5">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20CBF8D2">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52A99B80">
      <w:pPr>
        <w:adjustRightInd w:val="0"/>
        <w:snapToGrid w:val="0"/>
        <w:spacing w:line="360" w:lineRule="auto"/>
        <w:ind w:firstLine="480" w:firstLineChars="200"/>
        <w:rPr>
          <w:rFonts w:hint="eastAsia" w:ascii="宋体" w:hAnsi="宋体" w:cs="宋体"/>
          <w:color w:val="auto"/>
          <w:sz w:val="24"/>
        </w:rPr>
      </w:pPr>
    </w:p>
    <w:tbl>
      <w:tblPr>
        <w:tblStyle w:val="10"/>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DF39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FA19577">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0F0B2064">
      <w:pPr>
        <w:adjustRightInd w:val="0"/>
        <w:snapToGrid w:val="0"/>
        <w:spacing w:line="360" w:lineRule="auto"/>
        <w:rPr>
          <w:rFonts w:hint="eastAsia" w:ascii="宋体" w:hAnsi="宋体" w:cs="宋体"/>
          <w:color w:val="auto"/>
          <w:sz w:val="24"/>
        </w:rPr>
      </w:pPr>
    </w:p>
    <w:tbl>
      <w:tblPr>
        <w:tblStyle w:val="10"/>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1BAE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04DE166E">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7F769BE4">
      <w:pPr>
        <w:adjustRightInd w:val="0"/>
        <w:snapToGrid w:val="0"/>
        <w:spacing w:line="360" w:lineRule="auto"/>
        <w:rPr>
          <w:rFonts w:hint="eastAsia" w:ascii="宋体" w:hAnsi="宋体" w:cs="宋体"/>
          <w:color w:val="auto"/>
          <w:sz w:val="24"/>
        </w:rPr>
      </w:pPr>
    </w:p>
    <w:p w14:paraId="12DF4C75">
      <w:pPr>
        <w:adjustRightInd w:val="0"/>
        <w:snapToGrid w:val="0"/>
        <w:spacing w:line="360" w:lineRule="auto"/>
        <w:rPr>
          <w:rFonts w:hint="eastAsia" w:ascii="宋体" w:hAnsi="宋体" w:cs="宋体"/>
          <w:color w:val="auto"/>
          <w:sz w:val="24"/>
        </w:rPr>
      </w:pPr>
    </w:p>
    <w:p w14:paraId="5D331BAC">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239D7F17">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39BA960E">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032955DF">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66EEFB55">
      <w:pPr>
        <w:adjustRightInd w:val="0"/>
        <w:snapToGrid w:val="0"/>
        <w:spacing w:line="360" w:lineRule="auto"/>
        <w:rPr>
          <w:rFonts w:hint="eastAsia" w:ascii="宋体" w:hAnsi="宋体" w:cs="宋体"/>
          <w:b/>
          <w:color w:val="auto"/>
          <w:sz w:val="28"/>
          <w:szCs w:val="28"/>
        </w:rPr>
      </w:pPr>
    </w:p>
    <w:p w14:paraId="23D97461">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6D173D33">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36169FC3">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w:t>
      </w:r>
      <w:r>
        <w:rPr>
          <w:rFonts w:hint="eastAsia" w:ascii="宋体" w:hAnsi="宋体" w:cs="宋体"/>
          <w:color w:val="auto"/>
          <w:sz w:val="24"/>
          <w:lang w:eastAsia="zh-CN"/>
        </w:rPr>
        <w:t>招标</w:t>
      </w:r>
      <w:r>
        <w:rPr>
          <w:rFonts w:hint="eastAsia" w:ascii="宋体" w:hAnsi="宋体" w:cs="宋体"/>
          <w:color w:val="auto"/>
          <w:sz w:val="24"/>
        </w:rPr>
        <w:t>文件的规定，我单位郑重声明如下：</w:t>
      </w:r>
    </w:p>
    <w:p w14:paraId="68F540D2">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36001FA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6F347074">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06F1225D">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w:t>
      </w:r>
      <w:r>
        <w:rPr>
          <w:rFonts w:hint="eastAsia" w:asciiTheme="minorEastAsia" w:hAnsiTheme="minorEastAsia" w:eastAsiaTheme="minorEastAsia" w:cstheme="minorEastAsia"/>
          <w:bCs/>
          <w:color w:val="auto"/>
          <w:sz w:val="24"/>
          <w:szCs w:val="24"/>
          <w:lang w:val="en-US" w:eastAsia="zh-CN"/>
        </w:rPr>
        <w:t>采购</w:t>
      </w:r>
      <w:r>
        <w:rPr>
          <w:rFonts w:hint="eastAsia" w:ascii="宋体" w:hAnsi="宋体" w:cs="宋体"/>
          <w:color w:val="auto"/>
          <w:sz w:val="24"/>
        </w:rPr>
        <w:t>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5C72CD">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16F92768">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2D73030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34B24CAD">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47A6804">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1BFC6EF2">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054CE100">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7587F385">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0DC8F09C">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D3D85C2">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6F9A78D9">
      <w:pPr>
        <w:adjustRightInd w:val="0"/>
        <w:snapToGrid w:val="0"/>
        <w:spacing w:line="360" w:lineRule="auto"/>
        <w:jc w:val="center"/>
        <w:rPr>
          <w:rFonts w:hint="eastAsia" w:ascii="宋体" w:hAnsi="宋体" w:cs="宋体"/>
          <w:b/>
          <w:color w:val="auto"/>
          <w:sz w:val="24"/>
          <w:szCs w:val="20"/>
        </w:rPr>
      </w:pPr>
    </w:p>
    <w:p w14:paraId="00AEF35C">
      <w:pPr>
        <w:adjustRightInd w:val="0"/>
        <w:snapToGrid w:val="0"/>
        <w:spacing w:line="360" w:lineRule="auto"/>
        <w:rPr>
          <w:rFonts w:hint="eastAsia" w:ascii="宋体" w:hAnsi="宋体" w:cs="宋体"/>
          <w:b/>
          <w:color w:val="auto"/>
          <w:sz w:val="24"/>
          <w:szCs w:val="20"/>
        </w:rPr>
      </w:pPr>
    </w:p>
    <w:p w14:paraId="43C11026">
      <w:pPr>
        <w:adjustRightInd w:val="0"/>
        <w:snapToGrid w:val="0"/>
        <w:spacing w:line="360" w:lineRule="auto"/>
        <w:rPr>
          <w:rFonts w:hint="eastAsia" w:ascii="宋体" w:hAnsi="宋体" w:cs="宋体"/>
          <w:b/>
          <w:color w:val="auto"/>
          <w:sz w:val="24"/>
          <w:szCs w:val="20"/>
        </w:rPr>
      </w:pPr>
    </w:p>
    <w:p w14:paraId="1E91EA51">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7195D7F0">
      <w:pPr>
        <w:adjustRightInd w:val="0"/>
        <w:snapToGrid w:val="0"/>
        <w:spacing w:line="360" w:lineRule="auto"/>
        <w:jc w:val="center"/>
        <w:rPr>
          <w:rFonts w:hint="eastAsia" w:ascii="宋体" w:hAnsi="宋体" w:cs="宋体"/>
          <w:b/>
          <w:color w:val="auto"/>
          <w:sz w:val="24"/>
          <w:szCs w:val="20"/>
        </w:rPr>
      </w:pPr>
    </w:p>
    <w:p w14:paraId="0509E404">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6B0A1D41">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0A1DD13E">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6F09C83">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62E1A2C4">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396F680D">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21294289">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7247B201">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FD2A8F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42B0AF2E">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5FBE94EF">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3450EFDE">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56CAA50A">
      <w:pPr>
        <w:jc w:val="left"/>
        <w:rPr>
          <w:rFonts w:hint="eastAsia" w:ascii="宋体" w:hAnsi="宋体" w:eastAsia="宋体" w:cs="Times New Roman"/>
          <w:b w:val="0"/>
          <w:bCs w:val="0"/>
          <w:color w:val="auto"/>
          <w:kern w:val="2"/>
          <w:sz w:val="24"/>
          <w:szCs w:val="24"/>
          <w:lang w:val="en-US" w:eastAsia="zh-CN" w:bidi="ar-SA"/>
        </w:rPr>
      </w:pPr>
    </w:p>
    <w:p w14:paraId="367E257E">
      <w:pPr>
        <w:jc w:val="left"/>
        <w:rPr>
          <w:rFonts w:hint="eastAsia" w:ascii="宋体" w:hAnsi="宋体" w:eastAsia="宋体" w:cs="Times New Roman"/>
          <w:b w:val="0"/>
          <w:bCs w:val="0"/>
          <w:color w:val="auto"/>
          <w:kern w:val="2"/>
          <w:sz w:val="24"/>
          <w:szCs w:val="24"/>
          <w:lang w:val="en-US" w:eastAsia="zh-CN" w:bidi="ar-SA"/>
        </w:rPr>
      </w:pPr>
    </w:p>
    <w:p w14:paraId="4278AB8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4B073AFE">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13615D52">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14:paraId="2315B2F5">
      <w:pPr>
        <w:pStyle w:val="17"/>
        <w:rPr>
          <w:rFonts w:hint="eastAsia"/>
          <w:lang w:eastAsia="zh-CN"/>
        </w:rPr>
      </w:pPr>
    </w:p>
    <w:p w14:paraId="78E6FD22">
      <w:pPr>
        <w:spacing w:before="120" w:beforeLines="50" w:after="120" w:afterLines="50" w:line="276" w:lineRule="auto"/>
        <w:jc w:val="center"/>
        <w:rPr>
          <w:b/>
          <w:color w:val="auto"/>
          <w:sz w:val="24"/>
        </w:rPr>
      </w:pPr>
      <w:r>
        <w:rPr>
          <w:b/>
          <w:color w:val="auto"/>
          <w:sz w:val="24"/>
        </w:rPr>
        <w:t>采购需求响应/偏离表</w:t>
      </w:r>
    </w:p>
    <w:p w14:paraId="3623F803">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835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7"/>
        <w:gridCol w:w="1877"/>
        <w:gridCol w:w="1671"/>
        <w:gridCol w:w="1608"/>
        <w:gridCol w:w="1513"/>
        <w:gridCol w:w="1061"/>
      </w:tblGrid>
      <w:tr w14:paraId="0AFD46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27" w:type="dxa"/>
            <w:noWrap w:val="0"/>
            <w:vAlign w:val="center"/>
          </w:tcPr>
          <w:p w14:paraId="47B7826C">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877" w:type="dxa"/>
            <w:noWrap w:val="0"/>
            <w:vAlign w:val="center"/>
          </w:tcPr>
          <w:p w14:paraId="6A9958CC">
            <w:pPr>
              <w:adjustRightInd w:val="0"/>
              <w:snapToGrid w:val="0"/>
              <w:spacing w:before="50" w:line="360" w:lineRule="auto"/>
              <w:ind w:left="-88" w:leftChars="-42"/>
              <w:jc w:val="center"/>
              <w:rPr>
                <w:color w:val="auto"/>
                <w:szCs w:val="21"/>
              </w:rPr>
            </w:pPr>
            <w:r>
              <w:rPr>
                <w:rFonts w:hint="eastAsia"/>
                <w:color w:val="auto"/>
                <w:szCs w:val="21"/>
                <w:lang w:eastAsia="zh-CN"/>
              </w:rPr>
              <w:t>招标</w:t>
            </w:r>
            <w:r>
              <w:rPr>
                <w:color w:val="auto"/>
                <w:szCs w:val="21"/>
              </w:rPr>
              <w:t>文件章节</w:t>
            </w:r>
            <w:r>
              <w:rPr>
                <w:bCs/>
                <w:color w:val="auto"/>
                <w:szCs w:val="21"/>
              </w:rPr>
              <w:t>条</w:t>
            </w:r>
            <w:r>
              <w:rPr>
                <w:color w:val="auto"/>
                <w:szCs w:val="21"/>
              </w:rPr>
              <w:t>款号</w:t>
            </w:r>
          </w:p>
        </w:tc>
        <w:tc>
          <w:tcPr>
            <w:tcW w:w="1671" w:type="dxa"/>
            <w:noWrap w:val="0"/>
            <w:vAlign w:val="top"/>
          </w:tcPr>
          <w:p w14:paraId="751BAFDB">
            <w:pPr>
              <w:adjustRightInd w:val="0"/>
              <w:snapToGrid w:val="0"/>
              <w:spacing w:before="50" w:line="360" w:lineRule="auto"/>
              <w:jc w:val="center"/>
              <w:rPr>
                <w:color w:val="auto"/>
              </w:rPr>
            </w:pPr>
            <w:r>
              <w:rPr>
                <w:rFonts w:hint="eastAsia"/>
                <w:color w:val="auto"/>
                <w:lang w:eastAsia="zh-CN"/>
              </w:rPr>
              <w:t>招标</w:t>
            </w:r>
            <w:r>
              <w:rPr>
                <w:color w:val="auto"/>
              </w:rPr>
              <w:t>文件要求</w:t>
            </w:r>
          </w:p>
        </w:tc>
        <w:tc>
          <w:tcPr>
            <w:tcW w:w="1608" w:type="dxa"/>
            <w:noWrap w:val="0"/>
            <w:vAlign w:val="top"/>
          </w:tcPr>
          <w:p w14:paraId="53616095">
            <w:pPr>
              <w:adjustRightInd w:val="0"/>
              <w:snapToGrid w:val="0"/>
              <w:spacing w:before="50" w:line="360" w:lineRule="auto"/>
              <w:jc w:val="center"/>
              <w:rPr>
                <w:color w:val="auto"/>
              </w:rPr>
            </w:pPr>
            <w:r>
              <w:rPr>
                <w:color w:val="auto"/>
              </w:rPr>
              <w:t>投标文件应答</w:t>
            </w:r>
          </w:p>
        </w:tc>
        <w:tc>
          <w:tcPr>
            <w:tcW w:w="1513" w:type="dxa"/>
            <w:noWrap w:val="0"/>
            <w:vAlign w:val="center"/>
          </w:tcPr>
          <w:p w14:paraId="01BC7471">
            <w:pPr>
              <w:adjustRightInd w:val="0"/>
              <w:snapToGrid w:val="0"/>
              <w:spacing w:before="50" w:line="360" w:lineRule="auto"/>
              <w:ind w:left="-88" w:leftChars="-42"/>
              <w:jc w:val="center"/>
              <w:rPr>
                <w:color w:val="auto"/>
                <w:szCs w:val="21"/>
              </w:rPr>
            </w:pPr>
            <w:r>
              <w:rPr>
                <w:color w:val="auto"/>
                <w:szCs w:val="21"/>
              </w:rPr>
              <w:t>响应/偏离</w:t>
            </w:r>
          </w:p>
        </w:tc>
        <w:tc>
          <w:tcPr>
            <w:tcW w:w="1061" w:type="dxa"/>
            <w:noWrap w:val="0"/>
            <w:vAlign w:val="center"/>
          </w:tcPr>
          <w:p w14:paraId="4D270AE5">
            <w:pPr>
              <w:adjustRightInd w:val="0"/>
              <w:snapToGrid w:val="0"/>
              <w:spacing w:before="50" w:line="360" w:lineRule="auto"/>
              <w:ind w:left="-88" w:leftChars="-42"/>
              <w:jc w:val="center"/>
              <w:rPr>
                <w:color w:val="auto"/>
                <w:szCs w:val="21"/>
              </w:rPr>
            </w:pPr>
            <w:r>
              <w:rPr>
                <w:color w:val="auto"/>
                <w:szCs w:val="21"/>
              </w:rPr>
              <w:t>偏离说明</w:t>
            </w:r>
          </w:p>
        </w:tc>
      </w:tr>
      <w:tr w14:paraId="7B8E66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15F9C5E8">
            <w:pPr>
              <w:adjustRightInd w:val="0"/>
              <w:snapToGrid w:val="0"/>
              <w:spacing w:before="50" w:line="360" w:lineRule="auto"/>
              <w:ind w:left="-88" w:leftChars="-42"/>
              <w:jc w:val="center"/>
              <w:rPr>
                <w:color w:val="auto"/>
                <w:szCs w:val="21"/>
              </w:rPr>
            </w:pPr>
          </w:p>
        </w:tc>
        <w:tc>
          <w:tcPr>
            <w:tcW w:w="1877" w:type="dxa"/>
            <w:noWrap w:val="0"/>
            <w:vAlign w:val="center"/>
          </w:tcPr>
          <w:p w14:paraId="392C23DD">
            <w:pPr>
              <w:adjustRightInd w:val="0"/>
              <w:snapToGrid w:val="0"/>
              <w:spacing w:before="50" w:line="360" w:lineRule="auto"/>
              <w:ind w:left="-88" w:leftChars="-42"/>
              <w:jc w:val="center"/>
              <w:rPr>
                <w:color w:val="auto"/>
                <w:szCs w:val="21"/>
              </w:rPr>
            </w:pPr>
          </w:p>
        </w:tc>
        <w:tc>
          <w:tcPr>
            <w:tcW w:w="1671" w:type="dxa"/>
            <w:noWrap w:val="0"/>
            <w:vAlign w:val="center"/>
          </w:tcPr>
          <w:p w14:paraId="23CF0271">
            <w:pPr>
              <w:adjustRightInd w:val="0"/>
              <w:snapToGrid w:val="0"/>
              <w:spacing w:before="50" w:line="360" w:lineRule="auto"/>
              <w:ind w:left="-88" w:leftChars="-42"/>
              <w:jc w:val="center"/>
              <w:rPr>
                <w:color w:val="auto"/>
                <w:szCs w:val="21"/>
              </w:rPr>
            </w:pPr>
          </w:p>
        </w:tc>
        <w:tc>
          <w:tcPr>
            <w:tcW w:w="1608" w:type="dxa"/>
            <w:noWrap w:val="0"/>
            <w:vAlign w:val="center"/>
          </w:tcPr>
          <w:p w14:paraId="7B00A98E">
            <w:pPr>
              <w:adjustRightInd w:val="0"/>
              <w:snapToGrid w:val="0"/>
              <w:spacing w:before="50" w:line="360" w:lineRule="auto"/>
              <w:ind w:left="-88" w:leftChars="-42"/>
              <w:jc w:val="center"/>
              <w:rPr>
                <w:color w:val="auto"/>
                <w:szCs w:val="21"/>
              </w:rPr>
            </w:pPr>
          </w:p>
        </w:tc>
        <w:tc>
          <w:tcPr>
            <w:tcW w:w="1513" w:type="dxa"/>
            <w:noWrap w:val="0"/>
            <w:vAlign w:val="center"/>
          </w:tcPr>
          <w:p w14:paraId="0AD37B28">
            <w:pPr>
              <w:adjustRightInd w:val="0"/>
              <w:snapToGrid w:val="0"/>
              <w:spacing w:before="50" w:line="360" w:lineRule="auto"/>
              <w:ind w:left="-88" w:leftChars="-42"/>
              <w:jc w:val="center"/>
              <w:rPr>
                <w:color w:val="auto"/>
                <w:szCs w:val="21"/>
              </w:rPr>
            </w:pPr>
          </w:p>
        </w:tc>
        <w:tc>
          <w:tcPr>
            <w:tcW w:w="1061" w:type="dxa"/>
            <w:noWrap w:val="0"/>
            <w:vAlign w:val="center"/>
          </w:tcPr>
          <w:p w14:paraId="529D8C41">
            <w:pPr>
              <w:adjustRightInd w:val="0"/>
              <w:snapToGrid w:val="0"/>
              <w:spacing w:before="50" w:line="360" w:lineRule="auto"/>
              <w:ind w:left="-88" w:leftChars="-42"/>
              <w:jc w:val="center"/>
              <w:rPr>
                <w:color w:val="auto"/>
                <w:szCs w:val="21"/>
              </w:rPr>
            </w:pPr>
          </w:p>
        </w:tc>
      </w:tr>
      <w:tr w14:paraId="0DB2B1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29B3537A">
            <w:pPr>
              <w:adjustRightInd w:val="0"/>
              <w:snapToGrid w:val="0"/>
              <w:spacing w:before="50" w:line="360" w:lineRule="auto"/>
              <w:ind w:left="-88" w:leftChars="-42"/>
              <w:jc w:val="center"/>
              <w:rPr>
                <w:color w:val="auto"/>
                <w:szCs w:val="21"/>
              </w:rPr>
            </w:pPr>
          </w:p>
        </w:tc>
        <w:tc>
          <w:tcPr>
            <w:tcW w:w="1877" w:type="dxa"/>
            <w:noWrap w:val="0"/>
            <w:vAlign w:val="center"/>
          </w:tcPr>
          <w:p w14:paraId="443263BA">
            <w:pPr>
              <w:adjustRightInd w:val="0"/>
              <w:snapToGrid w:val="0"/>
              <w:spacing w:before="50" w:line="360" w:lineRule="auto"/>
              <w:ind w:left="-88" w:leftChars="-42"/>
              <w:jc w:val="center"/>
              <w:rPr>
                <w:color w:val="auto"/>
                <w:szCs w:val="21"/>
              </w:rPr>
            </w:pPr>
          </w:p>
        </w:tc>
        <w:tc>
          <w:tcPr>
            <w:tcW w:w="1671" w:type="dxa"/>
            <w:noWrap w:val="0"/>
            <w:vAlign w:val="center"/>
          </w:tcPr>
          <w:p w14:paraId="52A94067">
            <w:pPr>
              <w:adjustRightInd w:val="0"/>
              <w:snapToGrid w:val="0"/>
              <w:spacing w:before="50" w:line="360" w:lineRule="auto"/>
              <w:ind w:left="-88" w:leftChars="-42"/>
              <w:jc w:val="center"/>
              <w:rPr>
                <w:color w:val="auto"/>
                <w:szCs w:val="21"/>
              </w:rPr>
            </w:pPr>
          </w:p>
        </w:tc>
        <w:tc>
          <w:tcPr>
            <w:tcW w:w="1608" w:type="dxa"/>
            <w:noWrap w:val="0"/>
            <w:vAlign w:val="center"/>
          </w:tcPr>
          <w:p w14:paraId="6ECCA732">
            <w:pPr>
              <w:adjustRightInd w:val="0"/>
              <w:snapToGrid w:val="0"/>
              <w:spacing w:before="50" w:line="360" w:lineRule="auto"/>
              <w:ind w:left="-88" w:leftChars="-42"/>
              <w:jc w:val="center"/>
              <w:rPr>
                <w:color w:val="auto"/>
                <w:szCs w:val="21"/>
              </w:rPr>
            </w:pPr>
          </w:p>
        </w:tc>
        <w:tc>
          <w:tcPr>
            <w:tcW w:w="1513" w:type="dxa"/>
            <w:noWrap w:val="0"/>
            <w:vAlign w:val="center"/>
          </w:tcPr>
          <w:p w14:paraId="462274B4">
            <w:pPr>
              <w:adjustRightInd w:val="0"/>
              <w:snapToGrid w:val="0"/>
              <w:spacing w:before="50" w:line="360" w:lineRule="auto"/>
              <w:ind w:left="-88" w:leftChars="-42"/>
              <w:jc w:val="center"/>
              <w:rPr>
                <w:color w:val="auto"/>
                <w:szCs w:val="21"/>
              </w:rPr>
            </w:pPr>
          </w:p>
        </w:tc>
        <w:tc>
          <w:tcPr>
            <w:tcW w:w="1061" w:type="dxa"/>
            <w:noWrap w:val="0"/>
            <w:vAlign w:val="center"/>
          </w:tcPr>
          <w:p w14:paraId="0E725F2C">
            <w:pPr>
              <w:adjustRightInd w:val="0"/>
              <w:snapToGrid w:val="0"/>
              <w:spacing w:before="50" w:line="360" w:lineRule="auto"/>
              <w:ind w:left="-88" w:leftChars="-42"/>
              <w:jc w:val="center"/>
              <w:rPr>
                <w:color w:val="auto"/>
                <w:szCs w:val="21"/>
              </w:rPr>
            </w:pPr>
          </w:p>
        </w:tc>
      </w:tr>
      <w:tr w14:paraId="4172A7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249B3BF3">
            <w:pPr>
              <w:adjustRightInd w:val="0"/>
              <w:snapToGrid w:val="0"/>
              <w:spacing w:before="50" w:line="360" w:lineRule="auto"/>
              <w:ind w:left="-88" w:leftChars="-42"/>
              <w:jc w:val="center"/>
              <w:rPr>
                <w:color w:val="auto"/>
                <w:szCs w:val="21"/>
              </w:rPr>
            </w:pPr>
          </w:p>
        </w:tc>
        <w:tc>
          <w:tcPr>
            <w:tcW w:w="1877" w:type="dxa"/>
            <w:noWrap w:val="0"/>
            <w:vAlign w:val="center"/>
          </w:tcPr>
          <w:p w14:paraId="50F13E98">
            <w:pPr>
              <w:adjustRightInd w:val="0"/>
              <w:snapToGrid w:val="0"/>
              <w:spacing w:before="50" w:line="360" w:lineRule="auto"/>
              <w:ind w:left="-88" w:leftChars="-42"/>
              <w:jc w:val="center"/>
              <w:rPr>
                <w:color w:val="auto"/>
                <w:szCs w:val="21"/>
              </w:rPr>
            </w:pPr>
          </w:p>
        </w:tc>
        <w:tc>
          <w:tcPr>
            <w:tcW w:w="1671" w:type="dxa"/>
            <w:noWrap w:val="0"/>
            <w:vAlign w:val="center"/>
          </w:tcPr>
          <w:p w14:paraId="7E1D6FCC">
            <w:pPr>
              <w:adjustRightInd w:val="0"/>
              <w:snapToGrid w:val="0"/>
              <w:spacing w:before="50" w:line="360" w:lineRule="auto"/>
              <w:ind w:left="-88" w:leftChars="-42"/>
              <w:jc w:val="center"/>
              <w:rPr>
                <w:color w:val="auto"/>
                <w:szCs w:val="21"/>
              </w:rPr>
            </w:pPr>
          </w:p>
        </w:tc>
        <w:tc>
          <w:tcPr>
            <w:tcW w:w="1608" w:type="dxa"/>
            <w:noWrap w:val="0"/>
            <w:vAlign w:val="center"/>
          </w:tcPr>
          <w:p w14:paraId="36B2B594">
            <w:pPr>
              <w:adjustRightInd w:val="0"/>
              <w:snapToGrid w:val="0"/>
              <w:spacing w:before="50" w:line="360" w:lineRule="auto"/>
              <w:ind w:left="-88" w:leftChars="-42"/>
              <w:jc w:val="center"/>
              <w:rPr>
                <w:color w:val="auto"/>
                <w:szCs w:val="21"/>
              </w:rPr>
            </w:pPr>
          </w:p>
        </w:tc>
        <w:tc>
          <w:tcPr>
            <w:tcW w:w="1513" w:type="dxa"/>
            <w:noWrap w:val="0"/>
            <w:vAlign w:val="center"/>
          </w:tcPr>
          <w:p w14:paraId="3101515A">
            <w:pPr>
              <w:adjustRightInd w:val="0"/>
              <w:snapToGrid w:val="0"/>
              <w:spacing w:before="50" w:line="360" w:lineRule="auto"/>
              <w:ind w:left="-88" w:leftChars="-42"/>
              <w:jc w:val="center"/>
              <w:rPr>
                <w:color w:val="auto"/>
                <w:szCs w:val="21"/>
              </w:rPr>
            </w:pPr>
          </w:p>
        </w:tc>
        <w:tc>
          <w:tcPr>
            <w:tcW w:w="1061" w:type="dxa"/>
            <w:noWrap w:val="0"/>
            <w:vAlign w:val="center"/>
          </w:tcPr>
          <w:p w14:paraId="227CF019">
            <w:pPr>
              <w:adjustRightInd w:val="0"/>
              <w:snapToGrid w:val="0"/>
              <w:spacing w:before="50" w:line="360" w:lineRule="auto"/>
              <w:ind w:left="-88" w:leftChars="-42"/>
              <w:jc w:val="center"/>
              <w:rPr>
                <w:color w:val="auto"/>
                <w:szCs w:val="21"/>
              </w:rPr>
            </w:pPr>
          </w:p>
        </w:tc>
      </w:tr>
      <w:tr w14:paraId="7E1A52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8357" w:type="dxa"/>
            <w:gridSpan w:val="6"/>
            <w:noWrap w:val="0"/>
            <w:vAlign w:val="center"/>
          </w:tcPr>
          <w:p w14:paraId="79645379">
            <w:pPr>
              <w:rPr>
                <w:b/>
                <w:color w:val="auto"/>
              </w:rPr>
            </w:pPr>
          </w:p>
        </w:tc>
      </w:tr>
    </w:tbl>
    <w:p w14:paraId="37BC78CB">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14:paraId="706D62E9">
      <w:pPr>
        <w:adjustRightInd w:val="0"/>
        <w:snapToGrid w:val="0"/>
        <w:spacing w:before="50" w:line="360" w:lineRule="auto"/>
        <w:ind w:left="-88" w:leftChars="-42"/>
        <w:rPr>
          <w:rFonts w:hint="eastAsia"/>
          <w:color w:val="auto"/>
          <w:sz w:val="24"/>
        </w:rPr>
      </w:pPr>
      <w:r>
        <w:rPr>
          <w:color w:val="auto"/>
          <w:sz w:val="24"/>
        </w:rPr>
        <w:t>（1）投标人应根据文件第</w:t>
      </w:r>
      <w:r>
        <w:rPr>
          <w:rFonts w:hint="eastAsia"/>
          <w:color w:val="auto"/>
          <w:sz w:val="24"/>
          <w:lang w:val="en-US" w:eastAsia="zh-CN"/>
        </w:rPr>
        <w:t>二</w:t>
      </w:r>
      <w:r>
        <w:rPr>
          <w:color w:val="auto"/>
          <w:sz w:val="24"/>
        </w:rPr>
        <w:t>章中采购需求填写本表，逐条应答；</w:t>
      </w:r>
    </w:p>
    <w:p w14:paraId="35793618">
      <w:pPr>
        <w:adjustRightInd w:val="0"/>
        <w:snapToGrid w:val="0"/>
        <w:spacing w:before="50" w:line="360" w:lineRule="auto"/>
        <w:ind w:left="-88" w:leftChars="-42"/>
        <w:rPr>
          <w:rFonts w:hint="eastAsia"/>
          <w:color w:val="auto"/>
          <w:sz w:val="24"/>
        </w:rPr>
      </w:pPr>
      <w:r>
        <w:rPr>
          <w:color w:val="auto"/>
          <w:sz w:val="24"/>
        </w:rPr>
        <w:t>（2）如不提供此表，则视为投标人不满足文件第</w:t>
      </w:r>
      <w:r>
        <w:rPr>
          <w:rFonts w:hint="eastAsia"/>
          <w:color w:val="auto"/>
          <w:sz w:val="24"/>
          <w:lang w:eastAsia="zh-CN"/>
        </w:rPr>
        <w:t>二</w:t>
      </w:r>
      <w:r>
        <w:rPr>
          <w:color w:val="auto"/>
          <w:sz w:val="24"/>
        </w:rPr>
        <w:t>章的所有条款要求，其投标无效；</w:t>
      </w:r>
    </w:p>
    <w:p w14:paraId="62212A7D">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本项目为综合评分法，所有参数必须在响应表中逐条应答。</w:t>
      </w:r>
    </w:p>
    <w:p w14:paraId="7495F60F">
      <w:pPr>
        <w:pStyle w:val="18"/>
        <w:rPr>
          <w:color w:val="auto"/>
        </w:rPr>
      </w:pPr>
    </w:p>
    <w:p w14:paraId="45DD946D">
      <w:pPr>
        <w:pStyle w:val="17"/>
        <w:rPr>
          <w:rFonts w:hint="eastAsia"/>
          <w:lang w:eastAsia="zh-CN"/>
        </w:rPr>
      </w:pPr>
    </w:p>
    <w:p w14:paraId="592F7DBB"/>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92FC7">
    <w:pPr>
      <w:pStyle w:val="6"/>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7CC904">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67CC904">
                    <w:pPr>
                      <w:pStyle w:val="6"/>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04CB1AD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2D8BF">
    <w:pPr>
      <w:pStyle w:val="6"/>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EC317D">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AEC317D">
                    <w:pPr>
                      <w:pStyle w:val="6"/>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5C68B4DA">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4B662">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EB67FE42"/>
    <w:multiLevelType w:val="singleLevel"/>
    <w:tmpl w:val="EB67FE42"/>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1350E35"/>
    <w:rsid w:val="0232271D"/>
    <w:rsid w:val="02390242"/>
    <w:rsid w:val="03E43FAE"/>
    <w:rsid w:val="04653F41"/>
    <w:rsid w:val="048850CC"/>
    <w:rsid w:val="04B72FC8"/>
    <w:rsid w:val="04F57A38"/>
    <w:rsid w:val="050719CA"/>
    <w:rsid w:val="06934BAA"/>
    <w:rsid w:val="06E91EC4"/>
    <w:rsid w:val="072C3CBA"/>
    <w:rsid w:val="07583825"/>
    <w:rsid w:val="086F75C9"/>
    <w:rsid w:val="09C0303A"/>
    <w:rsid w:val="0A3F4F3C"/>
    <w:rsid w:val="0A510573"/>
    <w:rsid w:val="0A6D3244"/>
    <w:rsid w:val="0A8A74D4"/>
    <w:rsid w:val="0CAD77BD"/>
    <w:rsid w:val="0E331420"/>
    <w:rsid w:val="0EDD1643"/>
    <w:rsid w:val="0FB9029C"/>
    <w:rsid w:val="10897B23"/>
    <w:rsid w:val="10914EF9"/>
    <w:rsid w:val="10B8663C"/>
    <w:rsid w:val="12080B62"/>
    <w:rsid w:val="12994AC5"/>
    <w:rsid w:val="129F447F"/>
    <w:rsid w:val="12C86253"/>
    <w:rsid w:val="1424680F"/>
    <w:rsid w:val="14E40477"/>
    <w:rsid w:val="15060AC8"/>
    <w:rsid w:val="15125EAE"/>
    <w:rsid w:val="15675A4C"/>
    <w:rsid w:val="17F91BB8"/>
    <w:rsid w:val="193E7D91"/>
    <w:rsid w:val="1943608F"/>
    <w:rsid w:val="19E40286"/>
    <w:rsid w:val="19E91315"/>
    <w:rsid w:val="1AF56B46"/>
    <w:rsid w:val="1C795D39"/>
    <w:rsid w:val="1C995471"/>
    <w:rsid w:val="1CDB42B8"/>
    <w:rsid w:val="1CE412C7"/>
    <w:rsid w:val="1D5071B5"/>
    <w:rsid w:val="1DD7486D"/>
    <w:rsid w:val="1E79119D"/>
    <w:rsid w:val="1F334F58"/>
    <w:rsid w:val="1F796B24"/>
    <w:rsid w:val="1FC602A8"/>
    <w:rsid w:val="1FE73549"/>
    <w:rsid w:val="2038045E"/>
    <w:rsid w:val="20AF0900"/>
    <w:rsid w:val="20B41DA7"/>
    <w:rsid w:val="21C61C7A"/>
    <w:rsid w:val="2383771E"/>
    <w:rsid w:val="23F374DB"/>
    <w:rsid w:val="24881A32"/>
    <w:rsid w:val="25266F96"/>
    <w:rsid w:val="267547DF"/>
    <w:rsid w:val="272B6E6C"/>
    <w:rsid w:val="27CF2BB7"/>
    <w:rsid w:val="28E81B29"/>
    <w:rsid w:val="28FD390A"/>
    <w:rsid w:val="29B45A41"/>
    <w:rsid w:val="2A174DA9"/>
    <w:rsid w:val="2AB010A8"/>
    <w:rsid w:val="2AC66F99"/>
    <w:rsid w:val="2C0A2E19"/>
    <w:rsid w:val="2C7642D0"/>
    <w:rsid w:val="2CC97A35"/>
    <w:rsid w:val="2CDC672B"/>
    <w:rsid w:val="2DD77C64"/>
    <w:rsid w:val="2DDA1E78"/>
    <w:rsid w:val="2DE00B8C"/>
    <w:rsid w:val="2EAC037F"/>
    <w:rsid w:val="2EB67A5C"/>
    <w:rsid w:val="302741D2"/>
    <w:rsid w:val="308B184D"/>
    <w:rsid w:val="309C1E01"/>
    <w:rsid w:val="30BB11DD"/>
    <w:rsid w:val="31F17CD1"/>
    <w:rsid w:val="324F4D43"/>
    <w:rsid w:val="33384C93"/>
    <w:rsid w:val="340F06E9"/>
    <w:rsid w:val="34754AFE"/>
    <w:rsid w:val="34C12F54"/>
    <w:rsid w:val="361110A5"/>
    <w:rsid w:val="362C6900"/>
    <w:rsid w:val="366241E2"/>
    <w:rsid w:val="36B66AAC"/>
    <w:rsid w:val="36E47928"/>
    <w:rsid w:val="372F7378"/>
    <w:rsid w:val="37BA0809"/>
    <w:rsid w:val="38ED2343"/>
    <w:rsid w:val="38FF7404"/>
    <w:rsid w:val="39264AD8"/>
    <w:rsid w:val="397348CD"/>
    <w:rsid w:val="3A8E0AB7"/>
    <w:rsid w:val="3A994AB7"/>
    <w:rsid w:val="3B3B544D"/>
    <w:rsid w:val="3B654F2B"/>
    <w:rsid w:val="3BB72BAE"/>
    <w:rsid w:val="3BBA2C40"/>
    <w:rsid w:val="3BFC7D2B"/>
    <w:rsid w:val="3C7C799C"/>
    <w:rsid w:val="3C8A61A4"/>
    <w:rsid w:val="3D5E17FF"/>
    <w:rsid w:val="3DF93413"/>
    <w:rsid w:val="3DFD1951"/>
    <w:rsid w:val="3E1F0DA4"/>
    <w:rsid w:val="3E584E51"/>
    <w:rsid w:val="3E6E70D5"/>
    <w:rsid w:val="3EBE1ADE"/>
    <w:rsid w:val="403B4B34"/>
    <w:rsid w:val="40B32632"/>
    <w:rsid w:val="4140452A"/>
    <w:rsid w:val="414D7889"/>
    <w:rsid w:val="41BB0BAE"/>
    <w:rsid w:val="425629F5"/>
    <w:rsid w:val="4284152B"/>
    <w:rsid w:val="429A4992"/>
    <w:rsid w:val="435B161D"/>
    <w:rsid w:val="43B25DAC"/>
    <w:rsid w:val="44771DFD"/>
    <w:rsid w:val="45D569C3"/>
    <w:rsid w:val="4791030F"/>
    <w:rsid w:val="479B74B7"/>
    <w:rsid w:val="48735221"/>
    <w:rsid w:val="49E92B05"/>
    <w:rsid w:val="4A354E62"/>
    <w:rsid w:val="4AEE1A11"/>
    <w:rsid w:val="4B7F39F4"/>
    <w:rsid w:val="4BAE646F"/>
    <w:rsid w:val="4C2067C9"/>
    <w:rsid w:val="4C4D6AA3"/>
    <w:rsid w:val="4CAC1559"/>
    <w:rsid w:val="4D754257"/>
    <w:rsid w:val="4DCD6AB3"/>
    <w:rsid w:val="4EE7662F"/>
    <w:rsid w:val="50216DCD"/>
    <w:rsid w:val="50540C20"/>
    <w:rsid w:val="506258C6"/>
    <w:rsid w:val="51AC28BD"/>
    <w:rsid w:val="52183ACC"/>
    <w:rsid w:val="521E2A7F"/>
    <w:rsid w:val="53B55872"/>
    <w:rsid w:val="544055F2"/>
    <w:rsid w:val="54AD4386"/>
    <w:rsid w:val="55D8243C"/>
    <w:rsid w:val="56551179"/>
    <w:rsid w:val="581A7C72"/>
    <w:rsid w:val="583A4BD7"/>
    <w:rsid w:val="59C51B68"/>
    <w:rsid w:val="59C74B1F"/>
    <w:rsid w:val="5A886F59"/>
    <w:rsid w:val="5DB23133"/>
    <w:rsid w:val="604D5946"/>
    <w:rsid w:val="611B6B1B"/>
    <w:rsid w:val="62C222C2"/>
    <w:rsid w:val="632D7C40"/>
    <w:rsid w:val="64133D6A"/>
    <w:rsid w:val="64245572"/>
    <w:rsid w:val="66C30AF5"/>
    <w:rsid w:val="672737CD"/>
    <w:rsid w:val="678E4F5D"/>
    <w:rsid w:val="67F3562A"/>
    <w:rsid w:val="680E122C"/>
    <w:rsid w:val="69EC3F9D"/>
    <w:rsid w:val="6A4E1D63"/>
    <w:rsid w:val="6AA026F2"/>
    <w:rsid w:val="6ACA059E"/>
    <w:rsid w:val="6B592423"/>
    <w:rsid w:val="6C486FE4"/>
    <w:rsid w:val="6CA409DF"/>
    <w:rsid w:val="6DE375E4"/>
    <w:rsid w:val="6E8E5287"/>
    <w:rsid w:val="6FAC3B48"/>
    <w:rsid w:val="6FAD463B"/>
    <w:rsid w:val="6FBE332C"/>
    <w:rsid w:val="70CE0BC9"/>
    <w:rsid w:val="71554367"/>
    <w:rsid w:val="71584067"/>
    <w:rsid w:val="71F26E91"/>
    <w:rsid w:val="72931CE4"/>
    <w:rsid w:val="735201FF"/>
    <w:rsid w:val="73714961"/>
    <w:rsid w:val="737B50A4"/>
    <w:rsid w:val="73F40E72"/>
    <w:rsid w:val="74370FDC"/>
    <w:rsid w:val="74566F5C"/>
    <w:rsid w:val="750117A8"/>
    <w:rsid w:val="755B2270"/>
    <w:rsid w:val="75E27514"/>
    <w:rsid w:val="7612420D"/>
    <w:rsid w:val="76920D75"/>
    <w:rsid w:val="76C47877"/>
    <w:rsid w:val="77423DFF"/>
    <w:rsid w:val="783B5EA9"/>
    <w:rsid w:val="79EB699D"/>
    <w:rsid w:val="79F871CC"/>
    <w:rsid w:val="7AFF5E62"/>
    <w:rsid w:val="7B0620DE"/>
    <w:rsid w:val="7BBF44BB"/>
    <w:rsid w:val="7BF15CE4"/>
    <w:rsid w:val="7C3A27E5"/>
    <w:rsid w:val="7D9727DD"/>
    <w:rsid w:val="7DCB30EB"/>
    <w:rsid w:val="7E2F518C"/>
    <w:rsid w:val="7EFB4F6E"/>
    <w:rsid w:val="7F164138"/>
    <w:rsid w:val="7F1A5E95"/>
    <w:rsid w:val="7FFB0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99"/>
    <w:pPr>
      <w:spacing w:line="400" w:lineRule="exact"/>
      <w:ind w:left="630"/>
    </w:pPr>
    <w:rPr>
      <w:rFonts w:ascii="楷体_GB2312"/>
      <w:sz w:val="30"/>
      <w:szCs w:val="30"/>
    </w:rPr>
  </w:style>
  <w:style w:type="paragraph" w:styleId="5">
    <w:name w:val="Date"/>
    <w:basedOn w:val="1"/>
    <w:next w:val="1"/>
    <w:qFormat/>
    <w:uiPriority w:val="0"/>
    <w:rPr>
      <w:color w:val="000000"/>
      <w:kern w:val="0"/>
      <w:sz w:val="30"/>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styleId="9">
    <w:name w:val="Body Text First Indent 2"/>
    <w:basedOn w:val="4"/>
    <w:qFormat/>
    <w:uiPriority w:val="0"/>
    <w:pPr>
      <w:overflowPunct w:val="0"/>
      <w:adjustRightInd w:val="0"/>
      <w:spacing w:line="500" w:lineRule="exact"/>
      <w:ind w:firstLine="420" w:firstLineChars="200"/>
      <w:textAlignment w:val="baseline"/>
    </w:pPr>
    <w:rPr>
      <w:rFonts w:eastAsia="仿宋_GB2312"/>
      <w:kern w:val="28"/>
      <w:sz w:val="2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Emphasis"/>
    <w:basedOn w:val="12"/>
    <w:qFormat/>
    <w:uiPriority w:val="20"/>
    <w:rPr>
      <w:i/>
    </w:rPr>
  </w:style>
  <w:style w:type="paragraph" w:customStyle="1" w:styleId="14">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5">
    <w:name w:val="Default"/>
    <w:next w:val="16"/>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6">
    <w:name w:val="大标题"/>
    <w:basedOn w:val="1"/>
    <w:next w:val="9"/>
    <w:qFormat/>
    <w:uiPriority w:val="0"/>
    <w:pPr>
      <w:jc w:val="center"/>
    </w:pPr>
    <w:rPr>
      <w:rFonts w:ascii="Arial" w:hAnsi="Arial" w:eastAsia="宋体"/>
      <w:b/>
      <w:sz w:val="28"/>
      <w:szCs w:val="24"/>
    </w:rPr>
  </w:style>
  <w:style w:type="paragraph" w:customStyle="1" w:styleId="17">
    <w:name w:val="列出段落1"/>
    <w:basedOn w:val="1"/>
    <w:qFormat/>
    <w:uiPriority w:val="99"/>
    <w:pPr>
      <w:ind w:firstLine="420" w:firstLineChars="200"/>
    </w:pPr>
  </w:style>
  <w:style w:type="paragraph" w:customStyle="1" w:styleId="18">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9">
    <w:name w:val="List Paragraph"/>
    <w:basedOn w:val="1"/>
    <w:qFormat/>
    <w:uiPriority w:val="34"/>
    <w:pPr>
      <w:ind w:firstLine="420" w:firstLineChars="200"/>
    </w:pPr>
    <w:rPr>
      <w:rFonts w:ascii="Calibri" w:hAnsi="Calibri"/>
      <w:szCs w:val="22"/>
    </w:rPr>
  </w:style>
  <w:style w:type="paragraph" w:customStyle="1" w:styleId="20">
    <w:name w:val="BodyText1I2"/>
    <w:basedOn w:val="21"/>
    <w:qFormat/>
    <w:uiPriority w:val="0"/>
    <w:pPr>
      <w:ind w:firstLine="420"/>
      <w:jc w:val="left"/>
    </w:pPr>
    <w:rPr>
      <w:rFonts w:ascii="Calibri" w:hAnsi="Calibri"/>
      <w:kern w:val="0"/>
    </w:rPr>
  </w:style>
  <w:style w:type="paragraph" w:customStyle="1" w:styleId="21">
    <w:name w:val="BodyText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6778</Words>
  <Characters>7415</Characters>
  <Lines>0</Lines>
  <Paragraphs>0</Paragraphs>
  <TotalTime>0</TotalTime>
  <ScaleCrop>false</ScaleCrop>
  <LinksUpToDate>false</LinksUpToDate>
  <CharactersWithSpaces>7781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2026-05-08T07:06:54Z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3505A2AB25E048A4A9B0E6A6741CA1BA_11</vt:lpwstr>
  </property>
  <property fmtid="{D5CDD505-2E9C-101B-9397-08002B2CF9AE}" pid="4" name="KSOTemplateDocerSaveRecord">
    <vt:lpwstr>eyJoZGlkIjoiOWU3YmMxNGQ0NDE0NTRiYjQ3MWFkZjk1MWM2MTc2NWEiLCJ1c2VySWQiOiI0NDIzNjcyODQifQ==</vt:lpwstr>
  </property>
</Properties>
</file>