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21"/>
        <w:snapToGrid w:val="0"/>
        <w:jc w:val="center"/>
        <w:rPr>
          <w:rFonts w:hint="eastAsia" w:ascii="Arial" w:hAnsi="Arial" w:eastAsia="方正小标宋简体" w:cs="Arial"/>
          <w:sz w:val="72"/>
          <w:szCs w:val="72"/>
        </w:rPr>
      </w:pPr>
      <w:bookmarkStart w:id="0" w:name="_Toc16523570"/>
    </w:p>
    <w:p w14:paraId="75F3B684">
      <w:pPr>
        <w:pStyle w:val="21"/>
        <w:snapToGrid w:val="0"/>
        <w:jc w:val="center"/>
        <w:rPr>
          <w:rFonts w:hint="eastAsia" w:ascii="Arial" w:hAnsi="Arial" w:eastAsia="方正小标宋简体" w:cs="Arial"/>
          <w:sz w:val="72"/>
          <w:szCs w:val="72"/>
        </w:rPr>
      </w:pPr>
      <w:r>
        <w:rPr>
          <w:rFonts w:hint="eastAsia" w:ascii="Arial" w:hAnsi="Arial" w:eastAsia="方正小标宋简体" w:cs="Arial"/>
          <w:sz w:val="72"/>
          <w:szCs w:val="72"/>
          <w:lang w:eastAsia="zh-CN"/>
        </w:rPr>
        <w:t>娄底市中心医院</w:t>
      </w:r>
    </w:p>
    <w:p w14:paraId="65C368DD">
      <w:pPr>
        <w:pStyle w:val="21"/>
        <w:snapToGrid w:val="0"/>
        <w:jc w:val="center"/>
        <w:rPr>
          <w:rFonts w:hint="eastAsia" w:ascii="Arial" w:hAnsi="Arial" w:eastAsia="方正小标宋简体" w:cs="Arial"/>
          <w:sz w:val="72"/>
          <w:szCs w:val="72"/>
        </w:rPr>
      </w:pPr>
    </w:p>
    <w:p w14:paraId="11616A47">
      <w:pPr>
        <w:pStyle w:val="21"/>
        <w:snapToGrid w:val="0"/>
        <w:jc w:val="center"/>
        <w:rPr>
          <w:rFonts w:hint="eastAsia" w:ascii="Arial" w:hAnsi="Arial" w:eastAsia="方正小标宋简体" w:cs="Arial"/>
          <w:sz w:val="72"/>
          <w:szCs w:val="72"/>
        </w:rPr>
      </w:pPr>
    </w:p>
    <w:p w14:paraId="39F8D380">
      <w:pPr>
        <w:pStyle w:val="21"/>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21"/>
        <w:snapToGrid w:val="0"/>
        <w:jc w:val="center"/>
        <w:rPr>
          <w:rFonts w:ascii="Arial" w:hAnsi="Arial" w:cs="Arial"/>
          <w:sz w:val="32"/>
          <w:szCs w:val="32"/>
        </w:rPr>
      </w:pPr>
    </w:p>
    <w:p w14:paraId="409EB72F">
      <w:pPr>
        <w:pStyle w:val="22"/>
        <w:rPr>
          <w:rFonts w:ascii="Arial" w:hAnsi="Arial" w:cs="Arial"/>
          <w:sz w:val="32"/>
          <w:szCs w:val="32"/>
        </w:rPr>
      </w:pPr>
    </w:p>
    <w:p w14:paraId="668BDAFE">
      <w:pPr>
        <w:pStyle w:val="6"/>
        <w:rPr>
          <w:rFonts w:ascii="Arial" w:hAnsi="Arial" w:cs="Arial"/>
          <w:sz w:val="32"/>
          <w:szCs w:val="32"/>
        </w:rPr>
      </w:pPr>
    </w:p>
    <w:p w14:paraId="30B28264">
      <w:pPr>
        <w:pStyle w:val="6"/>
        <w:rPr>
          <w:rFonts w:ascii="Arial" w:hAnsi="Arial" w:cs="Arial"/>
          <w:sz w:val="32"/>
          <w:szCs w:val="32"/>
        </w:rPr>
      </w:pPr>
    </w:p>
    <w:p w14:paraId="45C922C2">
      <w:pPr>
        <w:pStyle w:val="6"/>
        <w:rPr>
          <w:rFonts w:ascii="Arial" w:hAnsi="Arial" w:cs="Arial"/>
          <w:sz w:val="32"/>
          <w:szCs w:val="32"/>
        </w:rPr>
      </w:pPr>
    </w:p>
    <w:p w14:paraId="0233B328">
      <w:pPr>
        <w:pStyle w:val="6"/>
        <w:rPr>
          <w:rFonts w:ascii="Arial" w:hAnsi="Arial" w:cs="Arial"/>
          <w:sz w:val="32"/>
          <w:szCs w:val="32"/>
        </w:rPr>
      </w:pPr>
    </w:p>
    <w:p w14:paraId="65E4BC6C">
      <w:pPr>
        <w:pStyle w:val="6"/>
        <w:rPr>
          <w:rFonts w:ascii="Arial" w:hAnsi="Arial" w:cs="Arial"/>
          <w:sz w:val="32"/>
          <w:szCs w:val="32"/>
        </w:rPr>
      </w:pPr>
    </w:p>
    <w:p w14:paraId="7577245D">
      <w:pPr>
        <w:pStyle w:val="6"/>
        <w:rPr>
          <w:rFonts w:ascii="Arial" w:hAnsi="Arial" w:cs="Arial"/>
          <w:sz w:val="32"/>
          <w:szCs w:val="32"/>
        </w:rPr>
      </w:pPr>
    </w:p>
    <w:p w14:paraId="0A4AE94E">
      <w:pPr>
        <w:pStyle w:val="21"/>
        <w:snapToGrid w:val="0"/>
        <w:jc w:val="center"/>
        <w:rPr>
          <w:rFonts w:ascii="Arial" w:hAnsi="Arial" w:cs="Arial"/>
          <w:sz w:val="32"/>
          <w:szCs w:val="32"/>
        </w:rPr>
      </w:pPr>
    </w:p>
    <w:p w14:paraId="13C7226F">
      <w:pPr>
        <w:pStyle w:val="21"/>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娄底市中心医院无纸化会议设备</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21"/>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娄底市中心医院无纸化会议设备</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21"/>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21"/>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娄底市中心医院无纸化会议设备</w:t>
      </w:r>
      <w:r>
        <w:rPr>
          <w:rFonts w:hint="eastAsia" w:asciiTheme="minorEastAsia" w:hAnsiTheme="minorEastAsia" w:eastAsiaTheme="minorEastAsia" w:cstheme="minorEastAsia"/>
          <w:b w:val="0"/>
          <w:bCs/>
          <w:color w:val="auto"/>
          <w:sz w:val="24"/>
          <w:szCs w:val="24"/>
          <w:lang w:val="en-US" w:eastAsia="zh-CN"/>
        </w:rPr>
        <w:t>项目</w:t>
      </w:r>
    </w:p>
    <w:p w14:paraId="0CDBF21C">
      <w:pPr>
        <w:pStyle w:val="21"/>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67F7E3C9">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2、开标地点;娄底市中心医院五、采购人地址和联系方法：</w:t>
      </w:r>
    </w:p>
    <w:p w14:paraId="3A0BCB2E">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2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22"/>
        <w:rPr>
          <w:rFonts w:hint="eastAsia"/>
          <w:lang w:val="en-US" w:eastAsia="zh-CN"/>
        </w:rPr>
      </w:pPr>
    </w:p>
    <w:p w14:paraId="7E250597">
      <w:pPr>
        <w:pStyle w:val="22"/>
        <w:jc w:val="both"/>
        <w:rPr>
          <w:rFonts w:hint="default"/>
          <w:lang w:val="en-US" w:eastAsia="zh-CN"/>
        </w:rPr>
      </w:pPr>
    </w:p>
    <w:p w14:paraId="22CD3DC2">
      <w:pPr>
        <w:pStyle w:val="2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br w:type="page"/>
      </w:r>
    </w:p>
    <w:p w14:paraId="7FF5E5C3">
      <w:pPr>
        <w:rPr>
          <w:rFonts w:hint="eastAsia"/>
          <w:lang w:val="en-US" w:eastAsia="zh-CN"/>
        </w:rPr>
      </w:pPr>
    </w:p>
    <w:p w14:paraId="28624900">
      <w:pPr>
        <w:pStyle w:val="2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6"/>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74B0716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9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数量</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1CE676C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娄底市中心医院无纸化会议设备</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12套</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8.76</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1713A3D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CPU处理器：</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国产化处理器</w:t>
      </w:r>
    </w:p>
    <w:p w14:paraId="72DEDAD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存储容量：</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RAM≥12GB ；ROM≥512GB</w:t>
      </w:r>
    </w:p>
    <w:p w14:paraId="7403D00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操作系统：</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Android 11及以上或Harmony 4.0及以上</w:t>
      </w:r>
    </w:p>
    <w:p w14:paraId="72038B1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屏幕尺寸：</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13.0英寸≤屏幕≤14.0英寸</w:t>
      </w:r>
    </w:p>
    <w:p w14:paraId="4FF452C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屏幕分辨率：分辨率≥2880×1920</w:t>
      </w:r>
    </w:p>
    <w:p w14:paraId="382FD5E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屏幕刷新率:</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≥144Hz</w:t>
      </w:r>
    </w:p>
    <w:p w14:paraId="4566768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屏幕亮度:最大屏幕亮度值≥1000nits</w:t>
      </w:r>
    </w:p>
    <w:p w14:paraId="7D37282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8</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屏幕类型:OLED屏</w:t>
      </w:r>
    </w:p>
    <w:p w14:paraId="7998CC8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9</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电池容量:电池典型值容量≥10000mAh</w:t>
      </w:r>
    </w:p>
    <w:p w14:paraId="337737F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10</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电源:输入100～240V 50Hz/60Hz， Type-C充电接口 ，主机支持最大充电功率≥100W</w:t>
      </w:r>
    </w:p>
    <w:p w14:paraId="10138B3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11</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前置摄像头</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≥1600万像素</w:t>
      </w:r>
    </w:p>
    <w:p w14:paraId="4DD1F2A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12</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后置摄像头</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≥5000万像素</w:t>
      </w:r>
    </w:p>
    <w:p w14:paraId="225FDC2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13</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接口:Type-C接口（支持数据传输、连接外部设备）</w:t>
      </w:r>
    </w:p>
    <w:p w14:paraId="66DEA08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14</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WIFI:支持802.11 a/b/g/n/ac/ax无线协议</w:t>
      </w:r>
    </w:p>
    <w:p w14:paraId="6FFF6FE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15</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蓝牙:支持蓝牙5.2并向下兼容</w:t>
      </w:r>
    </w:p>
    <w:p w14:paraId="067D084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16</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后壳材质:塑胶、铝合金、碳纤维、玻璃纤维或其他金属材质</w:t>
      </w:r>
    </w:p>
    <w:p w14:paraId="5ED33A7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17</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麦克风:内置麦克风≥4个</w:t>
      </w:r>
    </w:p>
    <w:p w14:paraId="6F0B060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18</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扬声器:内置扬声器≥6个</w:t>
      </w:r>
    </w:p>
    <w:p w14:paraId="5993A34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19</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传感器:重力感应器、陀螺仪、环境光传感器、霍尔传感器、指纹传感器</w:t>
      </w:r>
    </w:p>
    <w:p w14:paraId="22CBB0C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20</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定位:支持北斗或单北斗定制</w:t>
      </w:r>
    </w:p>
    <w:p w14:paraId="2A8B1DA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21</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机身厚度</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≤6毫米(除摄像头以外的其他区域)</w:t>
      </w:r>
    </w:p>
    <w:p w14:paraId="338A386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22</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重量</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≤600g</w:t>
      </w:r>
    </w:p>
    <w:p w14:paraId="68C94A6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23</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平板键盘，触控笔</w:t>
      </w:r>
      <w:r>
        <w:rPr>
          <w:rFonts w:hint="eastAsia" w:asciiTheme="minorEastAsia" w:hAnsiTheme="minorEastAsia" w:eastAsiaTheme="minorEastAsia" w:cstheme="minorEastAsia"/>
          <w:b w:val="0"/>
          <w:bCs/>
          <w:color w:val="auto"/>
          <w:kern w:val="0"/>
          <w:sz w:val="24"/>
          <w:szCs w:val="24"/>
          <w:lang w:val="en-US" w:eastAsia="zh-CN" w:bidi="ar-SA"/>
        </w:rPr>
        <w:tab/>
      </w:r>
      <w:r>
        <w:rPr>
          <w:rFonts w:hint="eastAsia" w:asciiTheme="minorEastAsia" w:hAnsiTheme="minorEastAsia" w:eastAsiaTheme="minorEastAsia" w:cstheme="minorEastAsia"/>
          <w:b w:val="0"/>
          <w:bCs/>
          <w:color w:val="auto"/>
          <w:kern w:val="0"/>
          <w:sz w:val="24"/>
          <w:szCs w:val="24"/>
          <w:lang w:val="en-US" w:eastAsia="zh-CN" w:bidi="ar-SA"/>
        </w:rPr>
        <w:t>配套的原装键盘，触控笔</w:t>
      </w:r>
    </w:p>
    <w:p w14:paraId="002EA663">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48851C0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7B2DC1B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1FA7237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763E0AA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0EB064C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法定代表人：杨吉军</w:t>
      </w:r>
    </w:p>
    <w:p w14:paraId="4DB3CAF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7B47856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45B7512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5C9567C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07E07AF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7FDDB7B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0FE1122C">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5BE5676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1645B001">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964EB31">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医院公开挂网</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无纸化会议设备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无纸化会议设备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6676B0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bookmarkStart w:id="4" w:name="_GoBack"/>
      <w:bookmarkEnd w:id="4"/>
    </w:p>
    <w:p w14:paraId="4CA0744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16"/>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48A1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3DEF35F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noWrap w:val="0"/>
            <w:vAlign w:val="top"/>
          </w:tcPr>
          <w:p w14:paraId="5FE6689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5751F13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0F2EE44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noWrap w:val="0"/>
            <w:vAlign w:val="top"/>
          </w:tcPr>
          <w:p w14:paraId="6C307AB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noWrap w:val="0"/>
            <w:vAlign w:val="top"/>
          </w:tcPr>
          <w:p w14:paraId="63F1CD9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752A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572D614F">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default" w:ascii="宋体" w:hAnsi="宋体" w:eastAsia="宋体" w:cs="宋体"/>
                <w:color w:val="000000" w:themeColor="text1"/>
                <w:kern w:val="0"/>
                <w:sz w:val="24"/>
                <w:szCs w:val="24"/>
                <w:highlight w:val="none"/>
                <w:lang w:val="en-US" w:eastAsia="zh-CN"/>
                <w14:textFill>
                  <w14:solidFill>
                    <w14:schemeClr w14:val="tx1"/>
                  </w14:solidFill>
                </w14:textFill>
              </w:rPr>
              <w:t>无纸化会议设备</w:t>
            </w:r>
          </w:p>
        </w:tc>
        <w:tc>
          <w:tcPr>
            <w:tcW w:w="1220" w:type="dxa"/>
            <w:noWrap w:val="0"/>
            <w:vAlign w:val="center"/>
          </w:tcPr>
          <w:p w14:paraId="044E86F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2566B36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8D9CE5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940" w:type="dxa"/>
            <w:noWrap w:val="0"/>
            <w:vAlign w:val="top"/>
          </w:tcPr>
          <w:p w14:paraId="2F22308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12</w:t>
            </w:r>
          </w:p>
        </w:tc>
        <w:tc>
          <w:tcPr>
            <w:tcW w:w="1654" w:type="dxa"/>
            <w:noWrap w:val="0"/>
            <w:vAlign w:val="top"/>
          </w:tcPr>
          <w:p w14:paraId="4A312AE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4E88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14:paraId="3E49BCB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08C4357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不因物价、市场波动变更，约定价格包括且不限于设计费、材料费、人工费、安装费、包装费、运输费、装卸费、调试费、接口费、检测费、检验费、税费、保险费、售后服务费、附随服务费等在内所有费用。 </w:t>
      </w:r>
    </w:p>
    <w:p w14:paraId="25A173A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p>
    <w:p w14:paraId="5794C7E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13451FF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0AF3624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45C07C7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4390853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2E1BD25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43AFD5D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7DCDED2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409B317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455D52C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0FB01E4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5D3300B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00A28B4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3700B73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肖硕旻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0789C3C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2CC62E6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7301CD8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7E788B8B">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1D1DFBC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086701C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769C3B5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10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72E9CF0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1A03AFE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1019C4E8">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7020CC1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136F2C8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76AF73D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4934393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2AC65F9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61A0B0F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1F4BFD2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56DE67B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761770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7D3CCCF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4433006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BE89F05">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249ABE4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08B65C9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6B18C2A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29F1CA4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4564CCA8">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3EB08F6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33BCA57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46FE662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娄底市娄星区长青中街51号</w:t>
      </w:r>
      <w:r>
        <w:rPr>
          <w:rFonts w:hint="eastAsia" w:ascii="仿宋_GB2312" w:hAnsi="Times New Roman" w:eastAsia="仿宋_GB2312" w:cs="仿宋_GB2312"/>
          <w:bCs/>
          <w:color w:val="000000" w:themeColor="text1"/>
          <w:kern w:val="0"/>
          <w:sz w:val="24"/>
          <w:szCs w:val="24"/>
          <w:lang w:val="en-US" w:eastAsia="zh-CN" w:bidi="ar-SA"/>
          <w14:textFill>
            <w14:solidFill>
              <w14:schemeClr w14:val="tx1"/>
            </w14:solidFill>
          </w14:textFill>
        </w:rPr>
        <w:t>，</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收件人：</w:t>
      </w:r>
      <w:r>
        <w:rPr>
          <w:rFonts w:hint="eastAsia" w:ascii="仿宋_GB2312" w:hAnsi="Times New Roman" w:eastAsia="仿宋_GB2312" w:cs="仿宋_GB2312"/>
          <w:bCs/>
          <w:color w:val="000000" w:themeColor="text1"/>
          <w:kern w:val="0"/>
          <w:sz w:val="24"/>
          <w:szCs w:val="24"/>
          <w:u w:val="single"/>
          <w:lang w:val="en-US" w:eastAsia="zh-CN" w:bidi="ar-SA"/>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董昉 </w:t>
      </w:r>
      <w:r>
        <w:rPr>
          <w:rFonts w:hint="eastAsia" w:ascii="仿宋_GB2312" w:hAnsi="Times New Roman" w:eastAsia="仿宋_GB2312" w:cs="仿宋_GB2312"/>
          <w:bCs/>
          <w:color w:val="000000" w:themeColor="text1"/>
          <w:kern w:val="0"/>
          <w:sz w:val="24"/>
          <w:szCs w:val="24"/>
          <w:lang w:val="en-US" w:eastAsia="zh-CN" w:bidi="ar-SA"/>
          <w14:textFill>
            <w14:solidFill>
              <w14:schemeClr w14:val="tx1"/>
            </w14:solidFill>
          </w14:textFill>
        </w:rPr>
        <w:t>，</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仿宋_GB2312" w:hAnsi="Times New Roman" w:eastAsia="仿宋_GB2312" w:cs="仿宋_GB2312"/>
          <w:bCs/>
          <w:color w:val="000000" w:themeColor="text1"/>
          <w:kern w:val="0"/>
          <w:sz w:val="24"/>
          <w:szCs w:val="24"/>
          <w:u w:val="single"/>
          <w:lang w:val="en-US" w:eastAsia="zh-CN" w:bidi="ar-SA"/>
          <w14:textFill>
            <w14:solidFill>
              <w14:schemeClr w14:val="tx1"/>
            </w14:solidFill>
          </w14:textFill>
        </w:rPr>
        <w:t xml:space="preserve"> 15973879275 </w:t>
      </w:r>
      <w:r>
        <w:rPr>
          <w:rFonts w:hint="eastAsia" w:ascii="仿宋_GB2312" w:hAnsi="Times New Roman" w:eastAsia="仿宋_GB2312" w:cs="仿宋_GB2312"/>
          <w:bCs/>
          <w:color w:val="000000" w:themeColor="text1"/>
          <w:kern w:val="0"/>
          <w:sz w:val="24"/>
          <w:szCs w:val="24"/>
          <w:lang w:val="en-US" w:eastAsia="zh-CN" w:bidi="ar-SA"/>
          <w14:textFill>
            <w14:solidFill>
              <w14:schemeClr w14:val="tx1"/>
            </w14:solidFill>
          </w14:textFill>
        </w:rPr>
        <w:t>，</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微信号：</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df22028581 </w:t>
      </w:r>
      <w:r>
        <w:rPr>
          <w:rFonts w:hint="eastAsia" w:ascii="仿宋_GB2312" w:hAnsi="Times New Roman" w:eastAsia="仿宋_GB2312" w:cs="仿宋_GB2312"/>
          <w:bCs/>
          <w:color w:val="000000" w:themeColor="text1"/>
          <w:kern w:val="0"/>
          <w:sz w:val="24"/>
          <w:szCs w:val="24"/>
          <w:lang w:val="en-US" w:eastAsia="zh-CN" w:bidi="ar-SA"/>
          <w14:textFill>
            <w14:solidFill>
              <w14:schemeClr w14:val="tx1"/>
            </w14:solidFill>
          </w14:textFill>
        </w:rPr>
        <w:t>，</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电子邮箱：</w:t>
      </w:r>
      <w:r>
        <w:rPr>
          <w:rFonts w:hint="eastAsia" w:ascii="仿宋_GB2312" w:hAnsi="Times New Roman" w:eastAsia="仿宋_GB2312" w:cs="仿宋_GB2312"/>
          <w:bCs/>
          <w:color w:val="000000" w:themeColor="text1"/>
          <w:kern w:val="0"/>
          <w:sz w:val="24"/>
          <w:szCs w:val="24"/>
          <w:u w:val="single"/>
          <w:lang w:val="en-US" w:eastAsia="zh-CN" w:bidi="ar-SA"/>
          <w14:textFill>
            <w14:solidFill>
              <w14:schemeClr w14:val="tx1"/>
            </w14:solidFill>
          </w14:textFill>
        </w:rPr>
        <w:fldChar w:fldCharType="begin"/>
      </w:r>
      <w:r>
        <w:rPr>
          <w:rFonts w:hint="eastAsia" w:ascii="仿宋_GB2312" w:hAnsi="Times New Roman" w:eastAsia="仿宋_GB2312" w:cs="仿宋_GB2312"/>
          <w:bCs/>
          <w:color w:val="000000" w:themeColor="text1"/>
          <w:kern w:val="0"/>
          <w:sz w:val="24"/>
          <w:szCs w:val="24"/>
          <w:u w:val="single"/>
          <w:lang w:val="en-US" w:eastAsia="zh-CN" w:bidi="ar-SA"/>
          <w14:textFill>
            <w14:solidFill>
              <w14:schemeClr w14:val="tx1"/>
            </w14:solidFill>
          </w14:textFill>
        </w:rPr>
        <w:instrText xml:space="preserve"> HYPERLINK "mailto:22028581@qq.com" </w:instrText>
      </w:r>
      <w:r>
        <w:rPr>
          <w:rFonts w:hint="eastAsia" w:ascii="仿宋_GB2312" w:hAnsi="Times New Roman" w:eastAsia="仿宋_GB2312" w:cs="仿宋_GB2312"/>
          <w:bCs/>
          <w:color w:val="000000" w:themeColor="text1"/>
          <w:kern w:val="0"/>
          <w:sz w:val="24"/>
          <w:szCs w:val="24"/>
          <w:u w:val="single"/>
          <w:lang w:val="en-US" w:eastAsia="zh-CN" w:bidi="ar-SA"/>
          <w14:textFill>
            <w14:solidFill>
              <w14:schemeClr w14:val="tx1"/>
            </w14:solidFill>
          </w14:textFill>
        </w:rPr>
        <w:fldChar w:fldCharType="separate"/>
      </w:r>
      <w:r>
        <w:rPr>
          <w:rFonts w:hint="eastAsia" w:ascii="仿宋_GB2312" w:hAnsi="Times New Roman" w:eastAsia="仿宋_GB2312" w:cs="仿宋_GB2312"/>
          <w:bCs/>
          <w:color w:val="000000" w:themeColor="text1"/>
          <w:kern w:val="0"/>
          <w:sz w:val="24"/>
          <w:szCs w:val="24"/>
          <w:u w:val="single"/>
          <w:lang w:val="en-US" w:eastAsia="zh-CN" w:bidi="ar-SA"/>
          <w14:textFill>
            <w14:solidFill>
              <w14:schemeClr w14:val="tx1"/>
            </w14:solidFill>
          </w14:textFill>
        </w:rPr>
        <w:t>22028581@qq.com</w:t>
      </w:r>
      <w:r>
        <w:rPr>
          <w:rFonts w:hint="eastAsia" w:ascii="仿宋_GB2312" w:hAnsi="Times New Roman" w:eastAsia="仿宋_GB2312" w:cs="仿宋_GB2312"/>
          <w:bCs/>
          <w:color w:val="000000" w:themeColor="text1"/>
          <w:kern w:val="0"/>
          <w:sz w:val="24"/>
          <w:szCs w:val="24"/>
          <w:u w:val="single"/>
          <w:lang w:val="en-US" w:eastAsia="zh-CN" w:bidi="ar-SA"/>
          <w14:textFill>
            <w14:solidFill>
              <w14:schemeClr w14:val="tx1"/>
            </w14:solidFill>
          </w14:textFill>
        </w:rPr>
        <w:fldChar w:fldCharType="end"/>
      </w:r>
      <w:r>
        <w:rPr>
          <w:rFonts w:hint="eastAsia" w:ascii="仿宋_GB2312" w:hAnsi="Times New Roman" w:eastAsia="仿宋_GB2312" w:cs="仿宋_GB2312"/>
          <w:bCs/>
          <w:color w:val="000000" w:themeColor="text1"/>
          <w:kern w:val="0"/>
          <w:sz w:val="24"/>
          <w:szCs w:val="24"/>
          <w:u w:val="single"/>
          <w:lang w:val="en-US" w:eastAsia="zh-CN" w:bidi="ar-SA"/>
          <w14:textFill>
            <w14:solidFill>
              <w14:schemeClr w14:val="tx1"/>
            </w14:solidFill>
          </w14:textFill>
        </w:rPr>
        <w:t>.</w:t>
      </w:r>
      <w:r>
        <w:rPr>
          <w:rFonts w:hint="default" w:ascii="仿宋_GB2312" w:hAnsi="Times New Roman" w:eastAsia="仿宋_GB2312" w:cs="仿宋_GB2312"/>
          <w:bCs/>
          <w:color w:val="000000" w:themeColor="text1"/>
          <w:kern w:val="0"/>
          <w:sz w:val="24"/>
          <w:szCs w:val="24"/>
          <w:lang w:val="en-US" w:eastAsia="zh-CN" w:bidi="ar-SA"/>
          <w14:textFill>
            <w14:solidFill>
              <w14:schemeClr w14:val="tx1"/>
            </w14:solidFill>
          </w14:textFill>
        </w:rPr>
        <w:t xml:space="preserve"> </w:t>
      </w:r>
    </w:p>
    <w:p w14:paraId="080A097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770895E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5AFE980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601DEB9A">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7C9B9E4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08D55CD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58B1641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6CD32AE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highlight w:val="none"/>
          <w14:textFill>
            <w14:solidFill>
              <w14:schemeClr w14:val="tx1"/>
            </w14:solidFill>
          </w14:textFill>
        </w:rPr>
        <w:t>日仍不能供货；</w:t>
      </w:r>
    </w:p>
    <w:p w14:paraId="081ADFC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181C344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46B9079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14CB37B8">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5037A4D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7A0F9B9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3958C9F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0882FDB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8000元。如乙方除需承担违反廉洁条款的违约责任外，同时存在其他违约行为，乙方仍须就其他违约行为承担相应违约责任。</w:t>
      </w:r>
    </w:p>
    <w:p w14:paraId="67065906">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4CE796D8">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1D76DBF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6836CF7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2D249683">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5315AA2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738CA03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54B09E8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70FC65A4">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0B4B22F1">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4C9EB822">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0E0FE31E">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366287B7">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643FACDC">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2AE580C6">
      <w:pPr>
        <w:keepNext w:val="0"/>
        <w:keepLines w:val="0"/>
        <w:pageBreakBefore w:val="0"/>
        <w:widowControl w:val="0"/>
        <w:wordWrap/>
        <w:overflowPunct/>
        <w:topLinePunct w:val="0"/>
        <w:bidi w:val="0"/>
        <w:spacing w:line="300" w:lineRule="exact"/>
        <w:rPr>
          <w:color w:val="000000" w:themeColor="text1"/>
          <w:sz w:val="23"/>
          <w:szCs w:val="23"/>
          <w:highlight w:val="none"/>
          <w14:textFill>
            <w14:solidFill>
              <w14:schemeClr w14:val="tx1"/>
            </w14:solidFill>
          </w14:textFill>
        </w:rPr>
      </w:pPr>
    </w:p>
    <w:p w14:paraId="4AD749F2">
      <w:pPr>
        <w:rPr>
          <w:rFonts w:hint="default" w:eastAsia="宋体"/>
          <w:color w:val="000000" w:themeColor="text1"/>
          <w:sz w:val="23"/>
          <w:szCs w:val="23"/>
          <w:highlight w:val="none"/>
          <w:lang w:val="en-US" w:eastAsia="zh-CN"/>
          <w14:textFill>
            <w14:solidFill>
              <w14:schemeClr w14:val="tx1"/>
            </w14:solidFill>
          </w14:textFill>
        </w:rPr>
      </w:pPr>
      <w:r>
        <w:rPr>
          <w:rFonts w:hint="default" w:eastAsia="宋体"/>
          <w:color w:val="000000" w:themeColor="text1"/>
          <w:sz w:val="23"/>
          <w:szCs w:val="23"/>
          <w:highlight w:val="none"/>
          <w:lang w:val="en-US" w:eastAsia="zh-CN"/>
          <w14:textFill>
            <w14:solidFill>
              <w14:schemeClr w14:val="tx1"/>
            </w14:solidFill>
          </w14:textFill>
        </w:rPr>
        <w:br w:type="page"/>
      </w: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default" w:eastAsia="宋体"/>
          <w:b/>
          <w:color w:val="auto"/>
          <w:sz w:val="24"/>
          <w:lang w:val="en-US" w:eastAsia="zh-CN"/>
        </w:rPr>
      </w:pPr>
      <w:r>
        <w:rPr>
          <w:rFonts w:hint="eastAsia"/>
          <w:b/>
          <w:color w:val="auto"/>
          <w:sz w:val="24"/>
          <w:lang w:eastAsia="zh-CN"/>
        </w:rPr>
        <w:t>注：此项内容需包含投标商品名称、数量、品牌、型号、单价、总价、等信息，</w:t>
      </w:r>
      <w:r>
        <w:rPr>
          <w:rFonts w:hint="eastAsia"/>
          <w:b/>
          <w:color w:val="auto"/>
          <w:sz w:val="24"/>
          <w:lang w:val="en-US" w:eastAsia="zh-CN"/>
        </w:rPr>
        <w:t>报价表必须报单价限价和总价，报价不得超过单价限价和总价限价</w:t>
      </w:r>
    </w:p>
    <w:p w14:paraId="71CAD04D">
      <w:pPr>
        <w:pStyle w:val="24"/>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23"/>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6"/>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6"/>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6D90F51D">
      <w:pPr>
        <w:pStyle w:val="23"/>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6"/>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4"/>
        <w:rPr>
          <w:color w:val="auto"/>
        </w:rPr>
      </w:pPr>
    </w:p>
    <w:p w14:paraId="5EEA99A1">
      <w:pPr>
        <w:pStyle w:val="23"/>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1"/>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1"/>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1"/>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1"/>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1"/>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2"/>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6F2E55"/>
    <w:rsid w:val="00AE556A"/>
    <w:rsid w:val="01350E35"/>
    <w:rsid w:val="02390242"/>
    <w:rsid w:val="03E43FAE"/>
    <w:rsid w:val="04653F41"/>
    <w:rsid w:val="04AF1AE6"/>
    <w:rsid w:val="04B72FC8"/>
    <w:rsid w:val="04F57A38"/>
    <w:rsid w:val="050719CA"/>
    <w:rsid w:val="056B0EF3"/>
    <w:rsid w:val="05871FA3"/>
    <w:rsid w:val="06934BAA"/>
    <w:rsid w:val="06E91EC4"/>
    <w:rsid w:val="06F21495"/>
    <w:rsid w:val="07731DE6"/>
    <w:rsid w:val="086F75C9"/>
    <w:rsid w:val="08E46EC6"/>
    <w:rsid w:val="08F36684"/>
    <w:rsid w:val="09C0303A"/>
    <w:rsid w:val="0A3F4F3C"/>
    <w:rsid w:val="0A682BFD"/>
    <w:rsid w:val="0A6D3244"/>
    <w:rsid w:val="0A8A74D4"/>
    <w:rsid w:val="0CAD77BD"/>
    <w:rsid w:val="0CD87BD4"/>
    <w:rsid w:val="0E331420"/>
    <w:rsid w:val="0E3A4761"/>
    <w:rsid w:val="0EBC028B"/>
    <w:rsid w:val="0EC2345F"/>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04317F"/>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589715C"/>
    <w:rsid w:val="267547DF"/>
    <w:rsid w:val="272B6E6C"/>
    <w:rsid w:val="27B626C7"/>
    <w:rsid w:val="27CF2BB7"/>
    <w:rsid w:val="2821285F"/>
    <w:rsid w:val="28501465"/>
    <w:rsid w:val="28E81B29"/>
    <w:rsid w:val="28FD390A"/>
    <w:rsid w:val="29B45A41"/>
    <w:rsid w:val="2A174DA9"/>
    <w:rsid w:val="2AB010A8"/>
    <w:rsid w:val="2AC66F99"/>
    <w:rsid w:val="2BD64A85"/>
    <w:rsid w:val="2C0A2E19"/>
    <w:rsid w:val="2C7642D0"/>
    <w:rsid w:val="2C8B7C6A"/>
    <w:rsid w:val="2CC97A35"/>
    <w:rsid w:val="2DD77C64"/>
    <w:rsid w:val="2DDA1E78"/>
    <w:rsid w:val="2DE00B8C"/>
    <w:rsid w:val="2EAC037F"/>
    <w:rsid w:val="2EB67A5C"/>
    <w:rsid w:val="2FD858D0"/>
    <w:rsid w:val="302741D2"/>
    <w:rsid w:val="308B184D"/>
    <w:rsid w:val="309C1E01"/>
    <w:rsid w:val="30BB11DD"/>
    <w:rsid w:val="31F17CD1"/>
    <w:rsid w:val="324F4D43"/>
    <w:rsid w:val="33384C93"/>
    <w:rsid w:val="340F06E9"/>
    <w:rsid w:val="34C12F54"/>
    <w:rsid w:val="34F140E5"/>
    <w:rsid w:val="366241E2"/>
    <w:rsid w:val="3662711A"/>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3F092439"/>
    <w:rsid w:val="403B4B34"/>
    <w:rsid w:val="4140452A"/>
    <w:rsid w:val="414D7889"/>
    <w:rsid w:val="41BB0BAE"/>
    <w:rsid w:val="4222229D"/>
    <w:rsid w:val="425629F5"/>
    <w:rsid w:val="4284152B"/>
    <w:rsid w:val="429A4992"/>
    <w:rsid w:val="42D9553A"/>
    <w:rsid w:val="435B161D"/>
    <w:rsid w:val="43B25DAC"/>
    <w:rsid w:val="44771DFD"/>
    <w:rsid w:val="45D569C3"/>
    <w:rsid w:val="479B74B7"/>
    <w:rsid w:val="48735221"/>
    <w:rsid w:val="48997E8F"/>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2ED531B"/>
    <w:rsid w:val="53B55872"/>
    <w:rsid w:val="544055F2"/>
    <w:rsid w:val="54AD4386"/>
    <w:rsid w:val="5587625E"/>
    <w:rsid w:val="55D8243C"/>
    <w:rsid w:val="56483C8F"/>
    <w:rsid w:val="56C77AA7"/>
    <w:rsid w:val="581A7C72"/>
    <w:rsid w:val="583A4BD7"/>
    <w:rsid w:val="5850008B"/>
    <w:rsid w:val="59C74B1F"/>
    <w:rsid w:val="5A886F59"/>
    <w:rsid w:val="604D5946"/>
    <w:rsid w:val="611B6B1B"/>
    <w:rsid w:val="617B1325"/>
    <w:rsid w:val="62030FF0"/>
    <w:rsid w:val="62C222C2"/>
    <w:rsid w:val="62DB090C"/>
    <w:rsid w:val="632D7C40"/>
    <w:rsid w:val="64133D6A"/>
    <w:rsid w:val="64245572"/>
    <w:rsid w:val="64671DE0"/>
    <w:rsid w:val="66C30AF5"/>
    <w:rsid w:val="678E4F5D"/>
    <w:rsid w:val="67F3562A"/>
    <w:rsid w:val="680E122C"/>
    <w:rsid w:val="69CC4643"/>
    <w:rsid w:val="6A4E1D63"/>
    <w:rsid w:val="6AB9152E"/>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4855E60"/>
    <w:rsid w:val="750117A8"/>
    <w:rsid w:val="751301BD"/>
    <w:rsid w:val="755B2270"/>
    <w:rsid w:val="75E27514"/>
    <w:rsid w:val="7612420D"/>
    <w:rsid w:val="76920D75"/>
    <w:rsid w:val="76C47877"/>
    <w:rsid w:val="77423DFF"/>
    <w:rsid w:val="783B5EA9"/>
    <w:rsid w:val="783D7269"/>
    <w:rsid w:val="79EB699D"/>
    <w:rsid w:val="7A104828"/>
    <w:rsid w:val="7B0620DE"/>
    <w:rsid w:val="7BBF44BB"/>
    <w:rsid w:val="7BF15CE4"/>
    <w:rsid w:val="7C3A27E5"/>
    <w:rsid w:val="7D9727DD"/>
    <w:rsid w:val="7EFB4F6E"/>
    <w:rsid w:val="7F164138"/>
    <w:rsid w:val="7F1A5E95"/>
    <w:rsid w:val="7F547E3F"/>
    <w:rsid w:val="7F6606F9"/>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styleId="6">
    <w:name w:val="Body Text First Indent 2"/>
    <w:basedOn w:val="7"/>
    <w:next w:val="5"/>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Body Text Indent"/>
    <w:basedOn w:val="1"/>
    <w:next w:val="1"/>
    <w:qFormat/>
    <w:uiPriority w:val="99"/>
    <w:pPr>
      <w:spacing w:line="400" w:lineRule="exact"/>
      <w:ind w:left="630"/>
    </w:pPr>
    <w:rPr>
      <w:rFonts w:ascii="楷体_GB2312"/>
      <w:sz w:val="30"/>
      <w:szCs w:val="30"/>
    </w:rPr>
  </w:style>
  <w:style w:type="paragraph" w:styleId="8">
    <w:name w:val="annotation text"/>
    <w:basedOn w:val="1"/>
    <w:unhideWhenUsed/>
    <w:qFormat/>
    <w:uiPriority w:val="99"/>
    <w:pPr>
      <w:jc w:val="left"/>
    </w:pPr>
  </w:style>
  <w:style w:type="paragraph" w:styleId="9">
    <w:name w:val="Body Text"/>
    <w:basedOn w:val="1"/>
    <w:semiHidden/>
    <w:qFormat/>
    <w:uiPriority w:val="0"/>
    <w:rPr>
      <w:rFonts w:ascii="宋体" w:hAnsi="宋体" w:eastAsia="宋体" w:cs="宋体"/>
      <w:sz w:val="24"/>
      <w:szCs w:val="24"/>
      <w:lang w:val="en-US" w:eastAsia="en-US" w:bidi="ar-SA"/>
    </w:rPr>
  </w:style>
  <w:style w:type="paragraph" w:styleId="10">
    <w:name w:val="Date"/>
    <w:basedOn w:val="1"/>
    <w:next w:val="1"/>
    <w:qFormat/>
    <w:uiPriority w:val="0"/>
    <w:rPr>
      <w:color w:val="000000"/>
      <w:kern w:val="0"/>
      <w:sz w:val="30"/>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2"/>
    <w:basedOn w:val="1"/>
    <w:qFormat/>
    <w:uiPriority w:val="0"/>
    <w:pPr>
      <w:spacing w:after="120" w:line="480" w:lineRule="auto"/>
    </w:pPr>
  </w:style>
  <w:style w:type="paragraph" w:styleId="14">
    <w:name w:val="Normal (Web)"/>
    <w:basedOn w:val="1"/>
    <w:qFormat/>
    <w:uiPriority w:val="0"/>
    <w:rPr>
      <w:sz w:val="24"/>
    </w:rPr>
  </w:style>
  <w:style w:type="paragraph" w:styleId="15">
    <w:name w:val="annotation subject"/>
    <w:basedOn w:val="8"/>
    <w:next w:val="1"/>
    <w:unhideWhenUsed/>
    <w:qFormat/>
    <w:uiPriority w:val="99"/>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paragraph" w:customStyle="1" w:styleId="2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1">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2">
    <w:name w:val="大标题"/>
    <w:basedOn w:val="1"/>
    <w:next w:val="6"/>
    <w:qFormat/>
    <w:uiPriority w:val="0"/>
    <w:pPr>
      <w:jc w:val="center"/>
    </w:pPr>
    <w:rPr>
      <w:rFonts w:ascii="Arial" w:hAnsi="Arial" w:eastAsia="宋体"/>
      <w:b/>
      <w:sz w:val="28"/>
      <w:szCs w:val="24"/>
    </w:rPr>
  </w:style>
  <w:style w:type="paragraph" w:customStyle="1" w:styleId="23">
    <w:name w:val="列出段落1"/>
    <w:basedOn w:val="1"/>
    <w:qFormat/>
    <w:uiPriority w:val="99"/>
    <w:pPr>
      <w:ind w:firstLine="420" w:firstLineChars="200"/>
    </w:pPr>
  </w:style>
  <w:style w:type="paragraph" w:customStyle="1" w:styleId="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34"/>
    <w:pPr>
      <w:ind w:firstLine="420" w:firstLineChars="200"/>
    </w:pPr>
    <w:rPr>
      <w:rFonts w:ascii="Calibri" w:hAnsi="Calibri"/>
      <w:szCs w:val="22"/>
    </w:rPr>
  </w:style>
  <w:style w:type="paragraph" w:customStyle="1" w:styleId="26">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7456</Words>
  <Characters>7907</Characters>
  <Lines>0</Lines>
  <Paragraphs>0</Paragraphs>
  <TotalTime>6</TotalTime>
  <ScaleCrop>false</ScaleCrop>
  <LinksUpToDate>false</LinksUpToDate>
  <CharactersWithSpaces>8858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2026-05-08T06:58:33Z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693F405580CA4EF791A186399C2A22A8_13</vt:lpwstr>
  </property>
  <property fmtid="{D5CDD505-2E9C-101B-9397-08002B2CF9AE}" pid="4" name="KSOTemplateDocerSaveRecord">
    <vt:lpwstr>eyJoZGlkIjoiOWU3YmMxNGQ0NDE0NTRiYjQ3MWFkZjk1MWM2MTc2NWEiLCJ1c2VySWQiOiI0NDIzNjcyODQifQ==</vt:lpwstr>
  </property>
</Properties>
</file>