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42D2C0">
      <w:pPr>
        <w:pStyle w:val="20"/>
        <w:snapToGrid w:val="0"/>
        <w:jc w:val="center"/>
        <w:rPr>
          <w:rFonts w:hint="eastAsia" w:ascii="Arial" w:hAnsi="Arial" w:eastAsia="方正小标宋简体" w:cs="Arial"/>
          <w:sz w:val="72"/>
          <w:szCs w:val="72"/>
        </w:rPr>
      </w:pPr>
      <w:bookmarkStart w:id="0" w:name="_Toc16523570"/>
    </w:p>
    <w:p w14:paraId="75F3B684">
      <w:pPr>
        <w:pStyle w:val="20"/>
        <w:snapToGrid w:val="0"/>
        <w:jc w:val="center"/>
        <w:rPr>
          <w:rFonts w:hint="eastAsia" w:ascii="Arial" w:hAnsi="Arial" w:eastAsia="方正小标宋简体" w:cs="Arial"/>
          <w:sz w:val="72"/>
          <w:szCs w:val="72"/>
        </w:rPr>
      </w:pPr>
      <w:r>
        <w:rPr>
          <w:rFonts w:hint="eastAsia" w:ascii="Arial" w:hAnsi="Arial" w:eastAsia="方正小标宋简体" w:cs="Arial"/>
          <w:sz w:val="72"/>
          <w:szCs w:val="72"/>
          <w:lang w:eastAsia="zh-CN"/>
        </w:rPr>
        <w:t>娄底市中心医院</w:t>
      </w:r>
    </w:p>
    <w:p w14:paraId="65C368DD">
      <w:pPr>
        <w:pStyle w:val="20"/>
        <w:snapToGrid w:val="0"/>
        <w:jc w:val="center"/>
        <w:rPr>
          <w:rFonts w:hint="eastAsia" w:ascii="Arial" w:hAnsi="Arial" w:eastAsia="方正小标宋简体" w:cs="Arial"/>
          <w:sz w:val="72"/>
          <w:szCs w:val="72"/>
        </w:rPr>
      </w:pPr>
    </w:p>
    <w:p w14:paraId="11616A47">
      <w:pPr>
        <w:pStyle w:val="20"/>
        <w:snapToGrid w:val="0"/>
        <w:jc w:val="center"/>
        <w:rPr>
          <w:rFonts w:hint="eastAsia" w:ascii="Arial" w:hAnsi="Arial" w:eastAsia="方正小标宋简体" w:cs="Arial"/>
          <w:sz w:val="72"/>
          <w:szCs w:val="72"/>
        </w:rPr>
      </w:pPr>
    </w:p>
    <w:p w14:paraId="39F8D380">
      <w:pPr>
        <w:pStyle w:val="20"/>
        <w:snapToGrid w:val="0"/>
        <w:jc w:val="center"/>
        <w:rPr>
          <w:rFonts w:ascii="Arial" w:hAnsi="Arial" w:eastAsia="方正小标宋简体" w:cs="Arial"/>
          <w:sz w:val="36"/>
          <w:szCs w:val="36"/>
        </w:rPr>
      </w:pPr>
      <w:r>
        <w:rPr>
          <w:rFonts w:hint="eastAsia" w:ascii="Arial" w:hAnsi="Arial" w:eastAsia="方正小标宋简体" w:cs="Arial"/>
          <w:sz w:val="72"/>
          <w:szCs w:val="72"/>
          <w:lang w:val="en-US" w:eastAsia="zh-CN"/>
        </w:rPr>
        <w:t>采购</w:t>
      </w:r>
      <w:r>
        <w:rPr>
          <w:rFonts w:ascii="Arial" w:hAnsi="Arial" w:eastAsia="方正小标宋简体" w:cs="Arial"/>
          <w:sz w:val="72"/>
          <w:szCs w:val="72"/>
        </w:rPr>
        <w:t>文件</w:t>
      </w:r>
    </w:p>
    <w:p w14:paraId="37F791A7">
      <w:pPr>
        <w:pStyle w:val="20"/>
        <w:snapToGrid w:val="0"/>
        <w:jc w:val="center"/>
        <w:rPr>
          <w:rFonts w:ascii="Arial" w:hAnsi="Arial" w:cs="Arial"/>
          <w:sz w:val="32"/>
          <w:szCs w:val="32"/>
        </w:rPr>
      </w:pPr>
    </w:p>
    <w:p w14:paraId="409EB72F">
      <w:pPr>
        <w:pStyle w:val="22"/>
        <w:rPr>
          <w:rFonts w:ascii="Arial" w:hAnsi="Arial" w:cs="Arial"/>
          <w:sz w:val="32"/>
          <w:szCs w:val="32"/>
        </w:rPr>
      </w:pPr>
    </w:p>
    <w:p w14:paraId="668BDAFE">
      <w:pPr>
        <w:pStyle w:val="6"/>
        <w:rPr>
          <w:rFonts w:ascii="Arial" w:hAnsi="Arial" w:cs="Arial"/>
          <w:sz w:val="32"/>
          <w:szCs w:val="32"/>
        </w:rPr>
      </w:pPr>
    </w:p>
    <w:p w14:paraId="30B28264">
      <w:pPr>
        <w:pStyle w:val="6"/>
        <w:rPr>
          <w:rFonts w:ascii="Arial" w:hAnsi="Arial" w:cs="Arial"/>
          <w:sz w:val="32"/>
          <w:szCs w:val="32"/>
        </w:rPr>
      </w:pPr>
    </w:p>
    <w:p w14:paraId="45C922C2">
      <w:pPr>
        <w:pStyle w:val="6"/>
        <w:rPr>
          <w:rFonts w:ascii="Arial" w:hAnsi="Arial" w:cs="Arial"/>
          <w:sz w:val="32"/>
          <w:szCs w:val="32"/>
        </w:rPr>
      </w:pPr>
    </w:p>
    <w:p w14:paraId="0233B328">
      <w:pPr>
        <w:pStyle w:val="6"/>
        <w:rPr>
          <w:rFonts w:ascii="Arial" w:hAnsi="Arial" w:cs="Arial"/>
          <w:sz w:val="32"/>
          <w:szCs w:val="32"/>
        </w:rPr>
      </w:pPr>
    </w:p>
    <w:p w14:paraId="65E4BC6C">
      <w:pPr>
        <w:pStyle w:val="6"/>
        <w:rPr>
          <w:rFonts w:ascii="Arial" w:hAnsi="Arial" w:cs="Arial"/>
          <w:sz w:val="32"/>
          <w:szCs w:val="32"/>
        </w:rPr>
      </w:pPr>
    </w:p>
    <w:p w14:paraId="7577245D">
      <w:pPr>
        <w:pStyle w:val="6"/>
        <w:rPr>
          <w:rFonts w:ascii="Arial" w:hAnsi="Arial" w:cs="Arial"/>
          <w:sz w:val="32"/>
          <w:szCs w:val="32"/>
        </w:rPr>
      </w:pPr>
    </w:p>
    <w:p w14:paraId="0A4AE94E">
      <w:pPr>
        <w:pStyle w:val="20"/>
        <w:snapToGrid w:val="0"/>
        <w:jc w:val="center"/>
        <w:rPr>
          <w:rFonts w:ascii="Arial" w:hAnsi="Arial" w:cs="Arial"/>
          <w:sz w:val="32"/>
          <w:szCs w:val="32"/>
        </w:rPr>
      </w:pPr>
    </w:p>
    <w:p w14:paraId="13C7226F">
      <w:pPr>
        <w:pStyle w:val="20"/>
        <w:snapToGrid w:val="0"/>
        <w:jc w:val="center"/>
        <w:rPr>
          <w:rFonts w:ascii="Arial" w:hAnsi="Arial" w:cs="Arial"/>
          <w:sz w:val="32"/>
          <w:szCs w:val="32"/>
        </w:rPr>
      </w:pPr>
    </w:p>
    <w:p w14:paraId="0E6A0AE3">
      <w:pPr>
        <w:spacing w:line="360" w:lineRule="auto"/>
        <w:rPr>
          <w:rFonts w:hint="eastAsia"/>
          <w:bCs/>
          <w:sz w:val="32"/>
          <w:szCs w:val="32"/>
        </w:rPr>
      </w:pPr>
    </w:p>
    <w:p w14:paraId="221DD58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cs="Times New Roman"/>
          <w:b/>
          <w:bCs/>
          <w:kern w:val="44"/>
          <w:sz w:val="32"/>
          <w:szCs w:val="32"/>
          <w:lang w:val="en-US" w:eastAsia="zh-CN" w:bidi="ar-SA"/>
        </w:rPr>
        <w:t>娄底市中心医院数字电视频道服务</w:t>
      </w:r>
      <w:r>
        <w:rPr>
          <w:rFonts w:hint="eastAsia"/>
          <w:bCs/>
          <w:sz w:val="32"/>
          <w:szCs w:val="32"/>
          <w:lang w:val="en-US" w:eastAsia="zh-CN"/>
        </w:rPr>
        <w:t>采购项目</w:t>
      </w:r>
    </w:p>
    <w:p w14:paraId="2646632F">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（医院公开挂网</w:t>
      </w:r>
      <w:r>
        <w:rPr>
          <w:rFonts w:hint="eastAsia" w:ascii="Times New Roman" w:hAnsi="Times New Roman" w:eastAsia="宋体" w:cs="Times New Roman"/>
          <w:b/>
          <w:bCs/>
          <w:kern w:val="44"/>
          <w:sz w:val="32"/>
          <w:szCs w:val="32"/>
          <w:lang w:val="en-US" w:eastAsia="zh-CN" w:bidi="ar-SA"/>
        </w:rPr>
        <w:t>）</w:t>
      </w:r>
    </w:p>
    <w:p w14:paraId="2B704EEC">
      <w:pPr>
        <w:spacing w:line="320" w:lineRule="exact"/>
        <w:jc w:val="left"/>
        <w:rPr>
          <w:sz w:val="24"/>
        </w:rPr>
      </w:pPr>
    </w:p>
    <w:p w14:paraId="0354F586">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六</w:t>
      </w:r>
      <w:r>
        <w:rPr>
          <w:rFonts w:hint="eastAsia" w:ascii="宋体" w:hAnsi="宋体" w:cs="宋体"/>
          <w:bCs/>
          <w:sz w:val="32"/>
          <w:szCs w:val="32"/>
        </w:rPr>
        <w:t>年</w:t>
      </w:r>
      <w:r>
        <w:rPr>
          <w:rFonts w:hint="eastAsia" w:ascii="宋体" w:hAnsi="宋体" w:cs="宋体"/>
          <w:bCs/>
          <w:sz w:val="32"/>
          <w:szCs w:val="32"/>
          <w:lang w:val="en-US" w:eastAsia="zh-CN"/>
        </w:rPr>
        <w:t>四</w:t>
      </w:r>
      <w:r>
        <w:rPr>
          <w:rFonts w:hint="eastAsia" w:ascii="宋体" w:hAnsi="宋体" w:cs="宋体"/>
          <w:bCs/>
          <w:sz w:val="32"/>
          <w:szCs w:val="32"/>
        </w:rPr>
        <w:t>月</w:t>
      </w:r>
    </w:p>
    <w:p w14:paraId="43FCB49C">
      <w:pP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br w:type="page"/>
      </w:r>
    </w:p>
    <w:p w14:paraId="02230438">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14:paraId="049FCDF5">
      <w:pPr>
        <w:pStyle w:val="20"/>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u w:val="single"/>
          <w:lang w:val="en-US" w:eastAsia="zh-CN"/>
        </w:rPr>
        <w:t>娄底市中心医院数字电视频道服务</w:t>
      </w:r>
      <w:r>
        <w:rPr>
          <w:rFonts w:hint="eastAsia" w:asciiTheme="minorEastAsia" w:hAnsiTheme="minorEastAsia" w:eastAsiaTheme="minorEastAsia" w:cstheme="minorEastAsia"/>
          <w:bCs/>
          <w:color w:val="auto"/>
          <w:sz w:val="24"/>
          <w:szCs w:val="24"/>
          <w:lang w:val="en-US" w:eastAsia="zh-CN"/>
        </w:rPr>
        <w:t>项目进行医院公开挂网，将事项公告如下：</w:t>
      </w:r>
    </w:p>
    <w:p w14:paraId="33F26BBC">
      <w:pPr>
        <w:pStyle w:val="20"/>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14:paraId="20A851AA">
      <w:pPr>
        <w:pStyle w:val="20"/>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heme="minorEastAsia" w:hAnsiTheme="minorEastAsia" w:eastAsiaTheme="minorEastAsia" w:cstheme="minorEastAsia"/>
          <w:bCs/>
          <w:color w:val="auto"/>
          <w:sz w:val="24"/>
          <w:szCs w:val="24"/>
          <w:u w:val="single"/>
          <w:lang w:val="en-US" w:eastAsia="zh-CN"/>
        </w:rPr>
        <w:t>娄底市中心医院数字电视频道服务</w:t>
      </w:r>
      <w:r>
        <w:rPr>
          <w:rFonts w:hint="eastAsia" w:asciiTheme="minorEastAsia" w:hAnsiTheme="minorEastAsia" w:eastAsiaTheme="minorEastAsia" w:cstheme="minorEastAsia"/>
          <w:b w:val="0"/>
          <w:bCs/>
          <w:color w:val="auto"/>
          <w:sz w:val="24"/>
          <w:szCs w:val="24"/>
          <w:lang w:val="en-US" w:eastAsia="zh-CN"/>
        </w:rPr>
        <w:t>项目</w:t>
      </w:r>
    </w:p>
    <w:p w14:paraId="0CDBF21C">
      <w:pPr>
        <w:pStyle w:val="20"/>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14:paraId="7C7C445F">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bidi="ar-SA"/>
        </w:rPr>
        <w:t>1、医院公开挂网</w:t>
      </w:r>
      <w:r>
        <w:rPr>
          <w:rFonts w:hint="eastAsia" w:asciiTheme="minorEastAsia" w:hAnsiTheme="minorEastAsia" w:eastAsiaTheme="minorEastAsia" w:cstheme="minorEastAsia"/>
          <w:bCs/>
          <w:color w:val="auto"/>
          <w:sz w:val="24"/>
          <w:szCs w:val="24"/>
          <w:lang w:val="en-US" w:eastAsia="zh-CN"/>
        </w:rPr>
        <w:t>，最低评标价法，在满足所有参数的条件下，报价最低者中标，如有多个并列最低价，则由并列最低价投标人再次报价，直至出现最低报价为止。</w:t>
      </w:r>
    </w:p>
    <w:bookmarkEnd w:id="0"/>
    <w:p w14:paraId="0ACEB349">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14:paraId="55893B32">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1、投标人的基本资格条件：投标人必须是在中华人民共和国境内注册登记的法人、其他组织或者自然人，且应当符合《政府采购法》第二十二条第一款的规定；</w:t>
      </w:r>
    </w:p>
    <w:p w14:paraId="1F42DD7C">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14:paraId="0ACB140C">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14:paraId="21C808E0">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14:paraId="15D09420">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14:paraId="12B2191C">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14:paraId="623B8589">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14:paraId="6B89F276">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1、投标截止时间、开标时间：具体时间另行通知</w:t>
      </w:r>
    </w:p>
    <w:p w14:paraId="67F7E3C9">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2、开标地点;娄底市中心医院五、采购人地址和联系方法：</w:t>
      </w:r>
    </w:p>
    <w:p w14:paraId="31DB0AFF">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1、采购人名称：娄底市中心医院2、联系人及联系方式：张思远 15115875288</w:t>
      </w:r>
    </w:p>
    <w:p w14:paraId="5023AEF5">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3、采购人地址：娄底市长青中街51号</w:t>
      </w:r>
    </w:p>
    <w:p w14:paraId="0ADD55FF">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14:paraId="6DD88B5A">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14:paraId="4EF3F462">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14:paraId="6CA551AF">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1.2、资格评审时，投标人资格条件不符合国家有关规定或者文件要求的，或者拒不按照要求对投标文件进行澄清、说明或补正，或者其说明补正无法证明其为合格投标人的；</w:t>
      </w:r>
    </w:p>
    <w:p w14:paraId="2BB116BF">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14:paraId="0D3123B4">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14:paraId="79343047">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14:paraId="1C567C2F">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1.6、投标文件存在弄虚作假或者隐瞒事实，或者未按照文件要求如实提供有关情况和文件，以及证明资料且对投标人有利的，应当否决其投标。被列为中标候选人的，应当取消其中标候选人资格。</w:t>
      </w:r>
    </w:p>
    <w:p w14:paraId="486FB98C">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2、有下列情形之一的，采购人将重新挂网采购：</w:t>
      </w:r>
    </w:p>
    <w:p w14:paraId="42006801">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14:paraId="0F261BB7">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2.2、经评标委员会评审后，有效投标人少于3家的。</w:t>
      </w:r>
    </w:p>
    <w:p w14:paraId="6D411BA9">
      <w:pPr>
        <w:pStyle w:val="22"/>
        <w:rPr>
          <w:rFonts w:hint="eastAsia"/>
          <w:lang w:val="en-US" w:eastAsia="zh-CN"/>
        </w:rPr>
      </w:pPr>
    </w:p>
    <w:p w14:paraId="7E250597">
      <w:pPr>
        <w:pStyle w:val="22"/>
        <w:jc w:val="both"/>
        <w:rPr>
          <w:rFonts w:hint="default"/>
          <w:lang w:val="en-US" w:eastAsia="zh-CN"/>
        </w:rPr>
      </w:pPr>
    </w:p>
    <w:p w14:paraId="22CD3DC2">
      <w:pPr>
        <w:pStyle w:val="20"/>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14:paraId="715EDAE9">
      <w:pP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br w:type="page"/>
      </w:r>
    </w:p>
    <w:p w14:paraId="7FF5E5C3">
      <w:pPr>
        <w:rPr>
          <w:rFonts w:hint="eastAsia"/>
          <w:lang w:val="en-US" w:eastAsia="zh-CN"/>
        </w:rPr>
      </w:pPr>
    </w:p>
    <w:p w14:paraId="28624900">
      <w:pPr>
        <w:pStyle w:val="20"/>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736FC095">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14:paraId="738C7315">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w:t>
      </w:r>
    </w:p>
    <w:tbl>
      <w:tblPr>
        <w:tblStyle w:val="16"/>
        <w:tblW w:w="9613"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958"/>
        <w:gridCol w:w="2370"/>
        <w:gridCol w:w="1665"/>
        <w:gridCol w:w="2310"/>
        <w:gridCol w:w="2310"/>
      </w:tblGrid>
      <w:tr w14:paraId="74B0716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890"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79E0CB90">
            <w:pPr>
              <w:pStyle w:val="1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序号</w:t>
            </w:r>
          </w:p>
        </w:tc>
        <w:tc>
          <w:tcPr>
            <w:tcW w:w="237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04A50A28">
            <w:pPr>
              <w:pStyle w:val="1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lang w:val="en-US" w:eastAsia="zh-CN"/>
              </w:rPr>
              <w:t>项目</w:t>
            </w:r>
            <w:r>
              <w:rPr>
                <w:rFonts w:hint="eastAsia" w:asciiTheme="minorEastAsia" w:hAnsiTheme="minorEastAsia" w:eastAsiaTheme="minorEastAsia" w:cstheme="minorEastAsia"/>
                <w:kern w:val="2"/>
                <w:sz w:val="24"/>
                <w:szCs w:val="24"/>
              </w:rPr>
              <w:t>名称</w:t>
            </w:r>
          </w:p>
        </w:tc>
        <w:tc>
          <w:tcPr>
            <w:tcW w:w="166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137C3FB8">
            <w:pPr>
              <w:pStyle w:val="1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服务年限（年）</w:t>
            </w:r>
          </w:p>
        </w:tc>
        <w:tc>
          <w:tcPr>
            <w:tcW w:w="231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6D78E54A">
            <w:pPr>
              <w:pStyle w:val="1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预算</w:t>
            </w:r>
            <w:r>
              <w:rPr>
                <w:rFonts w:hint="eastAsia" w:asciiTheme="minorEastAsia" w:hAnsiTheme="minorEastAsia" w:eastAsiaTheme="minorEastAsia" w:cstheme="minorEastAsia"/>
                <w:kern w:val="2"/>
                <w:sz w:val="24"/>
                <w:szCs w:val="24"/>
                <w:lang w:eastAsia="zh-CN"/>
              </w:rPr>
              <w:t>总</w:t>
            </w:r>
            <w:r>
              <w:rPr>
                <w:rFonts w:hint="eastAsia" w:asciiTheme="minorEastAsia" w:hAnsiTheme="minorEastAsia" w:eastAsiaTheme="minorEastAsia" w:cstheme="minorEastAsia"/>
                <w:kern w:val="2"/>
                <w:sz w:val="24"/>
                <w:szCs w:val="24"/>
              </w:rPr>
              <w:t>价（万元）</w:t>
            </w:r>
          </w:p>
        </w:tc>
        <w:tc>
          <w:tcPr>
            <w:tcW w:w="231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1B217FFF">
            <w:pPr>
              <w:pStyle w:val="1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预算单价（元）</w:t>
            </w:r>
          </w:p>
        </w:tc>
      </w:tr>
      <w:tr w14:paraId="1CE676C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481"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4508FB3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237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517944EF">
            <w:pPr>
              <w:keepNext w:val="0"/>
              <w:keepLines w:val="0"/>
              <w:widowControl/>
              <w:suppressLineNumbers w:val="0"/>
              <w:jc w:val="center"/>
              <w:textAlignment w:val="cente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娄底市中心医院数字电视频道服务</w:t>
            </w:r>
          </w:p>
        </w:tc>
        <w:tc>
          <w:tcPr>
            <w:tcW w:w="166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73D7170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3</w:t>
            </w:r>
          </w:p>
        </w:tc>
        <w:tc>
          <w:tcPr>
            <w:tcW w:w="231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19EAF0A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45</w:t>
            </w:r>
          </w:p>
        </w:tc>
        <w:tc>
          <w:tcPr>
            <w:tcW w:w="231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6E7FEDA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107.14元/点位/年</w:t>
            </w:r>
          </w:p>
        </w:tc>
      </w:tr>
    </w:tbl>
    <w:p w14:paraId="737A1F41">
      <w:pPr>
        <w:spacing w:line="360" w:lineRule="auto"/>
        <w:rPr>
          <w:rFonts w:hint="eastAsia" w:asciiTheme="minorEastAsia" w:hAnsiTheme="minorEastAsia" w:eastAsiaTheme="minorEastAsia" w:cstheme="minorEastAsia"/>
          <w:bCs/>
          <w:color w:val="auto"/>
          <w:kern w:val="0"/>
          <w:sz w:val="24"/>
          <w:szCs w:val="24"/>
          <w:lang w:val="en-US" w:eastAsia="zh-CN" w:bidi="ar-SA"/>
        </w:rPr>
      </w:pPr>
    </w:p>
    <w:p w14:paraId="78C7E4BA">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2、服务时间：双方签订合同时具体约定。</w:t>
      </w:r>
    </w:p>
    <w:p w14:paraId="2EAE5CA4">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3、服务地点：娄底市中心医院、广州医科大学附属第一医院娄底医院。</w:t>
      </w:r>
    </w:p>
    <w:p w14:paraId="33C78225">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二、项目内容及要求（以下内容必须全部响应，否则视为无效投标）</w:t>
      </w:r>
    </w:p>
    <w:p w14:paraId="0E8A8062">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供应商资格要求：</w:t>
      </w:r>
    </w:p>
    <w:p w14:paraId="4CF9B346">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1、经营范围包含广播电视节目传输、数字电视服务、有线电视运营、通信服务、信息技术服务等相关内容。</w:t>
      </w:r>
    </w:p>
    <w:p w14:paraId="14BECF82">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bookmarkStart w:id="4" w:name="_GoBack"/>
      <w:bookmarkEnd w:id="4"/>
      <w:r>
        <w:rPr>
          <w:rFonts w:hint="eastAsia" w:asciiTheme="minorEastAsia" w:hAnsiTheme="minorEastAsia" w:eastAsiaTheme="minorEastAsia" w:cstheme="minorEastAsia"/>
          <w:b w:val="0"/>
          <w:bCs/>
          <w:color w:val="auto"/>
          <w:kern w:val="0"/>
          <w:sz w:val="24"/>
          <w:szCs w:val="24"/>
          <w:lang w:val="en-US" w:eastAsia="zh-CN" w:bidi="ar-SA"/>
        </w:rPr>
        <w:t>技术服务要求：</w:t>
      </w:r>
    </w:p>
    <w:p w14:paraId="3873FD22">
      <w:pPr>
        <w:pStyle w:val="10"/>
        <w:numPr>
          <w:ilvl w:val="0"/>
          <w:numId w:val="0"/>
        </w:numPr>
        <w:tabs>
          <w:tab w:val="left" w:pos="0"/>
        </w:tabs>
        <w:spacing w:line="480" w:lineRule="exact"/>
        <w:ind w:firstLine="480" w:firstLineChars="200"/>
        <w:jc w:val="left"/>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kern w:val="2"/>
          <w:sz w:val="24"/>
          <w:szCs w:val="24"/>
          <w:lang w:val="en-US" w:eastAsia="zh-CN" w:bidi="ar-SA"/>
        </w:rPr>
        <w:t>1、</w:t>
      </w:r>
      <w:r>
        <w:rPr>
          <w:rFonts w:hint="eastAsia" w:asciiTheme="minorEastAsia" w:hAnsiTheme="minorEastAsia" w:eastAsiaTheme="minorEastAsia" w:cstheme="minorEastAsia"/>
          <w:sz w:val="24"/>
          <w:szCs w:val="24"/>
          <w:highlight w:val="none"/>
          <w:lang w:val="en-US" w:eastAsia="zh-CN"/>
        </w:rPr>
        <w:t>在娄底本地具备7×24小时上门安装、维修、维护的服务团队与技术保障能力。</w:t>
      </w:r>
    </w:p>
    <w:p w14:paraId="34320B52">
      <w:pPr>
        <w:numPr>
          <w:ilvl w:val="0"/>
          <w:numId w:val="0"/>
        </w:num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    2、</w:t>
      </w:r>
      <w:r>
        <w:rPr>
          <w:rFonts w:hint="eastAsia" w:asciiTheme="minorEastAsia" w:hAnsiTheme="minorEastAsia" w:eastAsiaTheme="minorEastAsia" w:cstheme="minorEastAsia"/>
          <w:sz w:val="24"/>
          <w:szCs w:val="24"/>
          <w:highlight w:val="none"/>
          <w:lang w:val="en-US" w:eastAsia="zh-CN"/>
        </w:rPr>
        <w:t>每个病房电视点位开通不少于 64 套基本数字电视频道，配套提供电视回看服务，频道与节目清单需经采购方书面确认。</w:t>
      </w:r>
    </w:p>
    <w:p w14:paraId="50F103DE">
      <w:pPr>
        <w:pStyle w:val="10"/>
        <w:tabs>
          <w:tab w:val="left" w:pos="0"/>
        </w:tabs>
        <w:spacing w:line="480" w:lineRule="exact"/>
        <w:ind w:firstLine="480" w:firstLineChars="200"/>
        <w:jc w:val="left"/>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3、免费提供光纤宽带接入终端、机顶盒、遥控器，7日内完成安装、调试、改造及验收，承担全部设备与施工费用。</w:t>
      </w:r>
    </w:p>
    <w:p w14:paraId="1E9FBDD9">
      <w:pPr>
        <w:pStyle w:val="10"/>
        <w:tabs>
          <w:tab w:val="left" w:pos="0"/>
        </w:tabs>
        <w:spacing w:line="480" w:lineRule="exact"/>
        <w:ind w:firstLine="480" w:firstLineChars="200"/>
        <w:jc w:val="left"/>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4、机顶盒质保期2年，质保期内非人为损坏免费更换；每合同年度内免费更换遥控器不超过100个，超出部分按10元/个计费。</w:t>
      </w:r>
    </w:p>
    <w:p w14:paraId="4EFDB8DF">
      <w:pPr>
        <w:pStyle w:val="10"/>
        <w:tabs>
          <w:tab w:val="left" w:pos="0"/>
        </w:tabs>
        <w:spacing w:line="480" w:lineRule="exact"/>
        <w:ind w:firstLine="480" w:firstLineChars="200"/>
        <w:jc w:val="left"/>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5、机顶盒定制专属界面，支持医院视频、图片宣传功能。</w:t>
      </w:r>
    </w:p>
    <w:p w14:paraId="2C2D977A">
      <w:pPr>
        <w:pStyle w:val="10"/>
        <w:tabs>
          <w:tab w:val="left" w:pos="0"/>
        </w:tabs>
        <w:spacing w:line="480" w:lineRule="exact"/>
        <w:ind w:firstLine="480" w:firstLineChars="200"/>
        <w:jc w:val="left"/>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6、提供7×24小时售后服务，15分钟内响应，4—6小时内排除一般故障，重大故障 48 小时内解决。</w:t>
      </w:r>
    </w:p>
    <w:p w14:paraId="1EF6B52C">
      <w:pPr>
        <w:pStyle w:val="10"/>
        <w:tabs>
          <w:tab w:val="left" w:pos="0"/>
        </w:tabs>
        <w:spacing w:line="480" w:lineRule="exact"/>
        <w:ind w:firstLine="480" w:firstLineChars="200"/>
        <w:jc w:val="left"/>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7、服务期内全程负责设备维护、维修；合同到期若未中标，自行免费拆除并带离机顶盒、遥控器，承担全部费用。</w:t>
      </w:r>
    </w:p>
    <w:p w14:paraId="7CEB88D1">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p>
    <w:p w14:paraId="06E4ED3C">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验收标准：</w:t>
      </w:r>
    </w:p>
    <w:p w14:paraId="51EF61A6">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default" w:asciiTheme="minorEastAsia" w:hAnsiTheme="minorEastAsia" w:eastAsiaTheme="minorEastAsia" w:cstheme="minorEastAsia"/>
          <w:b w:val="0"/>
          <w:bCs/>
          <w:color w:val="auto"/>
          <w:kern w:val="0"/>
          <w:sz w:val="24"/>
          <w:szCs w:val="24"/>
          <w:lang w:val="en-US" w:eastAsia="zh-CN" w:bidi="ar-SA"/>
        </w:rPr>
      </w:pPr>
      <w:r>
        <w:rPr>
          <w:rFonts w:hint="default" w:asciiTheme="minorEastAsia" w:hAnsiTheme="minorEastAsia" w:eastAsiaTheme="minorEastAsia" w:cstheme="minorEastAsia"/>
          <w:b w:val="0"/>
          <w:bCs/>
          <w:color w:val="auto"/>
          <w:kern w:val="0"/>
          <w:sz w:val="24"/>
          <w:szCs w:val="24"/>
          <w:lang w:val="en-US" w:eastAsia="zh-CN" w:bidi="ar-SA"/>
        </w:rPr>
        <w:t>1.7日内完成全部点位安装、调试，电视信号、回看、定制界面正常使用。</w:t>
      </w:r>
    </w:p>
    <w:p w14:paraId="7085EE4A">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default" w:asciiTheme="minorEastAsia" w:hAnsiTheme="minorEastAsia" w:eastAsiaTheme="minorEastAsia" w:cstheme="minorEastAsia"/>
          <w:b w:val="0"/>
          <w:bCs/>
          <w:color w:val="auto"/>
          <w:kern w:val="0"/>
          <w:sz w:val="24"/>
          <w:szCs w:val="24"/>
          <w:lang w:val="en-US" w:eastAsia="zh-CN" w:bidi="ar-SA"/>
        </w:rPr>
      </w:pPr>
      <w:r>
        <w:rPr>
          <w:rFonts w:hint="default" w:asciiTheme="minorEastAsia" w:hAnsiTheme="minorEastAsia" w:eastAsiaTheme="minorEastAsia" w:cstheme="minorEastAsia"/>
          <w:b w:val="0"/>
          <w:bCs/>
          <w:color w:val="auto"/>
          <w:kern w:val="0"/>
          <w:sz w:val="24"/>
          <w:szCs w:val="24"/>
          <w:lang w:val="en-US" w:eastAsia="zh-CN" w:bidi="ar-SA"/>
        </w:rPr>
        <w:t>2.设备数量、质量符合要求，质保、售后承诺书面明确。</w:t>
      </w:r>
    </w:p>
    <w:p w14:paraId="28702E87">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default" w:asciiTheme="minorEastAsia" w:hAnsiTheme="minorEastAsia" w:eastAsiaTheme="minorEastAsia" w:cstheme="minorEastAsia"/>
          <w:b w:val="0"/>
          <w:bCs/>
          <w:color w:val="auto"/>
          <w:kern w:val="0"/>
          <w:sz w:val="24"/>
          <w:szCs w:val="24"/>
          <w:lang w:val="en-US" w:eastAsia="zh-CN" w:bidi="ar-SA"/>
        </w:rPr>
      </w:pPr>
      <w:r>
        <w:rPr>
          <w:rFonts w:hint="default" w:asciiTheme="minorEastAsia" w:hAnsiTheme="minorEastAsia" w:eastAsiaTheme="minorEastAsia" w:cstheme="minorEastAsia"/>
          <w:b w:val="0"/>
          <w:bCs/>
          <w:color w:val="auto"/>
          <w:kern w:val="0"/>
          <w:sz w:val="24"/>
          <w:szCs w:val="24"/>
          <w:lang w:val="en-US" w:eastAsia="zh-CN" w:bidi="ar-SA"/>
        </w:rPr>
        <w:t>3.线路规范、施工安全，无安全隐患，经采购方现场签字确认合格。</w:t>
      </w:r>
    </w:p>
    <w:p w14:paraId="0AA8F4D6">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p>
    <w:p w14:paraId="19C9D104">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default"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违约责任：</w:t>
      </w:r>
    </w:p>
    <w:p w14:paraId="5267ED2A">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1.逾期开通/维修：每逾期1日，按100元/点位支付违约金。</w:t>
      </w:r>
    </w:p>
    <w:p w14:paraId="15FD4FBE">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2.严重违约（超期未验收、72小时未修故障达5次、擅自转包）：采购方有权拒付、解除合同，成交方赔偿损失并支付合同总价款 15%违约金。</w:t>
      </w:r>
    </w:p>
    <w:p w14:paraId="244B84BA">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default"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sz w:val="24"/>
          <w:szCs w:val="24"/>
          <w:highlight w:val="none"/>
          <w:lang w:val="en-US" w:eastAsia="zh-CN"/>
        </w:rPr>
        <w:t>3.违反廉洁条款：一次性支付违约金10000元，承担其他违约责任。</w:t>
      </w:r>
    </w:p>
    <w:p w14:paraId="002EA663">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14:paraId="1190B9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1、封面：需注明标的名称、投标文件、单位、时间；</w:t>
      </w:r>
    </w:p>
    <w:p w14:paraId="3AE7D2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三证合一”或“五证合一”营业执照，医疗器械经营许可证或医疗器械经营备案凭证（如按法律规定提供证件）、生产厂家营业执照（如按法律规定需提供）、生产许可证（如按法律规定需提供）、产品注册证（如按法律规定需提供）；</w:t>
      </w:r>
    </w:p>
    <w:p w14:paraId="68C94A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3、投标人身份证复印件；</w:t>
      </w:r>
    </w:p>
    <w:p w14:paraId="7A3E69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3CBF51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5、履行本项目所必需的资质证明；</w:t>
      </w:r>
    </w:p>
    <w:p w14:paraId="081DCE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6、针对此项目的技术、服务方案；</w:t>
      </w:r>
    </w:p>
    <w:p w14:paraId="39B230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7、投标人认为需提供的其他和评审有关的资料；</w:t>
      </w:r>
    </w:p>
    <w:p w14:paraId="19A383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8、投标文件的每一页都必须加盖投标单位的公章；</w:t>
      </w:r>
    </w:p>
    <w:p w14:paraId="5A92BC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9、投标文件参数响应表中必须标注响应项佐证材料所对应页面。</w:t>
      </w:r>
    </w:p>
    <w:p w14:paraId="737229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08BAD364">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p>
    <w:p w14:paraId="30A737BB">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四、合同</w:t>
      </w:r>
    </w:p>
    <w:p w14:paraId="6372F958">
      <w:pPr>
        <w:keepNext w:val="0"/>
        <w:keepLines w:val="0"/>
        <w:pageBreakBefore w:val="0"/>
        <w:widowControl w:val="0"/>
        <w:kinsoku/>
        <w:wordWrap/>
        <w:overflowPunct/>
        <w:topLinePunct w:val="0"/>
        <w:autoSpaceDE/>
        <w:autoSpaceDN/>
        <w:bidi w:val="0"/>
        <w:adjustRightInd/>
        <w:snapToGrid/>
        <w:spacing w:line="470" w:lineRule="exact"/>
        <w:jc w:val="center"/>
        <w:textAlignment w:val="auto"/>
        <w:rPr>
          <w:rFonts w:hint="default" w:ascii="仿宋_GB2312" w:hAnsi="仿宋_GB2312" w:eastAsia="仿宋_GB2312" w:cs="仿宋_GB2312"/>
          <w:b w:val="0"/>
          <w:bCs/>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t xml:space="preserve">  合同编号：</w:t>
      </w:r>
    </w:p>
    <w:p w14:paraId="7AEC2F25">
      <w:pPr>
        <w:keepNext w:val="0"/>
        <w:keepLines w:val="0"/>
        <w:pageBreakBefore w:val="0"/>
        <w:widowControl w:val="0"/>
        <w:kinsoku/>
        <w:wordWrap/>
        <w:overflowPunct/>
        <w:topLinePunct w:val="0"/>
        <w:autoSpaceDE/>
        <w:autoSpaceDN/>
        <w:bidi w:val="0"/>
        <w:adjustRightInd/>
        <w:snapToGrid/>
        <w:spacing w:line="470" w:lineRule="exact"/>
        <w:jc w:val="center"/>
        <w:textAlignment w:val="auto"/>
        <w:rPr>
          <w:rFonts w:hint="eastAsia" w:ascii="方正小标宋简体" w:hAnsi="方正小标宋简体" w:eastAsia="方正小标宋简体" w:cs="方正小标宋简体"/>
          <w:b w:val="0"/>
          <w:bCs/>
          <w:color w:val="000000" w:themeColor="text1"/>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b w:val="0"/>
          <w:bCs/>
          <w:color w:val="000000" w:themeColor="text1"/>
          <w:sz w:val="44"/>
          <w:szCs w:val="44"/>
          <w:lang w:val="en-US" w:eastAsia="zh-CN"/>
          <w14:textFill>
            <w14:solidFill>
              <w14:schemeClr w14:val="tx1"/>
            </w14:solidFill>
          </w14:textFill>
        </w:rPr>
        <w:t>娄底市中心医院</w:t>
      </w:r>
    </w:p>
    <w:p w14:paraId="31764207">
      <w:pPr>
        <w:keepNext w:val="0"/>
        <w:keepLines w:val="0"/>
        <w:pageBreakBefore w:val="0"/>
        <w:widowControl w:val="0"/>
        <w:kinsoku/>
        <w:wordWrap/>
        <w:overflowPunct/>
        <w:topLinePunct w:val="0"/>
        <w:autoSpaceDE/>
        <w:autoSpaceDN/>
        <w:bidi w:val="0"/>
        <w:adjustRightInd/>
        <w:snapToGrid/>
        <w:spacing w:line="470" w:lineRule="exact"/>
        <w:jc w:val="center"/>
        <w:textAlignment w:val="auto"/>
        <w:rPr>
          <w:rFonts w:hint="default" w:ascii="方正小标宋简体" w:hAnsi="方正小标宋简体" w:eastAsia="方正小标宋简体" w:cs="方正小标宋简体"/>
          <w:b w:val="0"/>
          <w:bCs/>
          <w:color w:val="000000" w:themeColor="text1"/>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b w:val="0"/>
          <w:bCs/>
          <w:color w:val="000000" w:themeColor="text1"/>
          <w:sz w:val="44"/>
          <w:szCs w:val="44"/>
          <w:lang w:val="en-US" w:eastAsia="zh-CN"/>
          <w14:textFill>
            <w14:solidFill>
              <w14:schemeClr w14:val="tx1"/>
            </w14:solidFill>
          </w14:textFill>
        </w:rPr>
        <w:t>数字电视频道服务采购合同</w:t>
      </w:r>
    </w:p>
    <w:p w14:paraId="52F171B3">
      <w:pPr>
        <w:pStyle w:val="13"/>
        <w:keepNext w:val="0"/>
        <w:keepLines w:val="0"/>
        <w:pageBreakBefore w:val="0"/>
        <w:widowControl w:val="0"/>
        <w:kinsoku/>
        <w:wordWrap/>
        <w:overflowPunct/>
        <w:topLinePunct w:val="0"/>
        <w:autoSpaceDE/>
        <w:autoSpaceDN/>
        <w:bidi w:val="0"/>
        <w:adjustRightInd/>
        <w:snapToGrid/>
        <w:spacing w:after="0" w:line="470" w:lineRule="exact"/>
        <w:textAlignment w:val="auto"/>
        <w:rPr>
          <w:rFonts w:hint="eastAsia"/>
          <w:color w:val="000000" w:themeColor="text1"/>
          <w:lang w:val="en-US" w:eastAsia="zh-CN"/>
          <w14:textFill>
            <w14:solidFill>
              <w14:schemeClr w14:val="tx1"/>
            </w14:solidFill>
          </w14:textFill>
        </w:rPr>
      </w:pPr>
    </w:p>
    <w:p w14:paraId="3DD708FD">
      <w:pPr>
        <w:keepNext w:val="0"/>
        <w:keepLines w:val="0"/>
        <w:pageBreakBefore w:val="0"/>
        <w:widowControl w:val="0"/>
        <w:kinsoku/>
        <w:wordWrap/>
        <w:overflowPunct/>
        <w:topLinePunct w:val="0"/>
        <w:autoSpaceDE/>
        <w:autoSpaceDN/>
        <w:bidi w:val="0"/>
        <w:adjustRightInd/>
        <w:snapToGrid/>
        <w:spacing w:line="470" w:lineRule="exact"/>
        <w:jc w:val="both"/>
        <w:textAlignment w:val="auto"/>
        <w:rPr>
          <w:rFonts w:hint="eastAsia" w:ascii="仿宋_GB2312" w:hAnsi="仿宋_GB2312" w:eastAsia="仿宋_GB2312" w:cs="仿宋_GB2312"/>
          <w:b/>
          <w:bCs w:val="0"/>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bCs w:val="0"/>
          <w:color w:val="000000" w:themeColor="text1"/>
          <w:sz w:val="28"/>
          <w:szCs w:val="28"/>
          <w:lang w:val="en-US" w:eastAsia="zh-CN"/>
          <w14:textFill>
            <w14:solidFill>
              <w14:schemeClr w14:val="tx1"/>
            </w14:solidFill>
          </w14:textFill>
        </w:rPr>
        <w:t>甲方：</w:t>
      </w:r>
    </w:p>
    <w:p w14:paraId="3C9A91AC">
      <w:pPr>
        <w:keepNext w:val="0"/>
        <w:keepLines w:val="0"/>
        <w:pageBreakBefore w:val="0"/>
        <w:widowControl w:val="0"/>
        <w:kinsoku/>
        <w:wordWrap/>
        <w:overflowPunct/>
        <w:topLinePunct w:val="0"/>
        <w:autoSpaceDE/>
        <w:autoSpaceDN/>
        <w:bidi w:val="0"/>
        <w:adjustRightInd/>
        <w:snapToGrid/>
        <w:spacing w:line="470" w:lineRule="exact"/>
        <w:jc w:val="both"/>
        <w:textAlignment w:val="auto"/>
        <w:rPr>
          <w:rFonts w:hint="default" w:ascii="仿宋_GB2312" w:hAnsi="仿宋_GB2312" w:eastAsia="仿宋_GB2312" w:cs="仿宋_GB2312"/>
          <w:b w:val="0"/>
          <w:bCs/>
          <w:color w:val="000000" w:themeColor="text1"/>
          <w:sz w:val="28"/>
          <w:szCs w:val="28"/>
          <w:lang w:val="en-US" w:eastAsia="zh-CN"/>
          <w14:textFill>
            <w14:solidFill>
              <w14:schemeClr w14:val="tx1"/>
            </w14:solidFill>
          </w14:textFill>
        </w:rPr>
      </w:pPr>
      <w:r>
        <w:rPr>
          <w:rFonts w:hint="default" w:ascii="仿宋_GB2312" w:hAnsi="仿宋_GB2312" w:eastAsia="仿宋_GB2312" w:cs="仿宋_GB2312"/>
          <w:b w:val="0"/>
          <w:bCs/>
          <w:color w:val="000000" w:themeColor="text1"/>
          <w:sz w:val="28"/>
          <w:szCs w:val="28"/>
          <w:lang w:val="en-US" w:eastAsia="zh-CN"/>
          <w14:textFill>
            <w14:solidFill>
              <w14:schemeClr w14:val="tx1"/>
            </w14:solidFill>
          </w14:textFill>
        </w:rPr>
        <w:t>法定代表人：</w:t>
      </w:r>
    </w:p>
    <w:p w14:paraId="2B41F5DD">
      <w:pPr>
        <w:keepNext w:val="0"/>
        <w:keepLines w:val="0"/>
        <w:pageBreakBefore w:val="0"/>
        <w:widowControl w:val="0"/>
        <w:kinsoku/>
        <w:wordWrap/>
        <w:overflowPunct/>
        <w:topLinePunct w:val="0"/>
        <w:autoSpaceDE/>
        <w:autoSpaceDN/>
        <w:bidi w:val="0"/>
        <w:adjustRightInd/>
        <w:snapToGrid/>
        <w:spacing w:line="470" w:lineRule="exact"/>
        <w:jc w:val="both"/>
        <w:textAlignment w:val="auto"/>
        <w:rPr>
          <w:rFonts w:hint="default" w:ascii="仿宋_GB2312" w:hAnsi="仿宋_GB2312" w:eastAsia="仿宋_GB2312" w:cs="仿宋_GB2312"/>
          <w:b w:val="0"/>
          <w:bCs/>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t>统一社会信用代码</w:t>
      </w:r>
      <w:r>
        <w:rPr>
          <w:rFonts w:hint="default" w:ascii="仿宋_GB2312" w:hAnsi="仿宋_GB2312" w:eastAsia="仿宋_GB2312" w:cs="仿宋_GB2312"/>
          <w:b w:val="0"/>
          <w:bCs/>
          <w:color w:val="000000" w:themeColor="text1"/>
          <w:sz w:val="28"/>
          <w:szCs w:val="28"/>
          <w:lang w:val="en-US" w:eastAsia="zh-CN"/>
          <w14:textFill>
            <w14:solidFill>
              <w14:schemeClr w14:val="tx1"/>
            </w14:solidFill>
          </w14:textFill>
        </w:rPr>
        <w:t>：</w:t>
      </w:r>
    </w:p>
    <w:p w14:paraId="3959816A">
      <w:pPr>
        <w:keepNext w:val="0"/>
        <w:keepLines w:val="0"/>
        <w:pageBreakBefore w:val="0"/>
        <w:widowControl w:val="0"/>
        <w:kinsoku/>
        <w:wordWrap/>
        <w:overflowPunct/>
        <w:topLinePunct w:val="0"/>
        <w:autoSpaceDE/>
        <w:autoSpaceDN/>
        <w:bidi w:val="0"/>
        <w:adjustRightInd/>
        <w:snapToGrid/>
        <w:spacing w:line="470" w:lineRule="exact"/>
        <w:jc w:val="both"/>
        <w:textAlignment w:val="auto"/>
        <w:rPr>
          <w:rFonts w:hint="default" w:ascii="仿宋_GB2312" w:hAnsi="仿宋_GB2312" w:eastAsia="仿宋_GB2312" w:cs="仿宋_GB2312"/>
          <w:b w:val="0"/>
          <w:bCs/>
          <w:color w:val="000000" w:themeColor="text1"/>
          <w:sz w:val="28"/>
          <w:szCs w:val="28"/>
          <w:lang w:val="en-US" w:eastAsia="zh-CN"/>
          <w14:textFill>
            <w14:solidFill>
              <w14:schemeClr w14:val="tx1"/>
            </w14:solidFill>
          </w14:textFill>
        </w:rPr>
      </w:pPr>
      <w:r>
        <w:rPr>
          <w:rFonts w:hint="default" w:ascii="仿宋_GB2312" w:hAnsi="仿宋_GB2312" w:eastAsia="仿宋_GB2312" w:cs="仿宋_GB2312"/>
          <w:b w:val="0"/>
          <w:bCs/>
          <w:color w:val="000000" w:themeColor="text1"/>
          <w:sz w:val="28"/>
          <w:szCs w:val="28"/>
          <w:lang w:val="en-US" w:eastAsia="zh-CN"/>
          <w14:textFill>
            <w14:solidFill>
              <w14:schemeClr w14:val="tx1"/>
            </w14:solidFill>
          </w14:textFill>
        </w:rPr>
        <w:t>地址：</w:t>
      </w:r>
    </w:p>
    <w:p w14:paraId="1FEDBF26">
      <w:pPr>
        <w:keepNext w:val="0"/>
        <w:keepLines w:val="0"/>
        <w:pageBreakBefore w:val="0"/>
        <w:widowControl w:val="0"/>
        <w:kinsoku/>
        <w:wordWrap/>
        <w:overflowPunct/>
        <w:topLinePunct w:val="0"/>
        <w:autoSpaceDE/>
        <w:autoSpaceDN/>
        <w:bidi w:val="0"/>
        <w:adjustRightInd/>
        <w:snapToGrid/>
        <w:spacing w:line="470" w:lineRule="exact"/>
        <w:jc w:val="both"/>
        <w:textAlignment w:val="auto"/>
        <w:rPr>
          <w:rFonts w:hint="eastAsia" w:ascii="仿宋_GB2312" w:hAnsi="仿宋_GB2312" w:eastAsia="仿宋_GB2312" w:cs="仿宋_GB2312"/>
          <w:b/>
          <w:bCs w:val="0"/>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bCs w:val="0"/>
          <w:color w:val="000000" w:themeColor="text1"/>
          <w:sz w:val="28"/>
          <w:szCs w:val="28"/>
          <w:lang w:val="en-US" w:eastAsia="zh-CN"/>
          <w14:textFill>
            <w14:solidFill>
              <w14:schemeClr w14:val="tx1"/>
            </w14:solidFill>
          </w14:textFill>
        </w:rPr>
        <w:t>乙方：</w:t>
      </w:r>
    </w:p>
    <w:p w14:paraId="34354216">
      <w:pPr>
        <w:pStyle w:val="13"/>
        <w:keepNext w:val="0"/>
        <w:keepLines w:val="0"/>
        <w:pageBreakBefore w:val="0"/>
        <w:widowControl w:val="0"/>
        <w:kinsoku/>
        <w:wordWrap/>
        <w:overflowPunct/>
        <w:topLinePunct w:val="0"/>
        <w:autoSpaceDE/>
        <w:autoSpaceDN/>
        <w:bidi w:val="0"/>
        <w:adjustRightInd/>
        <w:snapToGrid/>
        <w:spacing w:after="0" w:line="470" w:lineRule="exact"/>
        <w:textAlignment w:val="auto"/>
        <w:rPr>
          <w:rFonts w:hint="eastAsia"/>
          <w:color w:val="000000" w:themeColor="text1"/>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t>法定代表人：</w:t>
      </w:r>
    </w:p>
    <w:p w14:paraId="381BDFB7">
      <w:pPr>
        <w:keepNext w:val="0"/>
        <w:keepLines w:val="0"/>
        <w:pageBreakBefore w:val="0"/>
        <w:widowControl w:val="0"/>
        <w:kinsoku/>
        <w:wordWrap/>
        <w:overflowPunct/>
        <w:topLinePunct w:val="0"/>
        <w:autoSpaceDE/>
        <w:autoSpaceDN/>
        <w:bidi w:val="0"/>
        <w:adjustRightInd/>
        <w:snapToGrid/>
        <w:spacing w:line="470" w:lineRule="exact"/>
        <w:jc w:val="both"/>
        <w:textAlignment w:val="auto"/>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t>统一社会信用代码：</w:t>
      </w:r>
    </w:p>
    <w:p w14:paraId="130847DA">
      <w:pPr>
        <w:keepNext w:val="0"/>
        <w:keepLines w:val="0"/>
        <w:pageBreakBefore w:val="0"/>
        <w:widowControl w:val="0"/>
        <w:kinsoku/>
        <w:wordWrap/>
        <w:overflowPunct/>
        <w:topLinePunct w:val="0"/>
        <w:autoSpaceDE/>
        <w:autoSpaceDN/>
        <w:bidi w:val="0"/>
        <w:adjustRightInd/>
        <w:snapToGrid/>
        <w:spacing w:line="470" w:lineRule="exact"/>
        <w:jc w:val="both"/>
        <w:textAlignment w:val="auto"/>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t>地址：</w:t>
      </w:r>
    </w:p>
    <w:p w14:paraId="17DEEC22">
      <w:pPr>
        <w:pStyle w:val="13"/>
        <w:keepNext w:val="0"/>
        <w:keepLines w:val="0"/>
        <w:pageBreakBefore w:val="0"/>
        <w:widowControl w:val="0"/>
        <w:kinsoku/>
        <w:wordWrap/>
        <w:overflowPunct/>
        <w:topLinePunct w:val="0"/>
        <w:autoSpaceDE/>
        <w:autoSpaceDN/>
        <w:bidi w:val="0"/>
        <w:adjustRightInd/>
        <w:snapToGrid/>
        <w:spacing w:after="0" w:line="470" w:lineRule="exact"/>
        <w:textAlignment w:val="auto"/>
        <w:rPr>
          <w:rFonts w:hint="eastAsia"/>
          <w:color w:val="000000" w:themeColor="text1"/>
          <w:lang w:val="en-US" w:eastAsia="zh-CN"/>
          <w14:textFill>
            <w14:solidFill>
              <w14:schemeClr w14:val="tx1"/>
            </w14:solidFill>
          </w14:textFill>
        </w:rPr>
      </w:pPr>
    </w:p>
    <w:p w14:paraId="45751898">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default" w:ascii="仿宋_GB2312" w:hAnsi="仿宋_GB2312" w:eastAsia="仿宋_GB2312" w:cs="仿宋_GB2312"/>
          <w:b w:val="0"/>
          <w:bCs/>
          <w:color w:val="000000" w:themeColor="text1"/>
          <w:sz w:val="28"/>
          <w:szCs w:val="28"/>
          <w:lang w:val="en-US" w:eastAsia="zh-CN"/>
          <w14:textFill>
            <w14:solidFill>
              <w14:schemeClr w14:val="tx1"/>
            </w14:solidFill>
          </w14:textFill>
        </w:rPr>
      </w:pPr>
      <w:r>
        <w:rPr>
          <w:rFonts w:hint="default" w:ascii="仿宋_GB2312" w:hAnsi="仿宋_GB2312" w:eastAsia="仿宋_GB2312" w:cs="仿宋_GB2312"/>
          <w:b w:val="0"/>
          <w:bCs/>
          <w:color w:val="auto"/>
          <w:sz w:val="28"/>
          <w:szCs w:val="28"/>
          <w:lang w:val="en-US" w:eastAsia="zh-CN"/>
        </w:rPr>
        <w:t>甲方通过</w:t>
      </w:r>
      <w:r>
        <w:rPr>
          <w:rFonts w:hint="eastAsia" w:ascii="仿宋_GB2312" w:hAnsi="仿宋_GB2312" w:eastAsia="仿宋_GB2312" w:cs="仿宋_GB2312"/>
          <w:b w:val="0"/>
          <w:bCs/>
          <w:color w:val="auto"/>
          <w:sz w:val="28"/>
          <w:szCs w:val="28"/>
          <w:u w:val="single"/>
          <w:lang w:val="en-US" w:eastAsia="zh-CN"/>
        </w:rPr>
        <w:t xml:space="preserve"> 医院公开挂网 </w:t>
      </w:r>
      <w:r>
        <w:rPr>
          <w:rFonts w:hint="default" w:ascii="仿宋_GB2312" w:hAnsi="仿宋_GB2312" w:eastAsia="仿宋_GB2312" w:cs="仿宋_GB2312"/>
          <w:b w:val="0"/>
          <w:bCs/>
          <w:color w:val="auto"/>
          <w:sz w:val="28"/>
          <w:szCs w:val="28"/>
          <w:lang w:val="en-US" w:eastAsia="zh-CN"/>
        </w:rPr>
        <w:t>方式采购</w:t>
      </w:r>
      <w:r>
        <w:rPr>
          <w:rFonts w:hint="eastAsia" w:ascii="仿宋_GB2312" w:hAnsi="仿宋_GB2312" w:eastAsia="仿宋_GB2312" w:cs="仿宋_GB2312"/>
          <w:b w:val="0"/>
          <w:bCs/>
          <w:color w:val="auto"/>
          <w:sz w:val="28"/>
          <w:szCs w:val="28"/>
          <w:u w:val="single"/>
          <w:lang w:val="en-US" w:eastAsia="zh-CN"/>
        </w:rPr>
        <w:t>数字电视频道服务</w:t>
      </w:r>
      <w:r>
        <w:rPr>
          <w:rFonts w:hint="default" w:ascii="仿宋_GB2312" w:hAnsi="仿宋_GB2312" w:eastAsia="仿宋_GB2312" w:cs="仿宋_GB2312"/>
          <w:b w:val="0"/>
          <w:bCs/>
          <w:color w:val="auto"/>
          <w:sz w:val="28"/>
          <w:szCs w:val="28"/>
          <w:lang w:val="en-US" w:eastAsia="zh-CN"/>
        </w:rPr>
        <w:t>，乙方为</w:t>
      </w:r>
      <w:r>
        <w:rPr>
          <w:rFonts w:hint="eastAsia" w:ascii="仿宋_GB2312" w:hAnsi="仿宋_GB2312" w:eastAsia="仿宋_GB2312" w:cs="仿宋_GB2312"/>
          <w:b w:val="0"/>
          <w:bCs/>
          <w:color w:val="auto"/>
          <w:sz w:val="28"/>
          <w:szCs w:val="28"/>
          <w:lang w:val="en-US" w:eastAsia="zh-CN"/>
        </w:rPr>
        <w:t>成交</w:t>
      </w:r>
      <w:r>
        <w:rPr>
          <w:rFonts w:hint="default" w:ascii="仿宋_GB2312" w:hAnsi="仿宋_GB2312" w:eastAsia="仿宋_GB2312" w:cs="仿宋_GB2312"/>
          <w:b w:val="0"/>
          <w:bCs/>
          <w:color w:val="auto"/>
          <w:sz w:val="28"/>
          <w:szCs w:val="28"/>
          <w:lang w:val="en-US" w:eastAsia="zh-CN"/>
        </w:rPr>
        <w:t>供应商。根据《中华人民共和国民法典》《中华人民共和国政府采购法》等相关法律规定，甲乙双方在采购项目确定的基础上，就采购</w:t>
      </w:r>
      <w:r>
        <w:rPr>
          <w:rFonts w:hint="eastAsia" w:ascii="仿宋_GB2312" w:hAnsi="仿宋_GB2312" w:eastAsia="仿宋_GB2312" w:cs="仿宋_GB2312"/>
          <w:b w:val="0"/>
          <w:bCs/>
          <w:color w:val="auto"/>
          <w:sz w:val="28"/>
          <w:szCs w:val="28"/>
          <w:u w:val="single"/>
          <w:lang w:val="en-US" w:eastAsia="zh-CN"/>
        </w:rPr>
        <w:t xml:space="preserve"> 数字电视频道服务 </w:t>
      </w:r>
      <w:r>
        <w:rPr>
          <w:rFonts w:hint="default" w:ascii="仿宋_GB2312" w:hAnsi="仿宋_GB2312" w:eastAsia="仿宋_GB2312" w:cs="仿宋_GB2312"/>
          <w:b w:val="0"/>
          <w:bCs/>
          <w:color w:val="auto"/>
          <w:sz w:val="28"/>
          <w:szCs w:val="28"/>
          <w:lang w:val="en-US" w:eastAsia="zh-CN"/>
        </w:rPr>
        <w:t>相关事宜平等、自愿、公平、诚信协商</w:t>
      </w:r>
      <w:r>
        <w:rPr>
          <w:rFonts w:hint="default" w:ascii="仿宋_GB2312" w:hAnsi="仿宋_GB2312" w:eastAsia="仿宋_GB2312" w:cs="仿宋_GB2312"/>
          <w:b w:val="0"/>
          <w:bCs/>
          <w:color w:val="000000" w:themeColor="text1"/>
          <w:sz w:val="28"/>
          <w:szCs w:val="28"/>
          <w:lang w:val="en-US" w:eastAsia="zh-CN"/>
          <w14:textFill>
            <w14:solidFill>
              <w14:schemeClr w14:val="tx1"/>
            </w14:solidFill>
          </w14:textFill>
        </w:rPr>
        <w:t>，达成一致，特订立本</w:t>
      </w:r>
      <w:r>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t>合同</w:t>
      </w:r>
      <w:r>
        <w:rPr>
          <w:rFonts w:hint="default" w:ascii="仿宋_GB2312" w:hAnsi="仿宋_GB2312" w:eastAsia="仿宋_GB2312" w:cs="仿宋_GB2312"/>
          <w:b w:val="0"/>
          <w:bCs/>
          <w:color w:val="000000" w:themeColor="text1"/>
          <w:sz w:val="28"/>
          <w:szCs w:val="28"/>
          <w:lang w:val="en-US" w:eastAsia="zh-CN"/>
          <w14:textFill>
            <w14:solidFill>
              <w14:schemeClr w14:val="tx1"/>
            </w14:solidFill>
          </w14:textFill>
        </w:rPr>
        <w:t>，以资共同遵守。</w:t>
      </w:r>
    </w:p>
    <w:p w14:paraId="19BDF894">
      <w:pPr>
        <w:keepNext w:val="0"/>
        <w:keepLines w:val="0"/>
        <w:pageBreakBefore w:val="0"/>
        <w:widowControl w:val="0"/>
        <w:kinsoku/>
        <w:wordWrap w:val="0"/>
        <w:overflowPunct/>
        <w:topLinePunct/>
        <w:autoSpaceDE/>
        <w:autoSpaceDN/>
        <w:bidi w:val="0"/>
        <w:adjustRightInd/>
        <w:snapToGrid/>
        <w:spacing w:line="460" w:lineRule="exact"/>
        <w:ind w:firstLine="562" w:firstLineChars="200"/>
        <w:jc w:val="both"/>
        <w:textAlignment w:val="auto"/>
        <w:rPr>
          <w:rFonts w:hint="default" w:ascii="仿宋_GB2312" w:hAnsi="仿宋_GB2312" w:eastAsia="仿宋_GB2312" w:cs="仿宋_GB2312"/>
          <w:b/>
          <w:bCs w:val="0"/>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bCs w:val="0"/>
          <w:color w:val="000000" w:themeColor="text1"/>
          <w:sz w:val="28"/>
          <w:szCs w:val="28"/>
          <w:lang w:val="en-US" w:eastAsia="zh-CN"/>
          <w14:textFill>
            <w14:solidFill>
              <w14:schemeClr w14:val="tx1"/>
            </w14:solidFill>
          </w14:textFill>
        </w:rPr>
        <w:t>第一条 服务内容及要求</w:t>
      </w:r>
    </w:p>
    <w:p w14:paraId="0440DBD3">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default" w:ascii="仿宋_GB2312" w:hAnsi="仿宋_GB2312" w:eastAsia="仿宋_GB2312" w:cs="仿宋_GB2312"/>
          <w:b w:val="0"/>
          <w:bCs/>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t>1.1 服务内容：乙方提供共</w:t>
      </w:r>
      <w:r>
        <w:rPr>
          <w:rFonts w:hint="eastAsia" w:ascii="仿宋_GB2312" w:hAnsi="仿宋_GB2312" w:eastAsia="仿宋_GB2312" w:cs="仿宋_GB2312"/>
          <w:b w:val="0"/>
          <w:bCs/>
          <w:color w:val="000000" w:themeColor="text1"/>
          <w:sz w:val="28"/>
          <w:szCs w:val="28"/>
          <w:u w:val="single"/>
          <w:lang w:val="en-US" w:eastAsia="zh-CN"/>
          <w14:textFill>
            <w14:solidFill>
              <w14:schemeClr w14:val="tx1"/>
            </w14:solidFill>
          </w14:textFill>
        </w:rPr>
        <w:t>1400</w:t>
      </w:r>
      <w:r>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t>个点位病房电视的数字电视频道服务（娄底市中心医院</w:t>
      </w:r>
      <w:r>
        <w:rPr>
          <w:rFonts w:hint="eastAsia" w:ascii="仿宋_GB2312" w:hAnsi="仿宋_GB2312" w:eastAsia="仿宋_GB2312" w:cs="仿宋_GB2312"/>
          <w:b w:val="0"/>
          <w:bCs/>
          <w:color w:val="000000" w:themeColor="text1"/>
          <w:sz w:val="28"/>
          <w:szCs w:val="28"/>
          <w:u w:val="single"/>
          <w:lang w:val="en-US" w:eastAsia="zh-CN"/>
          <w14:textFill>
            <w14:solidFill>
              <w14:schemeClr w14:val="tx1"/>
            </w14:solidFill>
          </w14:textFill>
        </w:rPr>
        <w:t>974个</w:t>
      </w:r>
      <w:r>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t>点位、广州医科大学附属第一医院娄底医院</w:t>
      </w:r>
      <w:r>
        <w:rPr>
          <w:rFonts w:hint="eastAsia" w:ascii="仿宋_GB2312" w:hAnsi="仿宋_GB2312" w:eastAsia="仿宋_GB2312" w:cs="仿宋_GB2312"/>
          <w:b w:val="0"/>
          <w:bCs/>
          <w:color w:val="000000" w:themeColor="text1"/>
          <w:sz w:val="28"/>
          <w:szCs w:val="28"/>
          <w:u w:val="single"/>
          <w:lang w:val="en-US" w:eastAsia="zh-CN"/>
          <w14:textFill>
            <w14:solidFill>
              <w14:schemeClr w14:val="tx1"/>
            </w14:solidFill>
          </w14:textFill>
        </w:rPr>
        <w:t>426个</w:t>
      </w:r>
      <w:r>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t>点位），具体点位以甲方通知为准。</w:t>
      </w:r>
    </w:p>
    <w:p w14:paraId="5B439E3D">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t>1.2 服务要求</w:t>
      </w:r>
    </w:p>
    <w:p w14:paraId="61E8057B">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t>1.2.1 为甲方每个点位的电视终端开通至少64套基本频道并赠送电视回看（详见甲、乙双方书面确认的频道和节目清单）。</w:t>
      </w:r>
    </w:p>
    <w:p w14:paraId="4B16F06D">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t>1.2.2 为甲方每个点位提供光纤宽带接入终端、机顶盒、遥控器，并完成相应的施工改造工作，承担相关的所有费用。</w:t>
      </w:r>
    </w:p>
    <w:p w14:paraId="28D8ED4F">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default" w:ascii="仿宋_GB2312" w:hAnsi="仿宋_GB2312" w:eastAsia="仿宋_GB2312" w:cs="仿宋_GB2312"/>
          <w:b w:val="0"/>
          <w:bCs/>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t>1.2.3 乙方为甲方提供机顶盒定制开通专属界面，包括甲方专属视频广告和图片广告的宣传功能。</w:t>
      </w:r>
    </w:p>
    <w:p w14:paraId="1D946CB3">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b w:val="0"/>
          <w:bCs/>
          <w:color w:val="000000" w:themeColor="text1"/>
          <w:sz w:val="28"/>
          <w:szCs w:val="28"/>
          <w:highlight w:val="none"/>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28"/>
          <w:szCs w:val="28"/>
          <w:highlight w:val="none"/>
          <w:lang w:val="en-US" w:eastAsia="zh-CN"/>
          <w14:textFill>
            <w14:solidFill>
              <w14:schemeClr w14:val="tx1"/>
            </w14:solidFill>
          </w14:textFill>
        </w:rPr>
        <w:t>1.2.4 机顶盒质量保修期为2年；质保期内出现质量问题，除人为损坏或丢失外，乙方应免费更换。</w:t>
      </w:r>
    </w:p>
    <w:p w14:paraId="35BDACC5">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b w:val="0"/>
          <w:bCs/>
          <w:color w:val="auto"/>
          <w:sz w:val="28"/>
          <w:szCs w:val="28"/>
          <w:highlight w:val="none"/>
          <w:u w:val="none"/>
          <w:lang w:val="en-US" w:eastAsia="zh-CN"/>
        </w:rPr>
      </w:pPr>
      <w:r>
        <w:rPr>
          <w:rFonts w:hint="eastAsia" w:ascii="仿宋_GB2312" w:hAnsi="仿宋_GB2312" w:eastAsia="仿宋_GB2312" w:cs="仿宋_GB2312"/>
          <w:b w:val="0"/>
          <w:bCs/>
          <w:color w:val="auto"/>
          <w:sz w:val="28"/>
          <w:szCs w:val="28"/>
          <w:highlight w:val="none"/>
          <w:lang w:val="en-US" w:eastAsia="zh-CN"/>
        </w:rPr>
        <w:t>1.2.5 如甲方原有遥控器损坏，乙方应为甲方免费提供遥控器进行更换，本合同服务期限内不超过</w:t>
      </w:r>
      <w:r>
        <w:rPr>
          <w:rFonts w:hint="eastAsia" w:ascii="仿宋_GB2312" w:hAnsi="仿宋_GB2312" w:eastAsia="仿宋_GB2312" w:cs="仿宋_GB2312"/>
          <w:b w:val="0"/>
          <w:bCs/>
          <w:color w:val="auto"/>
          <w:sz w:val="28"/>
          <w:szCs w:val="28"/>
          <w:highlight w:val="none"/>
          <w:u w:val="single"/>
          <w:lang w:val="en-US" w:eastAsia="zh-CN"/>
        </w:rPr>
        <w:t xml:space="preserve"> 100 </w:t>
      </w:r>
      <w:r>
        <w:rPr>
          <w:rFonts w:hint="eastAsia" w:ascii="仿宋_GB2312" w:hAnsi="仿宋_GB2312" w:eastAsia="仿宋_GB2312" w:cs="仿宋_GB2312"/>
          <w:b w:val="0"/>
          <w:bCs/>
          <w:color w:val="auto"/>
          <w:sz w:val="28"/>
          <w:szCs w:val="28"/>
          <w:highlight w:val="none"/>
          <w:u w:val="none"/>
          <w:lang w:val="en-US" w:eastAsia="zh-CN"/>
        </w:rPr>
        <w:t>个；超出部分，甲方按</w:t>
      </w:r>
      <w:r>
        <w:rPr>
          <w:rFonts w:hint="eastAsia" w:ascii="仿宋_GB2312" w:hAnsi="仿宋_GB2312" w:eastAsia="仿宋_GB2312" w:cs="仿宋_GB2312"/>
          <w:b w:val="0"/>
          <w:bCs/>
          <w:color w:val="auto"/>
          <w:sz w:val="28"/>
          <w:szCs w:val="28"/>
          <w:highlight w:val="none"/>
          <w:u w:val="single"/>
          <w:lang w:val="en-US" w:eastAsia="zh-CN"/>
        </w:rPr>
        <w:t xml:space="preserve"> 10 </w:t>
      </w:r>
      <w:r>
        <w:rPr>
          <w:rFonts w:hint="eastAsia" w:ascii="仿宋_GB2312" w:hAnsi="仿宋_GB2312" w:eastAsia="仿宋_GB2312" w:cs="仿宋_GB2312"/>
          <w:b w:val="0"/>
          <w:bCs/>
          <w:color w:val="auto"/>
          <w:sz w:val="28"/>
          <w:szCs w:val="28"/>
          <w:highlight w:val="none"/>
          <w:u w:val="none"/>
          <w:lang w:val="en-US" w:eastAsia="zh-CN"/>
        </w:rPr>
        <w:t>元/个的标准支付给乙方。</w:t>
      </w:r>
    </w:p>
    <w:p w14:paraId="4483D806">
      <w:pPr>
        <w:keepNext w:val="0"/>
        <w:keepLines w:val="0"/>
        <w:pageBreakBefore w:val="0"/>
        <w:widowControl w:val="0"/>
        <w:kinsoku/>
        <w:wordWrap w:val="0"/>
        <w:overflowPunct/>
        <w:topLinePunct/>
        <w:autoSpaceDE/>
        <w:autoSpaceDN/>
        <w:bidi w:val="0"/>
        <w:adjustRightInd/>
        <w:snapToGrid/>
        <w:spacing w:line="460" w:lineRule="exact"/>
        <w:ind w:firstLine="562" w:firstLineChars="200"/>
        <w:jc w:val="both"/>
        <w:textAlignment w:val="auto"/>
        <w:rPr>
          <w:rFonts w:hint="default" w:ascii="仿宋_GB2312" w:hAnsi="仿宋_GB2312" w:eastAsia="仿宋_GB2312" w:cs="仿宋_GB2312"/>
          <w:b/>
          <w:bCs w:val="0"/>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bCs w:val="0"/>
          <w:color w:val="000000" w:themeColor="text1"/>
          <w:sz w:val="28"/>
          <w:szCs w:val="28"/>
          <w:lang w:val="en-US" w:eastAsia="zh-CN"/>
          <w14:textFill>
            <w14:solidFill>
              <w14:schemeClr w14:val="tx1"/>
            </w14:solidFill>
          </w14:textFill>
        </w:rPr>
        <w:t>第二条 安装改造期限和服务期限</w:t>
      </w:r>
    </w:p>
    <w:p w14:paraId="1D20FBE4">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default" w:ascii="仿宋_GB2312" w:hAnsi="仿宋_GB2312" w:eastAsia="仿宋_GB2312" w:cs="仿宋_GB2312"/>
          <w:b w:val="0"/>
          <w:bCs/>
          <w:color w:val="000000" w:themeColor="text1"/>
          <w:sz w:val="28"/>
          <w:szCs w:val="28"/>
          <w:highlight w:val="none"/>
          <w:u w:val="none"/>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28"/>
          <w:szCs w:val="28"/>
          <w:highlight w:val="none"/>
          <w:lang w:val="en-US" w:eastAsia="zh-CN"/>
          <w14:textFill>
            <w14:solidFill>
              <w14:schemeClr w14:val="tx1"/>
            </w14:solidFill>
          </w14:textFill>
        </w:rPr>
        <w:t>2.1 安装改造期限：乙方应在本合同签订之日起</w:t>
      </w:r>
      <w:r>
        <w:rPr>
          <w:rFonts w:hint="eastAsia" w:ascii="仿宋_GB2312" w:hAnsi="仿宋_GB2312" w:eastAsia="仿宋_GB2312" w:cs="仿宋_GB2312"/>
          <w:b w:val="0"/>
          <w:bCs/>
          <w:color w:val="000000" w:themeColor="text1"/>
          <w:sz w:val="28"/>
          <w:szCs w:val="28"/>
          <w:highlight w:val="none"/>
          <w:u w:val="none"/>
          <w:lang w:val="en-US" w:eastAsia="zh-CN"/>
          <w14:textFill>
            <w14:solidFill>
              <w14:schemeClr w14:val="tx1"/>
            </w14:solidFill>
          </w14:textFill>
        </w:rPr>
        <w:t>7日内，完成甲方所有指定点位的机顶盒更换、改造、安装并经甲方验收合格。</w:t>
      </w:r>
    </w:p>
    <w:p w14:paraId="54938412">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default" w:ascii="仿宋_GB2312" w:hAnsi="仿宋_GB2312" w:eastAsia="仿宋_GB2312" w:cs="仿宋_GB2312"/>
          <w:b w:val="0"/>
          <w:bCs/>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t>2.2 服务期限</w:t>
      </w:r>
    </w:p>
    <w:p w14:paraId="092078BE">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default" w:ascii="仿宋_GB2312" w:hAnsi="仿宋_GB2312" w:eastAsia="仿宋_GB2312" w:cs="仿宋_GB2312"/>
          <w:b w:val="0"/>
          <w:bCs/>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t xml:space="preserve">2.2.1 </w:t>
      </w:r>
      <w:r>
        <w:rPr>
          <w:rFonts w:hint="default" w:ascii="仿宋_GB2312" w:hAnsi="仿宋_GB2312" w:eastAsia="仿宋_GB2312" w:cs="仿宋_GB2312"/>
          <w:b w:val="0"/>
          <w:bCs/>
          <w:color w:val="000000" w:themeColor="text1"/>
          <w:sz w:val="28"/>
          <w:szCs w:val="28"/>
          <w:lang w:val="en-US" w:eastAsia="zh-CN"/>
          <w14:textFill>
            <w14:solidFill>
              <w14:schemeClr w14:val="tx1"/>
            </w14:solidFill>
          </w14:textFill>
        </w:rPr>
        <w:t>服务期限为</w:t>
      </w:r>
      <w:r>
        <w:rPr>
          <w:rFonts w:hint="eastAsia" w:ascii="仿宋_GB2312" w:hAnsi="仿宋_GB2312" w:eastAsia="仿宋_GB2312" w:cs="仿宋_GB2312"/>
          <w:b w:val="0"/>
          <w:bCs/>
          <w:color w:val="000000" w:themeColor="text1"/>
          <w:sz w:val="28"/>
          <w:szCs w:val="28"/>
          <w:u w:val="single"/>
          <w:lang w:val="en-US" w:eastAsia="zh-CN"/>
          <w14:textFill>
            <w14:solidFill>
              <w14:schemeClr w14:val="tx1"/>
            </w14:solidFill>
          </w14:textFill>
        </w:rPr>
        <w:t>12</w:t>
      </w:r>
      <w:r>
        <w:rPr>
          <w:rFonts w:hint="default" w:ascii="仿宋_GB2312" w:hAnsi="仿宋_GB2312" w:eastAsia="仿宋_GB2312" w:cs="仿宋_GB2312"/>
          <w:b w:val="0"/>
          <w:bCs/>
          <w:color w:val="000000" w:themeColor="text1"/>
          <w:sz w:val="28"/>
          <w:szCs w:val="28"/>
          <w:lang w:val="en-US" w:eastAsia="zh-CN"/>
          <w14:textFill>
            <w14:solidFill>
              <w14:schemeClr w14:val="tx1"/>
            </w14:solidFill>
          </w14:textFill>
        </w:rPr>
        <w:t>个月，自202</w:t>
      </w:r>
      <w:r>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t>6</w:t>
      </w:r>
      <w:r>
        <w:rPr>
          <w:rFonts w:hint="default" w:ascii="仿宋_GB2312" w:hAnsi="仿宋_GB2312" w:eastAsia="仿宋_GB2312" w:cs="仿宋_GB2312"/>
          <w:b w:val="0"/>
          <w:bCs/>
          <w:color w:val="000000" w:themeColor="text1"/>
          <w:sz w:val="28"/>
          <w:szCs w:val="28"/>
          <w:lang w:val="en-US" w:eastAsia="zh-CN"/>
          <w14:textFill>
            <w14:solidFill>
              <w14:schemeClr w14:val="tx1"/>
            </w14:solidFill>
          </w14:textFill>
        </w:rPr>
        <w:t>年</w:t>
      </w:r>
      <w:r>
        <w:rPr>
          <w:rFonts w:hint="default" w:ascii="仿宋_GB2312" w:hAnsi="仿宋_GB2312" w:eastAsia="仿宋_GB2312" w:cs="仿宋_GB2312"/>
          <w:b w:val="0"/>
          <w:bCs/>
          <w:color w:val="000000" w:themeColor="text1"/>
          <w:sz w:val="28"/>
          <w:szCs w:val="28"/>
          <w:u w:val="single"/>
          <w:lang w:val="en-US" w:eastAsia="zh-CN"/>
          <w14:textFill>
            <w14:solidFill>
              <w14:schemeClr w14:val="tx1"/>
            </w14:solidFill>
          </w14:textFill>
        </w:rPr>
        <w:t xml:space="preserve"> </w:t>
      </w:r>
      <w:r>
        <w:rPr>
          <w:rFonts w:hint="eastAsia" w:ascii="仿宋_GB2312" w:hAnsi="仿宋_GB2312" w:eastAsia="仿宋_GB2312" w:cs="仿宋_GB2312"/>
          <w:b w:val="0"/>
          <w:bCs/>
          <w:color w:val="000000" w:themeColor="text1"/>
          <w:sz w:val="28"/>
          <w:szCs w:val="28"/>
          <w:u w:val="single"/>
          <w:lang w:val="en-US" w:eastAsia="zh-CN"/>
          <w14:textFill>
            <w14:solidFill>
              <w14:schemeClr w14:val="tx1"/>
            </w14:solidFill>
          </w14:textFill>
        </w:rPr>
        <w:t>5</w:t>
      </w:r>
      <w:r>
        <w:rPr>
          <w:rFonts w:hint="default" w:ascii="仿宋_GB2312" w:hAnsi="仿宋_GB2312" w:eastAsia="仿宋_GB2312" w:cs="仿宋_GB2312"/>
          <w:b w:val="0"/>
          <w:bCs/>
          <w:color w:val="000000" w:themeColor="text1"/>
          <w:sz w:val="28"/>
          <w:szCs w:val="28"/>
          <w:u w:val="single"/>
          <w:lang w:val="en-US" w:eastAsia="zh-CN"/>
          <w14:textFill>
            <w14:solidFill>
              <w14:schemeClr w14:val="tx1"/>
            </w14:solidFill>
          </w14:textFill>
        </w:rPr>
        <w:t xml:space="preserve"> </w:t>
      </w:r>
      <w:r>
        <w:rPr>
          <w:rFonts w:hint="default" w:ascii="仿宋_GB2312" w:hAnsi="仿宋_GB2312" w:eastAsia="仿宋_GB2312" w:cs="仿宋_GB2312"/>
          <w:b w:val="0"/>
          <w:bCs/>
          <w:color w:val="000000" w:themeColor="text1"/>
          <w:sz w:val="28"/>
          <w:szCs w:val="28"/>
          <w:lang w:val="en-US" w:eastAsia="zh-CN"/>
          <w14:textFill>
            <w14:solidFill>
              <w14:schemeClr w14:val="tx1"/>
            </w14:solidFill>
          </w14:textFill>
        </w:rPr>
        <w:t>月</w:t>
      </w:r>
      <w:r>
        <w:rPr>
          <w:rFonts w:hint="eastAsia" w:ascii="仿宋_GB2312" w:hAnsi="仿宋_GB2312" w:eastAsia="仿宋_GB2312" w:cs="仿宋_GB2312"/>
          <w:b w:val="0"/>
          <w:bCs/>
          <w:color w:val="000000" w:themeColor="text1"/>
          <w:sz w:val="28"/>
          <w:szCs w:val="28"/>
          <w:u w:val="single"/>
          <w:lang w:val="en-US" w:eastAsia="zh-CN"/>
          <w14:textFill>
            <w14:solidFill>
              <w14:schemeClr w14:val="tx1"/>
            </w14:solidFill>
          </w14:textFill>
        </w:rPr>
        <w:t xml:space="preserve">  </w:t>
      </w:r>
      <w:r>
        <w:rPr>
          <w:rFonts w:hint="default" w:ascii="仿宋_GB2312" w:hAnsi="仿宋_GB2312" w:eastAsia="仿宋_GB2312" w:cs="仿宋_GB2312"/>
          <w:b w:val="0"/>
          <w:bCs/>
          <w:color w:val="000000" w:themeColor="text1"/>
          <w:sz w:val="28"/>
          <w:szCs w:val="28"/>
          <w:u w:val="single"/>
          <w:lang w:val="en-US" w:eastAsia="zh-CN"/>
          <w14:textFill>
            <w14:solidFill>
              <w14:schemeClr w14:val="tx1"/>
            </w14:solidFill>
          </w14:textFill>
        </w:rPr>
        <w:t xml:space="preserve"> </w:t>
      </w:r>
      <w:r>
        <w:rPr>
          <w:rFonts w:hint="default" w:ascii="仿宋_GB2312" w:hAnsi="仿宋_GB2312" w:eastAsia="仿宋_GB2312" w:cs="仿宋_GB2312"/>
          <w:b w:val="0"/>
          <w:bCs/>
          <w:color w:val="000000" w:themeColor="text1"/>
          <w:sz w:val="28"/>
          <w:szCs w:val="28"/>
          <w:lang w:val="en-US" w:eastAsia="zh-CN"/>
          <w14:textFill>
            <w14:solidFill>
              <w14:schemeClr w14:val="tx1"/>
            </w14:solidFill>
          </w14:textFill>
        </w:rPr>
        <w:t>日起至202</w:t>
      </w:r>
      <w:r>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t>7</w:t>
      </w:r>
      <w:r>
        <w:rPr>
          <w:rFonts w:hint="default" w:ascii="仿宋_GB2312" w:hAnsi="仿宋_GB2312" w:eastAsia="仿宋_GB2312" w:cs="仿宋_GB2312"/>
          <w:b w:val="0"/>
          <w:bCs/>
          <w:color w:val="000000" w:themeColor="text1"/>
          <w:sz w:val="28"/>
          <w:szCs w:val="28"/>
          <w:lang w:val="en-US" w:eastAsia="zh-CN"/>
          <w14:textFill>
            <w14:solidFill>
              <w14:schemeClr w14:val="tx1"/>
            </w14:solidFill>
          </w14:textFill>
        </w:rPr>
        <w:t>年</w:t>
      </w:r>
      <w:r>
        <w:rPr>
          <w:rFonts w:hint="default" w:ascii="仿宋_GB2312" w:hAnsi="仿宋_GB2312" w:eastAsia="仿宋_GB2312" w:cs="仿宋_GB2312"/>
          <w:b w:val="0"/>
          <w:bCs/>
          <w:color w:val="000000" w:themeColor="text1"/>
          <w:sz w:val="28"/>
          <w:szCs w:val="28"/>
          <w:u w:val="single"/>
          <w:lang w:val="en-US" w:eastAsia="zh-CN"/>
          <w14:textFill>
            <w14:solidFill>
              <w14:schemeClr w14:val="tx1"/>
            </w14:solidFill>
          </w14:textFill>
        </w:rPr>
        <w:t xml:space="preserve"> </w:t>
      </w:r>
      <w:r>
        <w:rPr>
          <w:rFonts w:hint="eastAsia" w:ascii="仿宋_GB2312" w:hAnsi="仿宋_GB2312" w:eastAsia="仿宋_GB2312" w:cs="仿宋_GB2312"/>
          <w:b w:val="0"/>
          <w:bCs/>
          <w:color w:val="000000" w:themeColor="text1"/>
          <w:sz w:val="28"/>
          <w:szCs w:val="28"/>
          <w:u w:val="single"/>
          <w:lang w:val="en-US" w:eastAsia="zh-CN"/>
          <w14:textFill>
            <w14:solidFill>
              <w14:schemeClr w14:val="tx1"/>
            </w14:solidFill>
          </w14:textFill>
        </w:rPr>
        <w:t xml:space="preserve"> </w:t>
      </w:r>
      <w:r>
        <w:rPr>
          <w:rFonts w:hint="default" w:ascii="仿宋_GB2312" w:hAnsi="仿宋_GB2312" w:eastAsia="仿宋_GB2312" w:cs="仿宋_GB2312"/>
          <w:b w:val="0"/>
          <w:bCs/>
          <w:color w:val="000000" w:themeColor="text1"/>
          <w:sz w:val="28"/>
          <w:szCs w:val="28"/>
          <w:u w:val="single"/>
          <w:lang w:val="en-US" w:eastAsia="zh-CN"/>
          <w14:textFill>
            <w14:solidFill>
              <w14:schemeClr w14:val="tx1"/>
            </w14:solidFill>
          </w14:textFill>
        </w:rPr>
        <w:t xml:space="preserve"> </w:t>
      </w:r>
      <w:r>
        <w:rPr>
          <w:rFonts w:hint="default" w:ascii="仿宋_GB2312" w:hAnsi="仿宋_GB2312" w:eastAsia="仿宋_GB2312" w:cs="仿宋_GB2312"/>
          <w:b w:val="0"/>
          <w:bCs/>
          <w:color w:val="000000" w:themeColor="text1"/>
          <w:sz w:val="28"/>
          <w:szCs w:val="28"/>
          <w:lang w:val="en-US" w:eastAsia="zh-CN"/>
          <w14:textFill>
            <w14:solidFill>
              <w14:schemeClr w14:val="tx1"/>
            </w14:solidFill>
          </w14:textFill>
        </w:rPr>
        <w:t>月</w:t>
      </w:r>
      <w:r>
        <w:rPr>
          <w:rFonts w:hint="default" w:ascii="仿宋_GB2312" w:hAnsi="仿宋_GB2312" w:eastAsia="仿宋_GB2312" w:cs="仿宋_GB2312"/>
          <w:b w:val="0"/>
          <w:bCs/>
          <w:color w:val="000000" w:themeColor="text1"/>
          <w:sz w:val="28"/>
          <w:szCs w:val="28"/>
          <w:u w:val="single"/>
          <w:lang w:val="en-US" w:eastAsia="zh-CN"/>
          <w14:textFill>
            <w14:solidFill>
              <w14:schemeClr w14:val="tx1"/>
            </w14:solidFill>
          </w14:textFill>
        </w:rPr>
        <w:t xml:space="preserve"> </w:t>
      </w:r>
      <w:r>
        <w:rPr>
          <w:rFonts w:hint="eastAsia" w:ascii="仿宋_GB2312" w:hAnsi="仿宋_GB2312" w:eastAsia="仿宋_GB2312" w:cs="仿宋_GB2312"/>
          <w:b w:val="0"/>
          <w:bCs/>
          <w:color w:val="000000" w:themeColor="text1"/>
          <w:sz w:val="28"/>
          <w:szCs w:val="28"/>
          <w:u w:val="single"/>
          <w:lang w:val="en-US" w:eastAsia="zh-CN"/>
          <w14:textFill>
            <w14:solidFill>
              <w14:schemeClr w14:val="tx1"/>
            </w14:solidFill>
          </w14:textFill>
        </w:rPr>
        <w:t xml:space="preserve"> </w:t>
      </w:r>
      <w:r>
        <w:rPr>
          <w:rFonts w:hint="default" w:ascii="仿宋_GB2312" w:hAnsi="仿宋_GB2312" w:eastAsia="仿宋_GB2312" w:cs="仿宋_GB2312"/>
          <w:b w:val="0"/>
          <w:bCs/>
          <w:color w:val="000000" w:themeColor="text1"/>
          <w:sz w:val="28"/>
          <w:szCs w:val="28"/>
          <w:u w:val="single"/>
          <w:lang w:val="en-US" w:eastAsia="zh-CN"/>
          <w14:textFill>
            <w14:solidFill>
              <w14:schemeClr w14:val="tx1"/>
            </w14:solidFill>
          </w14:textFill>
        </w:rPr>
        <w:t xml:space="preserve"> </w:t>
      </w:r>
      <w:r>
        <w:rPr>
          <w:rFonts w:hint="default" w:ascii="仿宋_GB2312" w:hAnsi="仿宋_GB2312" w:eastAsia="仿宋_GB2312" w:cs="仿宋_GB2312"/>
          <w:b w:val="0"/>
          <w:bCs/>
          <w:color w:val="000000" w:themeColor="text1"/>
          <w:sz w:val="28"/>
          <w:szCs w:val="28"/>
          <w:lang w:val="en-US" w:eastAsia="zh-CN"/>
          <w14:textFill>
            <w14:solidFill>
              <w14:schemeClr w14:val="tx1"/>
            </w14:solidFill>
          </w14:textFill>
        </w:rPr>
        <w:t>日止。</w:t>
      </w:r>
    </w:p>
    <w:p w14:paraId="5AFFCD5F">
      <w:pPr>
        <w:pStyle w:val="13"/>
        <w:keepNext w:val="0"/>
        <w:keepLines w:val="0"/>
        <w:pageBreakBefore w:val="0"/>
        <w:widowControl w:val="0"/>
        <w:kinsoku/>
        <w:wordWrap w:val="0"/>
        <w:overflowPunct/>
        <w:topLinePunct/>
        <w:autoSpaceDE/>
        <w:autoSpaceDN/>
        <w:bidi w:val="0"/>
        <w:adjustRightInd/>
        <w:snapToGrid/>
        <w:spacing w:after="0" w:line="460" w:lineRule="exact"/>
        <w:ind w:firstLine="560" w:firstLineChars="200"/>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2.2.2 本合同期限届满时，如乙方经甲方考核合格，合同期限可顺延，每次顺延期限以壹年为限，顺延次数以贰次为限；每次顺延，甲乙双方须另行签订数字电视频道服务采购合同。</w:t>
      </w:r>
    </w:p>
    <w:p w14:paraId="293710CE">
      <w:pPr>
        <w:pStyle w:val="13"/>
        <w:keepNext w:val="0"/>
        <w:keepLines w:val="0"/>
        <w:pageBreakBefore w:val="0"/>
        <w:widowControl w:val="0"/>
        <w:kinsoku/>
        <w:wordWrap w:val="0"/>
        <w:overflowPunct/>
        <w:topLinePunct/>
        <w:autoSpaceDE/>
        <w:autoSpaceDN/>
        <w:bidi w:val="0"/>
        <w:adjustRightInd/>
        <w:snapToGrid/>
        <w:spacing w:after="0" w:line="460" w:lineRule="exact"/>
        <w:ind w:firstLine="560" w:firstLineChars="200"/>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2.2.3 本合同期限（如甲乙双方续签合同，则包含续签合同的期限，下同）届满后，至甲方新选定的供应商入场前，如甲方需乙方继续提供数字电视频道服务，乙方应继续按照本合同约定的标准和条件提供服务，确保甲方工作正常运行。甲方按本合同约定的费用标准向乙方支付服务费。</w:t>
      </w:r>
    </w:p>
    <w:p w14:paraId="0B1B85CD">
      <w:pPr>
        <w:pStyle w:val="13"/>
        <w:keepNext w:val="0"/>
        <w:keepLines w:val="0"/>
        <w:pageBreakBefore w:val="0"/>
        <w:widowControl w:val="0"/>
        <w:numPr>
          <w:ilvl w:val="0"/>
          <w:numId w:val="0"/>
        </w:numPr>
        <w:kinsoku/>
        <w:wordWrap w:val="0"/>
        <w:overflowPunct/>
        <w:topLinePunct/>
        <w:autoSpaceDE/>
        <w:autoSpaceDN/>
        <w:bidi w:val="0"/>
        <w:adjustRightInd/>
        <w:snapToGrid/>
        <w:spacing w:after="0" w:line="460" w:lineRule="exact"/>
        <w:ind w:firstLine="562" w:firstLineChars="200"/>
        <w:textAlignment w:val="auto"/>
        <w:rPr>
          <w:rFonts w:hint="eastAsia" w:ascii="仿宋_GB2312" w:hAnsi="仿宋_GB2312" w:eastAsia="仿宋_GB2312" w:cs="仿宋_GB2312"/>
          <w:b/>
          <w:bCs w:val="0"/>
          <w:color w:val="000000" w:themeColor="text1"/>
          <w:kern w:val="2"/>
          <w:sz w:val="28"/>
          <w:szCs w:val="28"/>
          <w:lang w:val="en-US" w:eastAsia="zh-CN" w:bidi="ar-SA"/>
          <w14:textFill>
            <w14:solidFill>
              <w14:schemeClr w14:val="tx1"/>
            </w14:solidFill>
          </w14:textFill>
        </w:rPr>
      </w:pPr>
      <w:r>
        <w:rPr>
          <w:rFonts w:hint="eastAsia" w:ascii="仿宋_GB2312" w:hAnsi="仿宋_GB2312" w:eastAsia="仿宋_GB2312" w:cs="仿宋_GB2312"/>
          <w:b/>
          <w:bCs w:val="0"/>
          <w:color w:val="000000" w:themeColor="text1"/>
          <w:kern w:val="2"/>
          <w:sz w:val="28"/>
          <w:szCs w:val="28"/>
          <w:lang w:val="en-US" w:eastAsia="zh-CN" w:bidi="ar-SA"/>
          <w14:textFill>
            <w14:solidFill>
              <w14:schemeClr w14:val="tx1"/>
            </w14:solidFill>
          </w14:textFill>
        </w:rPr>
        <w:t>第三条 甲方的权利和义务</w:t>
      </w:r>
    </w:p>
    <w:p w14:paraId="5A12478A">
      <w:pPr>
        <w:pStyle w:val="13"/>
        <w:keepNext w:val="0"/>
        <w:keepLines w:val="0"/>
        <w:pageBreakBefore w:val="0"/>
        <w:widowControl w:val="0"/>
        <w:numPr>
          <w:ilvl w:val="0"/>
          <w:numId w:val="0"/>
        </w:numPr>
        <w:kinsoku/>
        <w:wordWrap w:val="0"/>
        <w:overflowPunct/>
        <w:topLinePunct/>
        <w:autoSpaceDE/>
        <w:autoSpaceDN/>
        <w:bidi w:val="0"/>
        <w:adjustRightInd/>
        <w:snapToGrid/>
        <w:spacing w:after="0" w:line="460" w:lineRule="exact"/>
        <w:ind w:firstLine="560" w:firstLineChars="200"/>
        <w:textAlignment w:val="auto"/>
        <w:rPr>
          <w:rFonts w:hint="default" w:ascii="仿宋_GB2312" w:hAnsi="仿宋_GB2312" w:eastAsia="仿宋_GB2312" w:cs="仿宋_GB2312"/>
          <w:b/>
          <w:bCs w:val="0"/>
          <w:color w:val="000000" w:themeColor="text1"/>
          <w:kern w:val="2"/>
          <w:sz w:val="28"/>
          <w:szCs w:val="28"/>
          <w:lang w:val="en-US" w:eastAsia="zh-CN" w:bidi="ar-SA"/>
          <w14:textFill>
            <w14:solidFill>
              <w14:schemeClr w14:val="tx1"/>
            </w14:solidFill>
          </w14:textFill>
        </w:rPr>
      </w:pPr>
      <w:r>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t>3.1 甲方为乙方安装工作提供便利，并在本合同有效期内免费提供场地、电源等。</w:t>
      </w:r>
    </w:p>
    <w:p w14:paraId="4353FE5C">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t>3.2 甲方负责线路的布放、维修等工作并承担相关费用。</w:t>
      </w:r>
    </w:p>
    <w:p w14:paraId="3EDE825A">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t>3.3 甲方不得以任何方式将乙方的机顶盒、接入终端移作他用或转让、转租第三方使用，不得为第三方提供转接（穿透）服务，不得利用乙方提供的接入业务从事互联网和手机媒体淫秽色情及低俗信息等违法活动。</w:t>
      </w:r>
    </w:p>
    <w:p w14:paraId="2FC0EAF5">
      <w:pPr>
        <w:pStyle w:val="13"/>
        <w:keepNext w:val="0"/>
        <w:keepLines w:val="0"/>
        <w:pageBreakBefore w:val="0"/>
        <w:widowControl w:val="0"/>
        <w:kinsoku/>
        <w:wordWrap w:val="0"/>
        <w:overflowPunct/>
        <w:topLinePunct/>
        <w:autoSpaceDE/>
        <w:autoSpaceDN/>
        <w:bidi w:val="0"/>
        <w:adjustRightInd/>
        <w:snapToGrid/>
        <w:spacing w:after="0" w:line="460" w:lineRule="exact"/>
        <w:ind w:firstLine="560" w:firstLineChars="200"/>
        <w:textAlignment w:val="auto"/>
        <w:rPr>
          <w:rFonts w:hint="default" w:ascii="仿宋_GB2312" w:hAnsi="仿宋_GB2312" w:eastAsia="仿宋_GB2312" w:cs="仿宋_GB2312"/>
          <w:b w:val="0"/>
          <w:bCs/>
          <w:color w:val="000000" w:themeColor="text1"/>
          <w:kern w:val="2"/>
          <w:sz w:val="28"/>
          <w:szCs w:val="28"/>
          <w:lang w:val="en-US" w:eastAsia="zh-CN" w:bidi="ar-SA"/>
          <w14:textFill>
            <w14:solidFill>
              <w14:schemeClr w14:val="tx1"/>
            </w14:solidFill>
          </w14:textFill>
        </w:rPr>
      </w:pPr>
      <w:r>
        <w:rPr>
          <w:rFonts w:hint="eastAsia" w:ascii="仿宋_GB2312" w:hAnsi="仿宋_GB2312" w:eastAsia="仿宋_GB2312" w:cs="仿宋_GB2312"/>
          <w:b w:val="0"/>
          <w:bCs/>
          <w:color w:val="000000" w:themeColor="text1"/>
          <w:kern w:val="2"/>
          <w:sz w:val="28"/>
          <w:szCs w:val="28"/>
          <w:lang w:val="en-US" w:eastAsia="zh-CN" w:bidi="ar-SA"/>
          <w14:textFill>
            <w14:solidFill>
              <w14:schemeClr w14:val="tx1"/>
            </w14:solidFill>
          </w14:textFill>
        </w:rPr>
        <w:t>3.4 甲方有权对乙方的服务进行监督，发现问题及时通知乙方进行处理。</w:t>
      </w:r>
    </w:p>
    <w:p w14:paraId="714D0239">
      <w:pPr>
        <w:keepNext w:val="0"/>
        <w:keepLines w:val="0"/>
        <w:pageBreakBefore w:val="0"/>
        <w:widowControl w:val="0"/>
        <w:kinsoku/>
        <w:wordWrap w:val="0"/>
        <w:overflowPunct/>
        <w:topLinePunct/>
        <w:autoSpaceDE/>
        <w:autoSpaceDN/>
        <w:bidi w:val="0"/>
        <w:adjustRightInd/>
        <w:snapToGrid/>
        <w:spacing w:line="460" w:lineRule="exact"/>
        <w:ind w:firstLine="562" w:firstLineChars="200"/>
        <w:jc w:val="both"/>
        <w:textAlignment w:val="auto"/>
        <w:rPr>
          <w:rFonts w:hint="default" w:ascii="仿宋_GB2312" w:hAnsi="仿宋_GB2312" w:eastAsia="仿宋_GB2312" w:cs="仿宋_GB2312"/>
          <w:b w:val="0"/>
          <w:bCs/>
          <w:color w:val="000000" w:themeColor="text1"/>
          <w:sz w:val="28"/>
          <w:szCs w:val="28"/>
          <w:highlight w:val="none"/>
          <w:lang w:val="en-US" w:eastAsia="zh-CN"/>
          <w14:textFill>
            <w14:solidFill>
              <w14:schemeClr w14:val="tx1"/>
            </w14:solidFill>
          </w14:textFill>
        </w:rPr>
      </w:pPr>
      <w:r>
        <w:rPr>
          <w:rFonts w:hint="eastAsia" w:ascii="仿宋_GB2312" w:hAnsi="仿宋_GB2312" w:eastAsia="仿宋_GB2312" w:cs="仿宋_GB2312"/>
          <w:b/>
          <w:bCs w:val="0"/>
          <w:color w:val="000000" w:themeColor="text1"/>
          <w:kern w:val="2"/>
          <w:sz w:val="28"/>
          <w:szCs w:val="28"/>
          <w:highlight w:val="none"/>
          <w:lang w:val="en-US" w:eastAsia="zh-CN" w:bidi="ar-SA"/>
          <w14:textFill>
            <w14:solidFill>
              <w14:schemeClr w14:val="tx1"/>
            </w14:solidFill>
          </w14:textFill>
        </w:rPr>
        <w:t>第四条 乙方的权利和义务</w:t>
      </w:r>
    </w:p>
    <w:p w14:paraId="6778A1B6">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4.1 乙方负责做好设备设施安装、测试、开通并通过甲方验收，在本合同服务期限内负责维护与维修工作。</w:t>
      </w:r>
    </w:p>
    <w:p w14:paraId="30174F89">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4.2 乙方提供每周7天*24小时售后服务，维修服务电话为</w:t>
      </w:r>
      <w:r>
        <w:rPr>
          <w:rFonts w:hint="eastAsia" w:ascii="仿宋_GB2312" w:hAnsi="仿宋_GB2312" w:eastAsia="仿宋_GB2312" w:cs="仿宋_GB2312"/>
          <w:b w:val="0"/>
          <w:bCs/>
          <w:color w:val="auto"/>
          <w:sz w:val="28"/>
          <w:szCs w:val="28"/>
          <w:u w:val="single"/>
          <w:lang w:val="en-US" w:eastAsia="zh-CN"/>
        </w:rPr>
        <w:t xml:space="preserve">      </w:t>
      </w:r>
      <w:r>
        <w:rPr>
          <w:rFonts w:hint="eastAsia" w:ascii="仿宋_GB2312" w:hAnsi="仿宋_GB2312" w:eastAsia="仿宋_GB2312" w:cs="仿宋_GB2312"/>
          <w:b w:val="0"/>
          <w:bCs/>
          <w:color w:val="auto"/>
          <w:sz w:val="28"/>
          <w:szCs w:val="28"/>
          <w:u w:val="none"/>
          <w:lang w:val="en-US" w:eastAsia="zh-CN"/>
        </w:rPr>
        <w:t>，指定日常维护联系人：</w:t>
      </w:r>
      <w:r>
        <w:rPr>
          <w:rFonts w:hint="eastAsia" w:ascii="仿宋_GB2312" w:hAnsi="仿宋_GB2312" w:eastAsia="仿宋_GB2312" w:cs="仿宋_GB2312"/>
          <w:b w:val="0"/>
          <w:bCs/>
          <w:color w:val="auto"/>
          <w:sz w:val="28"/>
          <w:szCs w:val="28"/>
          <w:u w:val="single"/>
          <w:lang w:val="en-US" w:eastAsia="zh-CN"/>
        </w:rPr>
        <w:t xml:space="preserve">       </w:t>
      </w:r>
      <w:r>
        <w:rPr>
          <w:rFonts w:hint="eastAsia" w:ascii="仿宋_GB2312" w:hAnsi="仿宋_GB2312" w:eastAsia="仿宋_GB2312" w:cs="仿宋_GB2312"/>
          <w:b w:val="0"/>
          <w:bCs/>
          <w:color w:val="auto"/>
          <w:sz w:val="28"/>
          <w:szCs w:val="28"/>
          <w:u w:val="none"/>
          <w:lang w:val="en-US" w:eastAsia="zh-CN"/>
        </w:rPr>
        <w:t>（联系电话：</w:t>
      </w:r>
      <w:r>
        <w:rPr>
          <w:rFonts w:hint="eastAsia" w:ascii="仿宋_GB2312" w:hAnsi="仿宋_GB2312" w:eastAsia="仿宋_GB2312" w:cs="仿宋_GB2312"/>
          <w:b w:val="0"/>
          <w:bCs/>
          <w:color w:val="auto"/>
          <w:sz w:val="28"/>
          <w:szCs w:val="28"/>
          <w:u w:val="single"/>
          <w:lang w:val="en-US" w:eastAsia="zh-CN"/>
        </w:rPr>
        <w:t xml:space="preserve">        </w:t>
      </w:r>
      <w:r>
        <w:rPr>
          <w:rFonts w:hint="eastAsia" w:ascii="仿宋_GB2312" w:hAnsi="仿宋_GB2312" w:eastAsia="仿宋_GB2312" w:cs="仿宋_GB2312"/>
          <w:b w:val="0"/>
          <w:bCs/>
          <w:color w:val="auto"/>
          <w:sz w:val="28"/>
          <w:szCs w:val="28"/>
          <w:u w:val="none"/>
          <w:lang w:val="en-US" w:eastAsia="zh-CN"/>
        </w:rPr>
        <w:t>），乙方在接到甲方通知后15分钟内响应，4—6小时内解除故障，重大故障在48小时内解除</w:t>
      </w:r>
      <w:r>
        <w:rPr>
          <w:rFonts w:hint="eastAsia" w:ascii="仿宋_GB2312" w:hAnsi="仿宋_GB2312" w:eastAsia="仿宋_GB2312" w:cs="仿宋_GB2312"/>
          <w:b w:val="0"/>
          <w:bCs/>
          <w:color w:val="auto"/>
          <w:sz w:val="28"/>
          <w:szCs w:val="28"/>
          <w:lang w:val="en-US" w:eastAsia="zh-CN"/>
        </w:rPr>
        <w:t>。</w:t>
      </w:r>
    </w:p>
    <w:p w14:paraId="3C27BB5B">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4.3 乙方提供的频道服务如因政策、不可抗力等原因需要停止，乙方应提前</w:t>
      </w:r>
      <w:r>
        <w:rPr>
          <w:rFonts w:hint="eastAsia" w:ascii="仿宋_GB2312" w:hAnsi="仿宋_GB2312" w:eastAsia="仿宋_GB2312" w:cs="仿宋_GB2312"/>
          <w:b w:val="0"/>
          <w:bCs/>
          <w:color w:val="auto"/>
          <w:sz w:val="28"/>
          <w:szCs w:val="28"/>
          <w:u w:val="single"/>
          <w:lang w:val="en-US" w:eastAsia="zh-CN"/>
        </w:rPr>
        <w:t xml:space="preserve">   </w:t>
      </w:r>
      <w:r>
        <w:rPr>
          <w:rFonts w:hint="eastAsia" w:ascii="仿宋_GB2312" w:hAnsi="仿宋_GB2312" w:eastAsia="仿宋_GB2312" w:cs="仿宋_GB2312"/>
          <w:b w:val="0"/>
          <w:bCs/>
          <w:color w:val="auto"/>
          <w:sz w:val="28"/>
          <w:szCs w:val="28"/>
          <w:lang w:val="en-US" w:eastAsia="zh-CN"/>
        </w:rPr>
        <w:t>日通知甲方并经甲方同意后调整频道。</w:t>
      </w:r>
    </w:p>
    <w:p w14:paraId="5F0CA33D">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default"/>
          <w:color w:val="auto"/>
          <w:lang w:val="en-US" w:eastAsia="zh-CN"/>
        </w:rPr>
      </w:pPr>
      <w:r>
        <w:rPr>
          <w:rFonts w:hint="eastAsia" w:ascii="仿宋_GB2312" w:hAnsi="仿宋_GB2312" w:eastAsia="仿宋_GB2312" w:cs="仿宋_GB2312"/>
          <w:b w:val="0"/>
          <w:bCs/>
          <w:color w:val="auto"/>
          <w:sz w:val="28"/>
          <w:szCs w:val="28"/>
          <w:lang w:val="en-US" w:eastAsia="zh-CN"/>
        </w:rPr>
        <w:t>4.4 如本合同期限届满或本合同解除后，且甲方依规选定非乙方的数字电视频道服务商，乙方应自行负责对本合同约定安装的机顶盒拆除、将机顶盒和遥控器带离甲方并承担由此产生的全部费用。</w:t>
      </w:r>
    </w:p>
    <w:p w14:paraId="228628F1">
      <w:pPr>
        <w:keepNext w:val="0"/>
        <w:keepLines w:val="0"/>
        <w:pageBreakBefore w:val="0"/>
        <w:widowControl w:val="0"/>
        <w:kinsoku/>
        <w:wordWrap w:val="0"/>
        <w:overflowPunct/>
        <w:topLinePunct/>
        <w:autoSpaceDE/>
        <w:autoSpaceDN/>
        <w:bidi w:val="0"/>
        <w:adjustRightInd/>
        <w:snapToGrid/>
        <w:spacing w:line="460" w:lineRule="exact"/>
        <w:ind w:firstLine="562" w:firstLineChars="200"/>
        <w:jc w:val="both"/>
        <w:textAlignment w:val="auto"/>
        <w:rPr>
          <w:rFonts w:hint="eastAsia" w:ascii="仿宋_GB2312" w:hAnsi="仿宋_GB2312" w:eastAsia="仿宋_GB2312" w:cs="仿宋_GB2312"/>
          <w:b/>
          <w:bCs w:val="0"/>
          <w:color w:val="auto"/>
          <w:sz w:val="28"/>
          <w:szCs w:val="28"/>
          <w:lang w:val="en-US" w:eastAsia="zh-CN"/>
        </w:rPr>
      </w:pPr>
      <w:r>
        <w:rPr>
          <w:rFonts w:hint="eastAsia" w:ascii="仿宋_GB2312" w:hAnsi="仿宋_GB2312" w:eastAsia="仿宋_GB2312" w:cs="仿宋_GB2312"/>
          <w:b/>
          <w:bCs w:val="0"/>
          <w:color w:val="auto"/>
          <w:sz w:val="28"/>
          <w:szCs w:val="28"/>
          <w:lang w:val="en-US" w:eastAsia="zh-CN"/>
        </w:rPr>
        <w:t>第五条 合同金额及支付方式</w:t>
      </w:r>
    </w:p>
    <w:p w14:paraId="3EB2E4DB">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b w:val="0"/>
          <w:bCs/>
          <w:color w:val="auto"/>
          <w:sz w:val="28"/>
          <w:szCs w:val="28"/>
          <w:u w:val="none"/>
          <w:lang w:val="en-US" w:eastAsia="zh-CN"/>
        </w:rPr>
      </w:pPr>
      <w:r>
        <w:rPr>
          <w:rFonts w:hint="eastAsia" w:ascii="仿宋_GB2312" w:hAnsi="仿宋_GB2312" w:eastAsia="仿宋_GB2312" w:cs="仿宋_GB2312"/>
          <w:b w:val="0"/>
          <w:bCs/>
          <w:color w:val="auto"/>
          <w:sz w:val="28"/>
          <w:szCs w:val="28"/>
          <w:lang w:val="en-US" w:eastAsia="zh-CN"/>
        </w:rPr>
        <w:t>5.1 本合同约定服务费标准为人民币</w:t>
      </w:r>
      <w:r>
        <w:rPr>
          <w:rFonts w:hint="eastAsia" w:ascii="仿宋_GB2312" w:hAnsi="仿宋_GB2312" w:eastAsia="仿宋_GB2312" w:cs="仿宋_GB2312"/>
          <w:b w:val="0"/>
          <w:bCs/>
          <w:color w:val="auto"/>
          <w:sz w:val="28"/>
          <w:szCs w:val="28"/>
          <w:u w:val="single"/>
          <w:lang w:val="en-US" w:eastAsia="zh-CN"/>
        </w:rPr>
        <w:t xml:space="preserve">      </w:t>
      </w:r>
      <w:r>
        <w:rPr>
          <w:rFonts w:hint="eastAsia" w:ascii="仿宋_GB2312" w:hAnsi="仿宋_GB2312" w:eastAsia="仿宋_GB2312" w:cs="仿宋_GB2312"/>
          <w:b w:val="0"/>
          <w:bCs/>
          <w:color w:val="auto"/>
          <w:sz w:val="28"/>
          <w:szCs w:val="28"/>
          <w:u w:val="none"/>
          <w:lang w:val="en-US" w:eastAsia="zh-CN"/>
        </w:rPr>
        <w:t>元整/点位/年（即</w:t>
      </w:r>
      <w:r>
        <w:rPr>
          <w:rFonts w:hint="eastAsia" w:ascii="仿宋_GB2312" w:hAnsi="仿宋_GB2312" w:eastAsia="仿宋_GB2312" w:cs="仿宋_GB2312"/>
          <w:b w:val="0"/>
          <w:bCs/>
          <w:color w:val="auto"/>
          <w:sz w:val="28"/>
          <w:szCs w:val="28"/>
          <w:u w:val="single"/>
          <w:lang w:val="en-US" w:eastAsia="zh-CN"/>
        </w:rPr>
        <w:t xml:space="preserve">   </w:t>
      </w:r>
      <w:r>
        <w:rPr>
          <w:rFonts w:hint="eastAsia" w:ascii="仿宋_GB2312" w:hAnsi="仿宋_GB2312" w:eastAsia="仿宋_GB2312" w:cs="仿宋_GB2312"/>
          <w:b w:val="0"/>
          <w:bCs/>
          <w:color w:val="auto"/>
          <w:sz w:val="28"/>
          <w:szCs w:val="28"/>
          <w:u w:val="none"/>
          <w:lang w:val="en-US" w:eastAsia="zh-CN"/>
        </w:rPr>
        <w:t>元整/点位/月），按1400个点位计算，服务费暂定为</w:t>
      </w:r>
      <w:r>
        <w:rPr>
          <w:rFonts w:hint="eastAsia" w:ascii="仿宋_GB2312" w:hAnsi="仿宋_GB2312" w:eastAsia="仿宋_GB2312" w:cs="仿宋_GB2312"/>
          <w:b w:val="0"/>
          <w:bCs/>
          <w:color w:val="auto"/>
          <w:sz w:val="28"/>
          <w:szCs w:val="28"/>
          <w:lang w:val="en-US" w:eastAsia="zh-CN"/>
        </w:rPr>
        <w:t>人民币</w:t>
      </w:r>
      <w:r>
        <w:rPr>
          <w:rFonts w:hint="eastAsia" w:ascii="仿宋_GB2312" w:hAnsi="仿宋_GB2312" w:eastAsia="仿宋_GB2312" w:cs="仿宋_GB2312"/>
          <w:b w:val="0"/>
          <w:bCs/>
          <w:color w:val="auto"/>
          <w:sz w:val="28"/>
          <w:szCs w:val="28"/>
          <w:u w:val="single"/>
          <w:lang w:val="en-US" w:eastAsia="zh-CN"/>
        </w:rPr>
        <w:t xml:space="preserve">      </w:t>
      </w:r>
      <w:r>
        <w:rPr>
          <w:rFonts w:hint="eastAsia" w:ascii="仿宋_GB2312" w:hAnsi="仿宋_GB2312" w:eastAsia="仿宋_GB2312" w:cs="仿宋_GB2312"/>
          <w:b w:val="0"/>
          <w:bCs/>
          <w:color w:val="auto"/>
          <w:sz w:val="28"/>
          <w:szCs w:val="28"/>
          <w:u w:val="none"/>
          <w:lang w:val="en-US" w:eastAsia="zh-CN"/>
        </w:rPr>
        <w:t>元整/年（</w:t>
      </w:r>
      <w:r>
        <w:rPr>
          <w:rFonts w:hint="default" w:ascii="Arial" w:hAnsi="Arial" w:eastAsia="仿宋_GB2312" w:cs="Arial"/>
          <w:b w:val="0"/>
          <w:bCs/>
          <w:color w:val="auto"/>
          <w:sz w:val="28"/>
          <w:szCs w:val="28"/>
          <w:u w:val="none"/>
          <w:lang w:val="en-US" w:eastAsia="zh-CN"/>
        </w:rPr>
        <w:t>¥</w:t>
      </w:r>
      <w:r>
        <w:rPr>
          <w:rFonts w:hint="eastAsia" w:ascii="仿宋_GB2312" w:hAnsi="仿宋_GB2312" w:eastAsia="仿宋_GB2312" w:cs="仿宋_GB2312"/>
          <w:b w:val="0"/>
          <w:bCs/>
          <w:color w:val="auto"/>
          <w:sz w:val="28"/>
          <w:szCs w:val="28"/>
          <w:u w:val="single"/>
          <w:lang w:val="en-US" w:eastAsia="zh-CN"/>
        </w:rPr>
        <w:t xml:space="preserve">      </w:t>
      </w:r>
      <w:r>
        <w:rPr>
          <w:rFonts w:hint="eastAsia" w:ascii="仿宋_GB2312" w:hAnsi="仿宋_GB2312" w:eastAsia="仿宋_GB2312" w:cs="仿宋_GB2312"/>
          <w:b w:val="0"/>
          <w:bCs/>
          <w:color w:val="auto"/>
          <w:sz w:val="28"/>
          <w:szCs w:val="28"/>
          <w:u w:val="none"/>
          <w:lang w:val="en-US" w:eastAsia="zh-CN"/>
        </w:rPr>
        <w:t>），如实际开通点位数量、时间与本合同约定不一致的，总服务费按实际开通点位数量和开通月份据实结算。</w:t>
      </w:r>
      <w:r>
        <w:rPr>
          <w:rFonts w:hint="eastAsia" w:ascii="仿宋_GB2312" w:hAnsi="仿宋_GB2312" w:eastAsia="仿宋_GB2312" w:cs="仿宋_GB2312"/>
          <w:color w:val="auto"/>
          <w:sz w:val="28"/>
          <w:szCs w:val="28"/>
          <w:lang w:val="en-US" w:eastAsia="zh-CN"/>
        </w:rPr>
        <w:t>该服务费已包含服务设备（</w:t>
      </w:r>
      <w:r>
        <w:rPr>
          <w:rFonts w:hint="eastAsia" w:ascii="仿宋_GB2312" w:hAnsi="仿宋_GB2312" w:eastAsia="仿宋_GB2312" w:cs="仿宋_GB2312"/>
          <w:b w:val="0"/>
          <w:bCs/>
          <w:color w:val="auto"/>
          <w:sz w:val="28"/>
          <w:szCs w:val="28"/>
          <w:lang w:val="en-US" w:eastAsia="zh-CN"/>
        </w:rPr>
        <w:t>光纤宽带接入终端、机顶盒、遥控器）</w:t>
      </w:r>
      <w:r>
        <w:rPr>
          <w:rFonts w:hint="eastAsia" w:ascii="仿宋_GB2312" w:hAnsi="仿宋_GB2312" w:eastAsia="仿宋_GB2312" w:cs="仿宋_GB2312"/>
          <w:color w:val="auto"/>
          <w:sz w:val="28"/>
          <w:szCs w:val="28"/>
          <w:lang w:val="en-US" w:eastAsia="zh-CN"/>
        </w:rPr>
        <w:t>使用费、数字电视频道服务费、定制广告费、安装费、改造费、维修费、维护费、税费等，甲方不再就本合同约定范围内的服务额外支付任何其他费用。</w:t>
      </w:r>
    </w:p>
    <w:p w14:paraId="60EC53BD">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5.2 甲方自本合同期限届满之日起30日内支付服务费。</w:t>
      </w:r>
    </w:p>
    <w:p w14:paraId="78543348">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color w:val="auto"/>
          <w:sz w:val="28"/>
          <w:szCs w:val="28"/>
          <w:u w:val="none"/>
          <w:lang w:val="en-US" w:eastAsia="zh-CN"/>
        </w:rPr>
      </w:pPr>
      <w:r>
        <w:rPr>
          <w:rFonts w:hint="eastAsia" w:ascii="仿宋_GB2312" w:hAnsi="仿宋_GB2312" w:eastAsia="仿宋_GB2312" w:cs="仿宋_GB2312"/>
          <w:color w:val="auto"/>
          <w:sz w:val="28"/>
          <w:szCs w:val="28"/>
          <w:u w:val="none"/>
          <w:lang w:val="en-US" w:eastAsia="zh-CN"/>
        </w:rPr>
        <w:t>5.3 甲方通过银行转账方式支付价款至乙方指定收款银行账户。乙方指定收款银行账户：户名：</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none"/>
          <w:lang w:val="en-US" w:eastAsia="zh-CN"/>
        </w:rPr>
        <w:t>，开户行：</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none"/>
          <w:lang w:val="en-US" w:eastAsia="zh-CN"/>
        </w:rPr>
        <w:t>，账号：</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none"/>
          <w:lang w:val="en-US" w:eastAsia="zh-CN"/>
        </w:rPr>
        <w:t>。</w:t>
      </w:r>
    </w:p>
    <w:p w14:paraId="5764F936">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default" w:ascii="仿宋_GB2312" w:hAnsi="仿宋_GB2312" w:eastAsia="仿宋_GB2312" w:cs="仿宋_GB2312"/>
          <w:color w:val="auto"/>
          <w:sz w:val="28"/>
          <w:szCs w:val="28"/>
          <w:u w:val="none"/>
          <w:lang w:val="en-US" w:eastAsia="zh-CN"/>
        </w:rPr>
      </w:pPr>
      <w:r>
        <w:rPr>
          <w:rFonts w:hint="eastAsia" w:ascii="仿宋_GB2312" w:hAnsi="仿宋_GB2312" w:eastAsia="仿宋_GB2312" w:cs="仿宋_GB2312"/>
          <w:color w:val="auto"/>
          <w:sz w:val="28"/>
          <w:szCs w:val="28"/>
          <w:u w:val="none"/>
          <w:lang w:val="en-US" w:eastAsia="zh-CN"/>
        </w:rPr>
        <w:t>5.4乙方应在甲方付款前，向甲方提供以乙方自己名义开具的价税合计金额与支付价款等额的增值税普通发票；如乙方未及时提供发票，甲方有权顺延付款，由此产生的责任均由乙方自行承担。</w:t>
      </w:r>
    </w:p>
    <w:p w14:paraId="0F8188F8">
      <w:pPr>
        <w:keepNext w:val="0"/>
        <w:keepLines w:val="0"/>
        <w:pageBreakBefore w:val="0"/>
        <w:widowControl w:val="0"/>
        <w:kinsoku/>
        <w:wordWrap w:val="0"/>
        <w:overflowPunct/>
        <w:topLinePunct/>
        <w:autoSpaceDE/>
        <w:autoSpaceDN/>
        <w:bidi w:val="0"/>
        <w:adjustRightInd/>
        <w:snapToGrid/>
        <w:spacing w:line="460" w:lineRule="exact"/>
        <w:ind w:firstLine="562" w:firstLineChars="200"/>
        <w:jc w:val="both"/>
        <w:textAlignment w:val="auto"/>
        <w:rPr>
          <w:rFonts w:hint="eastAsia" w:ascii="仿宋_GB2312" w:hAnsi="仿宋_GB2312" w:eastAsia="仿宋_GB2312" w:cs="仿宋_GB2312"/>
          <w:b/>
          <w:bCs w:val="0"/>
          <w:color w:val="auto"/>
          <w:sz w:val="28"/>
          <w:szCs w:val="28"/>
          <w:lang w:val="en-US" w:eastAsia="zh-CN"/>
        </w:rPr>
      </w:pPr>
      <w:r>
        <w:rPr>
          <w:rFonts w:hint="eastAsia" w:ascii="仿宋_GB2312" w:hAnsi="仿宋_GB2312" w:eastAsia="仿宋_GB2312" w:cs="仿宋_GB2312"/>
          <w:b/>
          <w:bCs w:val="0"/>
          <w:color w:val="auto"/>
          <w:sz w:val="28"/>
          <w:szCs w:val="28"/>
          <w:lang w:val="en-US" w:eastAsia="zh-CN"/>
        </w:rPr>
        <w:t>第六条 风险承担</w:t>
      </w:r>
    </w:p>
    <w:p w14:paraId="09FD9E9B">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6.1 乙方在履行本合同过程中发生事故，给甲方、乙方或第三方人身、财产造成的所有损失，均由乙方负责处理和承担全部法律责任、经济赔偿。</w:t>
      </w:r>
    </w:p>
    <w:p w14:paraId="28F47C20">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6.2 如甲方因乙方服务原因涉及纠纷、诉讼或被处以行政处罚，由乙方承担甲方因纠纷、诉讼、罚款等造成的全部经济损失。</w:t>
      </w:r>
    </w:p>
    <w:p w14:paraId="5F70C995">
      <w:pPr>
        <w:keepNext w:val="0"/>
        <w:keepLines w:val="0"/>
        <w:pageBreakBefore w:val="0"/>
        <w:widowControl w:val="0"/>
        <w:kinsoku/>
        <w:wordWrap w:val="0"/>
        <w:overflowPunct/>
        <w:topLinePunct/>
        <w:autoSpaceDE/>
        <w:autoSpaceDN/>
        <w:bidi w:val="0"/>
        <w:adjustRightInd/>
        <w:snapToGrid/>
        <w:spacing w:line="460" w:lineRule="exact"/>
        <w:ind w:firstLine="562" w:firstLineChars="200"/>
        <w:jc w:val="both"/>
        <w:textAlignment w:val="auto"/>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sz w:val="28"/>
          <w:szCs w:val="28"/>
          <w:lang w:val="en-US" w:eastAsia="zh-CN"/>
        </w:rPr>
        <w:t>第七条 廉洁条款</w:t>
      </w:r>
    </w:p>
    <w:p w14:paraId="317F78C8">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7.1 乙方应严格遵守国家相关法律法规，涉及合同的有关业务活动必须坚持公开、公平、公正、诚信原则，不得为获取不正当利益，损害国家、集体和甲方利益。</w:t>
      </w:r>
    </w:p>
    <w:p w14:paraId="1D79B65F">
      <w:pPr>
        <w:keepNext w:val="0"/>
        <w:keepLines w:val="0"/>
        <w:pageBreakBefore w:val="0"/>
        <w:widowControl w:val="0"/>
        <w:kinsoku/>
        <w:wordWrap w:val="0"/>
        <w:overflowPunct/>
        <w:topLinePunct/>
        <w:autoSpaceDE/>
        <w:autoSpaceDN/>
        <w:bidi w:val="0"/>
        <w:adjustRightInd/>
        <w:snapToGrid/>
        <w:spacing w:line="460" w:lineRule="exact"/>
        <w:ind w:firstLine="562" w:firstLineChars="200"/>
        <w:jc w:val="both"/>
        <w:textAlignment w:val="auto"/>
        <w:rPr>
          <w:rFonts w:hint="eastAsia" w:ascii="仿宋_GB2312" w:hAnsi="仿宋_GB2312" w:eastAsia="仿宋_GB2312" w:cs="仿宋_GB2312"/>
          <w:b/>
          <w:bCs/>
          <w:color w:val="auto"/>
          <w:sz w:val="28"/>
          <w:szCs w:val="28"/>
          <w:u w:val="single"/>
          <w:lang w:val="en-US" w:eastAsia="zh-CN"/>
        </w:rPr>
      </w:pPr>
      <w:r>
        <w:rPr>
          <w:rFonts w:hint="eastAsia" w:ascii="仿宋_GB2312" w:hAnsi="仿宋_GB2312" w:eastAsia="仿宋_GB2312" w:cs="仿宋_GB2312"/>
          <w:b/>
          <w:bCs/>
          <w:color w:val="auto"/>
          <w:sz w:val="28"/>
          <w:szCs w:val="28"/>
          <w:u w:val="single"/>
          <w:lang w:val="en-US" w:eastAsia="zh-CN"/>
        </w:rPr>
        <w:t>7.2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10DDA8D1">
      <w:pPr>
        <w:keepNext w:val="0"/>
        <w:keepLines w:val="0"/>
        <w:pageBreakBefore w:val="0"/>
        <w:widowControl w:val="0"/>
        <w:kinsoku/>
        <w:wordWrap w:val="0"/>
        <w:overflowPunct/>
        <w:topLinePunct/>
        <w:autoSpaceDE/>
        <w:autoSpaceDN/>
        <w:bidi w:val="0"/>
        <w:adjustRightInd/>
        <w:snapToGrid/>
        <w:spacing w:line="460" w:lineRule="exact"/>
        <w:ind w:firstLine="562" w:firstLineChars="200"/>
        <w:jc w:val="both"/>
        <w:textAlignment w:val="auto"/>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sz w:val="28"/>
          <w:szCs w:val="28"/>
          <w:lang w:val="en-US" w:eastAsia="zh-CN"/>
        </w:rPr>
        <w:t>第八条 保密条款</w:t>
      </w:r>
    </w:p>
    <w:p w14:paraId="3F75E87D">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8.1 本合同订立、履行、变更等产生的研究、商讨、交流等信息，履行本合同获悉的甲方商业秘密、运营信息、工作人员信息、患陪个人信息等，均属保密信息。</w:t>
      </w:r>
    </w:p>
    <w:p w14:paraId="7D571AFA">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8.2 乙方应对保密信息采取有效手段严格保密，不得用于非本合同之目的或向第三方泄露。如政府部门、法院或其他有权部门要求乙方提供保密信息，乙方应当立即向甲方通报。</w:t>
      </w:r>
    </w:p>
    <w:p w14:paraId="32592B03">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8.3 因乙方未履行本合同保密义务造成甲方或第三方损失的，由乙方承担全部赔偿责任。</w:t>
      </w:r>
    </w:p>
    <w:p w14:paraId="6337ABC6">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8.4 本合同保密条款在合同被认定无效、被撤销或终止、解除后仍然有效。</w:t>
      </w:r>
    </w:p>
    <w:p w14:paraId="061F519D">
      <w:pPr>
        <w:keepNext w:val="0"/>
        <w:keepLines w:val="0"/>
        <w:pageBreakBefore w:val="0"/>
        <w:widowControl w:val="0"/>
        <w:kinsoku/>
        <w:wordWrap w:val="0"/>
        <w:overflowPunct/>
        <w:topLinePunct/>
        <w:autoSpaceDE/>
        <w:autoSpaceDN/>
        <w:bidi w:val="0"/>
        <w:adjustRightInd/>
        <w:snapToGrid/>
        <w:spacing w:line="460" w:lineRule="exact"/>
        <w:ind w:firstLine="562" w:firstLineChars="200"/>
        <w:jc w:val="both"/>
        <w:textAlignment w:val="auto"/>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sz w:val="28"/>
          <w:szCs w:val="28"/>
          <w:lang w:val="en-US" w:eastAsia="zh-CN"/>
        </w:rPr>
        <w:t>第九条 通知与送达</w:t>
      </w:r>
    </w:p>
    <w:p w14:paraId="15040C38">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9.1 甲乙双方同意，与本合同有关的任何文书，应以书面形式按本合同约定的联系方式送达。书面形式包括手机短信、微信、书面函件、电子邮件等形式。</w:t>
      </w:r>
    </w:p>
    <w:p w14:paraId="14486DE8">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9.2 双方确认的文书（包括未来可能发生的诉讼或仲裁活动中法院或仲裁机构的送达法律文书）送达地址：</w:t>
      </w:r>
    </w:p>
    <w:p w14:paraId="47AC20F8">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9.2.1 甲方的文书送达地址：</w:t>
      </w:r>
      <w:r>
        <w:rPr>
          <w:rFonts w:hint="eastAsia" w:ascii="仿宋_GB2312" w:hAnsi="仿宋_GB2312" w:eastAsia="仿宋_GB2312" w:cs="仿宋_GB2312"/>
          <w:color w:val="auto"/>
          <w:sz w:val="28"/>
          <w:szCs w:val="28"/>
          <w:u w:val="single"/>
          <w:lang w:val="en-US" w:eastAsia="zh-CN"/>
        </w:rPr>
        <w:t>娄底市中心医院宣传科</w:t>
      </w:r>
      <w:r>
        <w:rPr>
          <w:rFonts w:hint="eastAsia" w:ascii="仿宋_GB2312" w:hAnsi="仿宋_GB2312" w:eastAsia="仿宋_GB2312" w:cs="仿宋_GB2312"/>
          <w:color w:val="auto"/>
          <w:sz w:val="28"/>
          <w:szCs w:val="28"/>
          <w:lang w:val="en-US" w:eastAsia="zh-CN"/>
        </w:rPr>
        <w:t>，收件人：</w:t>
      </w:r>
      <w:r>
        <w:rPr>
          <w:rFonts w:hint="eastAsia" w:ascii="仿宋_GB2312" w:hAnsi="仿宋_GB2312" w:eastAsia="仿宋_GB2312" w:cs="仿宋_GB2312"/>
          <w:color w:val="auto"/>
          <w:sz w:val="28"/>
          <w:szCs w:val="28"/>
          <w:u w:val="single"/>
          <w:lang w:val="en-US" w:eastAsia="zh-CN"/>
        </w:rPr>
        <w:t>梅舒</w:t>
      </w:r>
      <w:r>
        <w:rPr>
          <w:rFonts w:hint="eastAsia" w:ascii="仿宋_GB2312" w:hAnsi="仿宋_GB2312" w:eastAsia="仿宋_GB2312" w:cs="仿宋_GB2312"/>
          <w:color w:val="auto"/>
          <w:sz w:val="28"/>
          <w:szCs w:val="28"/>
          <w:lang w:val="en-US" w:eastAsia="zh-CN"/>
        </w:rPr>
        <w:t>，联系电话：</w:t>
      </w:r>
      <w:r>
        <w:rPr>
          <w:rFonts w:hint="eastAsia" w:ascii="仿宋_GB2312" w:hAnsi="仿宋_GB2312" w:eastAsia="仿宋_GB2312" w:cs="仿宋_GB2312"/>
          <w:color w:val="auto"/>
          <w:sz w:val="28"/>
          <w:szCs w:val="28"/>
          <w:u w:val="single"/>
          <w:lang w:val="en-US" w:eastAsia="zh-CN"/>
        </w:rPr>
        <w:t>15717380189</w:t>
      </w:r>
      <w:r>
        <w:rPr>
          <w:rFonts w:hint="eastAsia" w:ascii="仿宋_GB2312" w:hAnsi="仿宋_GB2312" w:eastAsia="仿宋_GB2312" w:cs="仿宋_GB2312"/>
          <w:color w:val="auto"/>
          <w:sz w:val="28"/>
          <w:szCs w:val="28"/>
          <w:lang w:val="en-US" w:eastAsia="zh-CN"/>
        </w:rPr>
        <w:t>，电子邮箱：</w:t>
      </w:r>
      <w:r>
        <w:rPr>
          <w:rFonts w:hint="eastAsia" w:ascii="仿宋_GB2312" w:hAnsi="仿宋_GB2312" w:eastAsia="仿宋_GB2312" w:cs="仿宋_GB2312"/>
          <w:color w:val="auto"/>
          <w:sz w:val="28"/>
          <w:szCs w:val="28"/>
          <w:u w:val="single"/>
          <w:lang w:val="en-US" w:eastAsia="zh-CN"/>
        </w:rPr>
        <w:t>/</w:t>
      </w:r>
      <w:r>
        <w:rPr>
          <w:rFonts w:hint="eastAsia" w:ascii="仿宋_GB2312" w:hAnsi="仿宋_GB2312" w:eastAsia="仿宋_GB2312" w:cs="仿宋_GB2312"/>
          <w:color w:val="auto"/>
          <w:sz w:val="28"/>
          <w:szCs w:val="28"/>
          <w:lang w:val="en-US" w:eastAsia="zh-CN"/>
        </w:rPr>
        <w:t>。</w:t>
      </w:r>
    </w:p>
    <w:p w14:paraId="26407A06">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9.2.2 乙方的文书送达地址：</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val="en-US" w:eastAsia="zh-CN"/>
        </w:rPr>
        <w:t>，收件人：</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val="en-US" w:eastAsia="zh-CN"/>
        </w:rPr>
        <w:t>，联系电话：</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val="en-US" w:eastAsia="zh-CN"/>
        </w:rPr>
        <w:t>，电子邮箱：</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val="en-US" w:eastAsia="zh-CN"/>
        </w:rPr>
        <w:t>。</w:t>
      </w:r>
    </w:p>
    <w:p w14:paraId="30D23E97">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9.3 上述通知应被视为在下列时间送达：以快递或专人发送的，在收件人签收之日或拒收之日；以挂号邮件发出的，在发出之日起7个工作日；以电子邮件发出的，在电子邮件进入收件方电子邮箱服务器之日。</w:t>
      </w:r>
    </w:p>
    <w:p w14:paraId="62CA6E88">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9.4 以上地址和联系方式，任意一方发生变更应在变更之日起3日内通知对方。如未通知，一方按原地址送达的书面资料被退回的，退回之日视为送达之日。任意一方按照确认地址送到另一方的书面资料被拒绝签收导致邮件被退回的，退回之日视为送达之日。</w:t>
      </w:r>
    </w:p>
    <w:p w14:paraId="3914DD20">
      <w:pPr>
        <w:keepNext w:val="0"/>
        <w:keepLines w:val="0"/>
        <w:pageBreakBefore w:val="0"/>
        <w:widowControl w:val="0"/>
        <w:kinsoku/>
        <w:wordWrap w:val="0"/>
        <w:overflowPunct/>
        <w:topLinePunct/>
        <w:autoSpaceDE/>
        <w:autoSpaceDN/>
        <w:bidi w:val="0"/>
        <w:adjustRightInd/>
        <w:snapToGrid/>
        <w:spacing w:line="460" w:lineRule="exact"/>
        <w:ind w:firstLine="562" w:firstLineChars="200"/>
        <w:jc w:val="both"/>
        <w:textAlignment w:val="auto"/>
        <w:rPr>
          <w:rFonts w:hint="default"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sz w:val="28"/>
          <w:szCs w:val="28"/>
          <w:lang w:val="en-US" w:eastAsia="zh-CN"/>
        </w:rPr>
        <w:t>第十条 合同的变更、解除</w:t>
      </w:r>
    </w:p>
    <w:p w14:paraId="23B9CB7E">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10.1 本合同经双方协商一致后可以变更，双方应另行签订补充协议。</w:t>
      </w:r>
    </w:p>
    <w:p w14:paraId="3CEA1452">
      <w:pPr>
        <w:keepNext w:val="0"/>
        <w:keepLines w:val="0"/>
        <w:pageBreakBefore w:val="0"/>
        <w:widowControl w:val="0"/>
        <w:kinsoku/>
        <w:wordWrap w:val="0"/>
        <w:overflowPunct/>
        <w:topLinePunct/>
        <w:autoSpaceDE/>
        <w:autoSpaceDN/>
        <w:bidi w:val="0"/>
        <w:adjustRightInd/>
        <w:snapToGrid/>
        <w:spacing w:line="460" w:lineRule="exact"/>
        <w:ind w:firstLine="562"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b/>
          <w:bCs/>
          <w:color w:val="auto"/>
          <w:sz w:val="28"/>
          <w:szCs w:val="28"/>
          <w:u w:val="single"/>
          <w:lang w:val="en-US" w:eastAsia="zh-CN"/>
        </w:rPr>
        <w:t>10.2 如甲方因运营等原因需要中止全部服务，经书面通知乙方后可以提前终止本合同。</w:t>
      </w:r>
    </w:p>
    <w:p w14:paraId="655DDB76">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10.3 乙方出现以下违约情形之一的，甲方有权拒绝支付任何价款并解除合同：</w:t>
      </w:r>
    </w:p>
    <w:p w14:paraId="491DCBE6">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10.3.1 超过本合同约定期限7日以上未通过甲方验收的；</w:t>
      </w:r>
    </w:p>
    <w:p w14:paraId="788D00DE">
      <w:pPr>
        <w:pStyle w:val="13"/>
        <w:keepNext w:val="0"/>
        <w:keepLines w:val="0"/>
        <w:pageBreakBefore w:val="0"/>
        <w:widowControl w:val="0"/>
        <w:kinsoku/>
        <w:wordWrap w:val="0"/>
        <w:overflowPunct/>
        <w:topLinePunct/>
        <w:autoSpaceDE/>
        <w:autoSpaceDN/>
        <w:bidi w:val="0"/>
        <w:adjustRightInd/>
        <w:snapToGrid/>
        <w:spacing w:after="0" w:line="460" w:lineRule="exact"/>
        <w:ind w:firstLine="560" w:firstLineChars="200"/>
        <w:textAlignment w:val="auto"/>
        <w:rPr>
          <w:rFonts w:hint="default"/>
          <w:color w:val="auto"/>
          <w:lang w:val="en-US" w:eastAsia="zh-CN"/>
        </w:rPr>
      </w:pPr>
      <w:r>
        <w:rPr>
          <w:rFonts w:hint="eastAsia" w:ascii="仿宋_GB2312" w:hAnsi="仿宋_GB2312" w:eastAsia="仿宋_GB2312" w:cs="仿宋_GB2312"/>
          <w:color w:val="auto"/>
          <w:sz w:val="28"/>
          <w:szCs w:val="28"/>
          <w:lang w:val="en-US" w:eastAsia="zh-CN"/>
        </w:rPr>
        <w:t>10.3.2 自接到甲方通知后超过72小时仍未修复故障的次数达到5次的；</w:t>
      </w:r>
    </w:p>
    <w:p w14:paraId="1D556530">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10.3.3 将本合同权利义务全部转让给第三方的或擅自将部分权利义务转让给第三方的。</w:t>
      </w:r>
    </w:p>
    <w:p w14:paraId="47BF8540">
      <w:pPr>
        <w:pStyle w:val="13"/>
        <w:keepNext w:val="0"/>
        <w:keepLines w:val="0"/>
        <w:pageBreakBefore w:val="0"/>
        <w:widowControl w:val="0"/>
        <w:kinsoku/>
        <w:wordWrap w:val="0"/>
        <w:overflowPunct/>
        <w:topLinePunct/>
        <w:autoSpaceDE/>
        <w:autoSpaceDN/>
        <w:bidi w:val="0"/>
        <w:adjustRightInd/>
        <w:snapToGrid/>
        <w:spacing w:after="0" w:line="460" w:lineRule="exact"/>
        <w:ind w:left="0" w:firstLine="562" w:firstLineChars="200"/>
        <w:textAlignment w:val="auto"/>
        <w:rPr>
          <w:rFonts w:hint="eastAsia" w:ascii="仿宋_GB2312" w:hAnsi="仿宋_GB2312" w:eastAsia="仿宋_GB2312" w:cs="仿宋_GB2312"/>
          <w:b/>
          <w:bCs/>
          <w:color w:val="auto"/>
          <w:kern w:val="2"/>
          <w:sz w:val="28"/>
          <w:szCs w:val="28"/>
          <w:lang w:val="en-US" w:eastAsia="zh-CN" w:bidi="ar-SA"/>
        </w:rPr>
      </w:pPr>
      <w:r>
        <w:rPr>
          <w:rFonts w:hint="eastAsia" w:ascii="仿宋_GB2312" w:hAnsi="仿宋_GB2312" w:eastAsia="仿宋_GB2312" w:cs="仿宋_GB2312"/>
          <w:b/>
          <w:bCs/>
          <w:color w:val="auto"/>
          <w:kern w:val="2"/>
          <w:sz w:val="28"/>
          <w:szCs w:val="28"/>
          <w:lang w:val="en-US" w:eastAsia="zh-CN" w:bidi="ar-SA"/>
        </w:rPr>
        <w:t>第十一条 违约责任</w:t>
      </w:r>
    </w:p>
    <w:p w14:paraId="32D6C872">
      <w:pPr>
        <w:pStyle w:val="13"/>
        <w:keepNext w:val="0"/>
        <w:keepLines w:val="0"/>
        <w:pageBreakBefore w:val="0"/>
        <w:widowControl w:val="0"/>
        <w:kinsoku/>
        <w:wordWrap w:val="0"/>
        <w:overflowPunct/>
        <w:topLinePunct/>
        <w:autoSpaceDE/>
        <w:autoSpaceDN/>
        <w:bidi w:val="0"/>
        <w:adjustRightInd/>
        <w:snapToGrid/>
        <w:spacing w:after="0" w:line="460" w:lineRule="exact"/>
        <w:ind w:left="0" w:firstLine="560" w:firstLineChars="200"/>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11.1甲方因10.2情形提前终止本合同无须承担违约责任，乙方不得因此要求甲方予以任何经济赔偿或补偿。</w:t>
      </w:r>
    </w:p>
    <w:p w14:paraId="54248DCB">
      <w:pPr>
        <w:pStyle w:val="13"/>
        <w:keepNext w:val="0"/>
        <w:keepLines w:val="0"/>
        <w:pageBreakBefore w:val="0"/>
        <w:widowControl w:val="0"/>
        <w:kinsoku/>
        <w:wordWrap w:val="0"/>
        <w:overflowPunct/>
        <w:topLinePunct/>
        <w:autoSpaceDE/>
        <w:autoSpaceDN/>
        <w:bidi w:val="0"/>
        <w:adjustRightInd/>
        <w:snapToGrid/>
        <w:spacing w:after="0" w:line="460" w:lineRule="exact"/>
        <w:ind w:left="0" w:firstLine="560" w:firstLineChars="200"/>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11.2 如乙方未在约定时间内开通数字频道服务或完成维修、确保数字电视频道畅通运行，乙方除承担甲方由此造成的全部经济损失外，每逾期一日，还须按人民币100元/点位的标准向甲方支付违约金。</w:t>
      </w:r>
    </w:p>
    <w:p w14:paraId="3CD10543">
      <w:pPr>
        <w:pStyle w:val="13"/>
        <w:keepNext w:val="0"/>
        <w:keepLines w:val="0"/>
        <w:pageBreakBefore w:val="0"/>
        <w:widowControl w:val="0"/>
        <w:kinsoku/>
        <w:wordWrap w:val="0"/>
        <w:overflowPunct/>
        <w:topLinePunct/>
        <w:autoSpaceDE/>
        <w:autoSpaceDN/>
        <w:bidi w:val="0"/>
        <w:adjustRightInd/>
        <w:snapToGrid/>
        <w:spacing w:after="0" w:line="460" w:lineRule="exact"/>
        <w:ind w:left="0" w:firstLine="560" w:firstLineChars="200"/>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11.3 如乙方单方解除合同或甲方因10.3情形解除合同，乙方应赔偿给甲方造成的全部经济损失，并按本合同总价款15%标准向甲方支付违约金。</w:t>
      </w:r>
    </w:p>
    <w:p w14:paraId="7AC4024B">
      <w:pPr>
        <w:pStyle w:val="13"/>
        <w:keepNext w:val="0"/>
        <w:keepLines w:val="0"/>
        <w:pageBreakBefore w:val="0"/>
        <w:widowControl w:val="0"/>
        <w:kinsoku/>
        <w:wordWrap w:val="0"/>
        <w:overflowPunct/>
        <w:topLinePunct/>
        <w:autoSpaceDE/>
        <w:autoSpaceDN/>
        <w:bidi w:val="0"/>
        <w:adjustRightInd/>
        <w:snapToGrid/>
        <w:spacing w:after="0" w:line="460" w:lineRule="exact"/>
        <w:ind w:left="0" w:firstLine="562" w:firstLineChars="200"/>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b/>
          <w:bCs/>
          <w:color w:val="auto"/>
          <w:kern w:val="2"/>
          <w:sz w:val="28"/>
          <w:szCs w:val="28"/>
          <w:u w:val="single"/>
          <w:lang w:val="en-US" w:eastAsia="zh-CN" w:bidi="ar-SA"/>
        </w:rPr>
        <w:t>11.4 无论甲方在任意时候（不限于本合同履行期间）发现存在违反本合同廉洁条款的行为，乙方均须向甲方一次性支付惩罚性违约金人民币15000元。如乙方除需承担违反廉洁条款的违约责任外，同时存在其他违约行为，乙方仍须就其他违约行为承担相应违约责任。</w:t>
      </w:r>
    </w:p>
    <w:p w14:paraId="5649C05E">
      <w:pPr>
        <w:pStyle w:val="13"/>
        <w:keepNext w:val="0"/>
        <w:keepLines w:val="0"/>
        <w:pageBreakBefore w:val="0"/>
        <w:widowControl w:val="0"/>
        <w:kinsoku/>
        <w:wordWrap w:val="0"/>
        <w:overflowPunct/>
        <w:topLinePunct/>
        <w:autoSpaceDE/>
        <w:autoSpaceDN/>
        <w:bidi w:val="0"/>
        <w:adjustRightInd/>
        <w:snapToGrid/>
        <w:spacing w:after="0" w:line="460" w:lineRule="exact"/>
        <w:ind w:left="0" w:firstLine="560" w:firstLineChars="200"/>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 xml:space="preserve">11.5 因不可抗力影响导致逾期履行的，不承担违约责任，不可抗力因素消除后，应当继续履行。 </w:t>
      </w:r>
    </w:p>
    <w:p w14:paraId="6095C261">
      <w:pPr>
        <w:pStyle w:val="13"/>
        <w:keepNext w:val="0"/>
        <w:keepLines w:val="0"/>
        <w:pageBreakBefore w:val="0"/>
        <w:widowControl w:val="0"/>
        <w:kinsoku/>
        <w:wordWrap w:val="0"/>
        <w:overflowPunct/>
        <w:topLinePunct/>
        <w:autoSpaceDE/>
        <w:autoSpaceDN/>
        <w:bidi w:val="0"/>
        <w:adjustRightInd/>
        <w:snapToGrid/>
        <w:spacing w:after="0" w:line="460" w:lineRule="exact"/>
        <w:ind w:left="0" w:firstLine="560" w:firstLineChars="200"/>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11.6 本条违约责任所指全部经济损失，包括但不限于实际经济损失、因纠纷产生的律师费、诉讼费、差旅费等。</w:t>
      </w:r>
    </w:p>
    <w:p w14:paraId="5EB21179">
      <w:pPr>
        <w:pStyle w:val="13"/>
        <w:keepNext w:val="0"/>
        <w:keepLines w:val="0"/>
        <w:pageBreakBefore w:val="0"/>
        <w:widowControl w:val="0"/>
        <w:kinsoku/>
        <w:wordWrap w:val="0"/>
        <w:overflowPunct/>
        <w:topLinePunct/>
        <w:autoSpaceDE/>
        <w:autoSpaceDN/>
        <w:bidi w:val="0"/>
        <w:adjustRightInd/>
        <w:snapToGrid/>
        <w:spacing w:after="0" w:line="460" w:lineRule="exact"/>
        <w:ind w:left="0" w:firstLine="560" w:firstLineChars="200"/>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11.7 依据本合同约定乙方应支付给甲方的违约金，甲方有权在应支付给乙方的任意价款中直接予以扣除，如扣除部分不足，乙方应在接到甲方通知后3日内补足。</w:t>
      </w:r>
    </w:p>
    <w:p w14:paraId="7700E66D">
      <w:pPr>
        <w:pStyle w:val="6"/>
        <w:keepNext w:val="0"/>
        <w:keepLines w:val="0"/>
        <w:pageBreakBefore w:val="0"/>
        <w:widowControl w:val="0"/>
        <w:kinsoku/>
        <w:wordWrap w:val="0"/>
        <w:overflowPunct/>
        <w:topLinePunct/>
        <w:autoSpaceDE/>
        <w:autoSpaceDN/>
        <w:bidi w:val="0"/>
        <w:adjustRightInd/>
        <w:snapToGrid/>
        <w:spacing w:after="0" w:line="460" w:lineRule="exact"/>
        <w:ind w:left="0" w:leftChars="0" w:firstLine="482"/>
        <w:textAlignment w:val="auto"/>
        <w:rPr>
          <w:rFonts w:hint="eastAsia" w:ascii="仿宋_GB2312" w:hAnsi="仿宋_GB2312" w:eastAsia="仿宋_GB2312" w:cs="仿宋_GB2312"/>
          <w:b/>
          <w:bCs/>
          <w:color w:val="auto"/>
          <w:kern w:val="2"/>
          <w:sz w:val="28"/>
          <w:szCs w:val="28"/>
          <w:lang w:val="en-US" w:eastAsia="zh-CN" w:bidi="ar-SA"/>
        </w:rPr>
      </w:pPr>
      <w:r>
        <w:rPr>
          <w:rFonts w:hint="eastAsia" w:ascii="仿宋_GB2312" w:hAnsi="仿宋_GB2312" w:eastAsia="仿宋_GB2312" w:cs="仿宋_GB2312"/>
          <w:b/>
          <w:bCs/>
          <w:color w:val="auto"/>
          <w:kern w:val="2"/>
          <w:sz w:val="28"/>
          <w:szCs w:val="28"/>
          <w:lang w:val="en-US" w:eastAsia="zh-CN" w:bidi="ar-SA"/>
        </w:rPr>
        <w:t>第十二条 争议解决</w:t>
      </w:r>
    </w:p>
    <w:p w14:paraId="50E5AC89">
      <w:pPr>
        <w:keepNext w:val="0"/>
        <w:keepLines w:val="0"/>
        <w:pageBreakBefore w:val="0"/>
        <w:widowControl w:val="0"/>
        <w:kinsoku/>
        <w:wordWrap w:val="0"/>
        <w:overflowPunct/>
        <w:topLinePunct/>
        <w:autoSpaceDE/>
        <w:autoSpaceDN/>
        <w:bidi w:val="0"/>
        <w:adjustRightInd/>
        <w:snapToGrid/>
        <w:spacing w:line="460" w:lineRule="exact"/>
        <w:ind w:left="0" w:firstLine="560" w:firstLineChars="200"/>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如双方在履行本合同过程中发生争议，双方应先协商解决，协商解决不成的，任一方均可向甲方所在地有管辖权的人民法院提起诉讼解决。</w:t>
      </w:r>
    </w:p>
    <w:p w14:paraId="1BCD183F">
      <w:pPr>
        <w:pStyle w:val="13"/>
        <w:keepNext w:val="0"/>
        <w:keepLines w:val="0"/>
        <w:pageBreakBefore w:val="0"/>
        <w:widowControl w:val="0"/>
        <w:kinsoku/>
        <w:wordWrap w:val="0"/>
        <w:overflowPunct/>
        <w:topLinePunct/>
        <w:autoSpaceDE/>
        <w:autoSpaceDN/>
        <w:bidi w:val="0"/>
        <w:adjustRightInd/>
        <w:snapToGrid/>
        <w:spacing w:after="0" w:line="460" w:lineRule="exact"/>
        <w:ind w:left="0" w:firstLine="562" w:firstLineChars="200"/>
        <w:textAlignment w:val="auto"/>
        <w:rPr>
          <w:rFonts w:hint="eastAsia" w:ascii="仿宋_GB2312" w:hAnsi="仿宋_GB2312" w:eastAsia="仿宋_GB2312" w:cs="仿宋_GB2312"/>
          <w:b/>
          <w:bCs/>
          <w:color w:val="auto"/>
          <w:kern w:val="2"/>
          <w:sz w:val="28"/>
          <w:szCs w:val="28"/>
          <w:lang w:val="en-US" w:eastAsia="zh-CN" w:bidi="ar-SA"/>
        </w:rPr>
      </w:pPr>
      <w:r>
        <w:rPr>
          <w:rFonts w:hint="eastAsia" w:ascii="仿宋_GB2312" w:hAnsi="仿宋_GB2312" w:eastAsia="仿宋_GB2312" w:cs="仿宋_GB2312"/>
          <w:b/>
          <w:bCs/>
          <w:color w:val="auto"/>
          <w:kern w:val="2"/>
          <w:sz w:val="28"/>
          <w:szCs w:val="28"/>
          <w:lang w:val="en-US" w:eastAsia="zh-CN" w:bidi="ar-SA"/>
        </w:rPr>
        <w:t>第十三条 附则</w:t>
      </w:r>
    </w:p>
    <w:p w14:paraId="7DB4D9B4">
      <w:pPr>
        <w:pStyle w:val="13"/>
        <w:keepNext w:val="0"/>
        <w:keepLines w:val="0"/>
        <w:pageBreakBefore w:val="0"/>
        <w:widowControl w:val="0"/>
        <w:kinsoku/>
        <w:wordWrap w:val="0"/>
        <w:overflowPunct/>
        <w:topLinePunct/>
        <w:autoSpaceDE/>
        <w:autoSpaceDN/>
        <w:bidi w:val="0"/>
        <w:adjustRightInd/>
        <w:snapToGrid/>
        <w:spacing w:after="0" w:line="460" w:lineRule="exact"/>
        <w:ind w:left="0" w:firstLine="560" w:firstLineChars="200"/>
        <w:textAlignment w:val="auto"/>
        <w:rPr>
          <w:rFonts w:hint="default"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13.1 本合同组成文件和优先解释顺序：乙方在履行本合同中作出的书面承诺；本合同补充协议；本合同及附件；中标通知书/成交通知书/议价结果公示/成交公告；投标文件/响应文件；招标文件/采购文件/采购需求；其他与本合同有关的资料。</w:t>
      </w:r>
    </w:p>
    <w:p w14:paraId="76028BDB">
      <w:pPr>
        <w:pStyle w:val="13"/>
        <w:keepNext w:val="0"/>
        <w:keepLines w:val="0"/>
        <w:pageBreakBefore w:val="0"/>
        <w:widowControl w:val="0"/>
        <w:kinsoku/>
        <w:wordWrap w:val="0"/>
        <w:overflowPunct/>
        <w:topLinePunct/>
        <w:autoSpaceDE/>
        <w:autoSpaceDN/>
        <w:bidi w:val="0"/>
        <w:adjustRightInd/>
        <w:snapToGrid/>
        <w:spacing w:after="0" w:line="460" w:lineRule="exact"/>
        <w:ind w:left="0" w:firstLine="560" w:firstLineChars="200"/>
        <w:textAlignment w:val="auto"/>
        <w:rPr>
          <w:rFonts w:hint="default"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 xml:space="preserve">13.2 </w:t>
      </w:r>
      <w:r>
        <w:rPr>
          <w:rFonts w:hint="default" w:ascii="仿宋_GB2312" w:hAnsi="仿宋_GB2312" w:eastAsia="仿宋_GB2312" w:cs="仿宋_GB2312"/>
          <w:color w:val="auto"/>
          <w:kern w:val="2"/>
          <w:sz w:val="28"/>
          <w:szCs w:val="28"/>
          <w:lang w:val="en-US" w:eastAsia="zh-CN" w:bidi="ar-SA"/>
        </w:rPr>
        <w:t>本合同一式伍份，甲方</w:t>
      </w:r>
      <w:r>
        <w:rPr>
          <w:rFonts w:hint="eastAsia" w:ascii="仿宋_GB2312" w:hAnsi="仿宋_GB2312" w:eastAsia="仿宋_GB2312" w:cs="仿宋_GB2312"/>
          <w:color w:val="auto"/>
          <w:kern w:val="2"/>
          <w:sz w:val="28"/>
          <w:szCs w:val="28"/>
          <w:lang w:val="en-US" w:eastAsia="zh-CN" w:bidi="ar-SA"/>
        </w:rPr>
        <w:t>执</w:t>
      </w:r>
      <w:r>
        <w:rPr>
          <w:rFonts w:hint="default" w:ascii="仿宋_GB2312" w:hAnsi="仿宋_GB2312" w:eastAsia="仿宋_GB2312" w:cs="仿宋_GB2312"/>
          <w:color w:val="auto"/>
          <w:kern w:val="2"/>
          <w:sz w:val="28"/>
          <w:szCs w:val="28"/>
          <w:lang w:val="en-US" w:eastAsia="zh-CN" w:bidi="ar-SA"/>
        </w:rPr>
        <w:t>叁份，乙方</w:t>
      </w:r>
      <w:r>
        <w:rPr>
          <w:rFonts w:hint="eastAsia" w:ascii="仿宋_GB2312" w:hAnsi="仿宋_GB2312" w:eastAsia="仿宋_GB2312" w:cs="仿宋_GB2312"/>
          <w:color w:val="auto"/>
          <w:kern w:val="2"/>
          <w:sz w:val="28"/>
          <w:szCs w:val="28"/>
          <w:lang w:val="en-US" w:eastAsia="zh-CN" w:bidi="ar-SA"/>
        </w:rPr>
        <w:t>执</w:t>
      </w:r>
      <w:r>
        <w:rPr>
          <w:rFonts w:hint="default" w:ascii="仿宋_GB2312" w:hAnsi="仿宋_GB2312" w:eastAsia="仿宋_GB2312" w:cs="仿宋_GB2312"/>
          <w:color w:val="auto"/>
          <w:kern w:val="2"/>
          <w:sz w:val="28"/>
          <w:szCs w:val="28"/>
          <w:lang w:val="en-US" w:eastAsia="zh-CN" w:bidi="ar-SA"/>
        </w:rPr>
        <w:t>贰份，自双方签字</w:t>
      </w:r>
      <w:r>
        <w:rPr>
          <w:rFonts w:hint="eastAsia" w:ascii="仿宋_GB2312" w:hAnsi="仿宋_GB2312" w:eastAsia="仿宋_GB2312" w:cs="仿宋_GB2312"/>
          <w:color w:val="auto"/>
          <w:kern w:val="2"/>
          <w:sz w:val="28"/>
          <w:szCs w:val="28"/>
          <w:lang w:val="en-US" w:eastAsia="zh-CN" w:bidi="ar-SA"/>
        </w:rPr>
        <w:t>并</w:t>
      </w:r>
      <w:r>
        <w:rPr>
          <w:rFonts w:hint="default" w:ascii="仿宋_GB2312" w:hAnsi="仿宋_GB2312" w:eastAsia="仿宋_GB2312" w:cs="仿宋_GB2312"/>
          <w:color w:val="auto"/>
          <w:kern w:val="2"/>
          <w:sz w:val="28"/>
          <w:szCs w:val="28"/>
          <w:lang w:val="en-US" w:eastAsia="zh-CN" w:bidi="ar-SA"/>
        </w:rPr>
        <w:t>盖章之日起生效。</w:t>
      </w:r>
    </w:p>
    <w:p w14:paraId="6EAA03FA">
      <w:pPr>
        <w:keepNext w:val="0"/>
        <w:keepLines w:val="0"/>
        <w:pageBreakBefore w:val="0"/>
        <w:widowControl w:val="0"/>
        <w:kinsoku/>
        <w:wordWrap/>
        <w:overflowPunct/>
        <w:topLinePunct w:val="0"/>
        <w:autoSpaceDE/>
        <w:autoSpaceDN/>
        <w:bidi w:val="0"/>
        <w:adjustRightInd/>
        <w:snapToGrid/>
        <w:spacing w:line="320" w:lineRule="exact"/>
        <w:ind w:left="0" w:hanging="7000" w:hangingChars="2500"/>
        <w:jc w:val="both"/>
        <w:textAlignment w:val="auto"/>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p>
    <w:p w14:paraId="5FAD7FEB">
      <w:pPr>
        <w:keepNext w:val="0"/>
        <w:keepLines w:val="0"/>
        <w:pageBreakBefore w:val="0"/>
        <w:widowControl w:val="0"/>
        <w:kinsoku/>
        <w:wordWrap/>
        <w:overflowPunct/>
        <w:topLinePunct w:val="0"/>
        <w:autoSpaceDE/>
        <w:autoSpaceDN/>
        <w:bidi w:val="0"/>
        <w:adjustRightInd/>
        <w:snapToGrid/>
        <w:spacing w:line="320" w:lineRule="exact"/>
        <w:ind w:left="0" w:hanging="7000" w:hangingChars="2500"/>
        <w:jc w:val="both"/>
        <w:textAlignment w:val="auto"/>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甲方（盖章）：娄底市中心医院          乙方（盖章）：</w:t>
      </w:r>
    </w:p>
    <w:p w14:paraId="2AAF04BA">
      <w:pPr>
        <w:keepNext w:val="0"/>
        <w:keepLines w:val="0"/>
        <w:pageBreakBefore w:val="0"/>
        <w:widowControl w:val="0"/>
        <w:kinsoku/>
        <w:wordWrap/>
        <w:overflowPunct/>
        <w:topLinePunct w:val="0"/>
        <w:autoSpaceDE/>
        <w:autoSpaceDN/>
        <w:bidi w:val="0"/>
        <w:adjustRightInd/>
        <w:snapToGrid/>
        <w:spacing w:line="320" w:lineRule="exact"/>
        <w:ind w:left="0" w:firstLine="0" w:firstLineChars="0"/>
        <w:jc w:val="both"/>
        <w:textAlignment w:val="auto"/>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p>
    <w:p w14:paraId="106C1FD6">
      <w:pPr>
        <w:keepNext w:val="0"/>
        <w:keepLines w:val="0"/>
        <w:pageBreakBefore w:val="0"/>
        <w:widowControl w:val="0"/>
        <w:kinsoku/>
        <w:wordWrap/>
        <w:overflowPunct/>
        <w:topLinePunct w:val="0"/>
        <w:autoSpaceDE/>
        <w:autoSpaceDN/>
        <w:bidi w:val="0"/>
        <w:adjustRightInd/>
        <w:snapToGrid/>
        <w:spacing w:line="320" w:lineRule="exact"/>
        <w:ind w:left="0" w:firstLine="0" w:firstLineChars="0"/>
        <w:jc w:val="both"/>
        <w:textAlignment w:val="auto"/>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法定代表人（签字）：                  法定代表人（签字）：</w:t>
      </w:r>
    </w:p>
    <w:p w14:paraId="5042B356">
      <w:pPr>
        <w:keepNext w:val="0"/>
        <w:keepLines w:val="0"/>
        <w:pageBreakBefore w:val="0"/>
        <w:widowControl w:val="0"/>
        <w:kinsoku/>
        <w:wordWrap/>
        <w:overflowPunct/>
        <w:topLinePunct w:val="0"/>
        <w:autoSpaceDE/>
        <w:autoSpaceDN/>
        <w:bidi w:val="0"/>
        <w:adjustRightInd/>
        <w:snapToGrid/>
        <w:spacing w:line="320" w:lineRule="exact"/>
        <w:ind w:left="0" w:firstLine="0" w:firstLineChars="0"/>
        <w:jc w:val="both"/>
        <w:textAlignment w:val="auto"/>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p>
    <w:p w14:paraId="7E4B7A4D">
      <w:pPr>
        <w:keepNext w:val="0"/>
        <w:keepLines w:val="0"/>
        <w:pageBreakBefore w:val="0"/>
        <w:widowControl w:val="0"/>
        <w:kinsoku/>
        <w:wordWrap/>
        <w:overflowPunct/>
        <w:topLinePunct w:val="0"/>
        <w:autoSpaceDE/>
        <w:autoSpaceDN/>
        <w:bidi w:val="0"/>
        <w:adjustRightInd/>
        <w:snapToGrid/>
        <w:spacing w:line="320" w:lineRule="exact"/>
        <w:ind w:left="0" w:firstLine="0" w:firstLineChars="0"/>
        <w:jc w:val="both"/>
        <w:textAlignment w:val="auto"/>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或委托代理人（签字）：                或委托代理人（签字）： </w:t>
      </w:r>
    </w:p>
    <w:p w14:paraId="57B8080E">
      <w:pPr>
        <w:keepNext w:val="0"/>
        <w:keepLines w:val="0"/>
        <w:pageBreakBefore w:val="0"/>
        <w:widowControl w:val="0"/>
        <w:kinsoku/>
        <w:wordWrap/>
        <w:overflowPunct/>
        <w:topLinePunct w:val="0"/>
        <w:autoSpaceDE/>
        <w:autoSpaceDN/>
        <w:bidi w:val="0"/>
        <w:adjustRightInd/>
        <w:snapToGrid/>
        <w:spacing w:line="320" w:lineRule="exact"/>
        <w:ind w:left="0" w:firstLine="0" w:firstLineChars="0"/>
        <w:jc w:val="both"/>
        <w:textAlignment w:val="auto"/>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p>
    <w:p w14:paraId="3F6B5CD9">
      <w:pPr>
        <w:pStyle w:val="13"/>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000000" w:themeColor="text1"/>
          <w:kern w:val="2"/>
          <w:sz w:val="28"/>
          <w:szCs w:val="28"/>
          <w:lang w:val="en-US" w:eastAsia="zh-CN" w:bidi="ar-SA"/>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合同签订地、履行地：娄底市娄星区     签订时间：    年  月  日</w:t>
      </w:r>
    </w:p>
    <w:p w14:paraId="02C51EAF">
      <w:pPr>
        <w:keepNext w:val="0"/>
        <w:keepLines w:val="0"/>
        <w:pageBreakBefore w:val="0"/>
        <w:widowControl w:val="0"/>
        <w:wordWrap/>
        <w:overflowPunct/>
        <w:topLinePunct w:val="0"/>
        <w:bidi w:val="0"/>
        <w:spacing w:line="300" w:lineRule="exact"/>
        <w:rPr>
          <w:color w:val="000000" w:themeColor="text1"/>
          <w:sz w:val="23"/>
          <w:szCs w:val="23"/>
          <w:highlight w:val="none"/>
          <w14:textFill>
            <w14:solidFill>
              <w14:schemeClr w14:val="tx1"/>
            </w14:solidFill>
          </w14:textFill>
        </w:rPr>
      </w:pPr>
    </w:p>
    <w:p w14:paraId="4AD749F2">
      <w:pPr>
        <w:rPr>
          <w:rFonts w:hint="default" w:eastAsia="宋体"/>
          <w:color w:val="000000" w:themeColor="text1"/>
          <w:sz w:val="23"/>
          <w:szCs w:val="23"/>
          <w:highlight w:val="none"/>
          <w:lang w:val="en-US" w:eastAsia="zh-CN"/>
          <w14:textFill>
            <w14:solidFill>
              <w14:schemeClr w14:val="tx1"/>
            </w14:solidFill>
          </w14:textFill>
        </w:rPr>
      </w:pPr>
      <w:r>
        <w:rPr>
          <w:rFonts w:hint="default" w:eastAsia="宋体"/>
          <w:color w:val="000000" w:themeColor="text1"/>
          <w:sz w:val="23"/>
          <w:szCs w:val="23"/>
          <w:highlight w:val="none"/>
          <w:lang w:val="en-US" w:eastAsia="zh-CN"/>
          <w14:textFill>
            <w14:solidFill>
              <w14:schemeClr w14:val="tx1"/>
            </w14:solidFill>
          </w14:textFill>
        </w:rPr>
        <w:br w:type="page"/>
      </w:r>
    </w:p>
    <w:p w14:paraId="2E838F41">
      <w:pPr>
        <w:pStyle w:val="2"/>
        <w:numPr>
          <w:ilvl w:val="0"/>
          <w:numId w:val="0"/>
        </w:numPr>
        <w:spacing w:line="240" w:lineRule="auto"/>
        <w:ind w:left="2940" w:leftChars="0"/>
        <w:jc w:val="both"/>
        <w:rPr>
          <w:rFonts w:hint="eastAsia" w:ascii="宋体" w:hAnsi="宋体" w:cs="宋体"/>
          <w:color w:val="auto"/>
          <w:sz w:val="30"/>
          <w:szCs w:val="30"/>
        </w:rPr>
      </w:pPr>
      <w:bookmarkStart w:id="1" w:name="_Toc16523574"/>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14:paraId="42075ED1">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0011AD09">
      <w:pPr>
        <w:rPr>
          <w:rFonts w:hint="eastAsia" w:ascii="宋体" w:hAnsi="宋体" w:cs="宋体"/>
          <w:color w:val="auto"/>
        </w:rPr>
      </w:pPr>
    </w:p>
    <w:bookmarkEnd w:id="1"/>
    <w:p w14:paraId="6B60CB95">
      <w:pPr>
        <w:rPr>
          <w:rFonts w:hint="eastAsia"/>
          <w:color w:val="auto"/>
        </w:rPr>
      </w:pPr>
    </w:p>
    <w:p w14:paraId="463F9F65">
      <w:pPr>
        <w:jc w:val="center"/>
        <w:rPr>
          <w:b/>
          <w:color w:val="auto"/>
          <w:sz w:val="24"/>
        </w:rPr>
      </w:pPr>
      <w:r>
        <w:rPr>
          <w:b/>
          <w:color w:val="auto"/>
          <w:sz w:val="28"/>
          <w:szCs w:val="28"/>
        </w:rPr>
        <w:t>第一部分、开标一览表</w:t>
      </w:r>
    </w:p>
    <w:p w14:paraId="40105E6A">
      <w:pPr>
        <w:jc w:val="center"/>
        <w:rPr>
          <w:b/>
          <w:color w:val="auto"/>
          <w:sz w:val="24"/>
        </w:rPr>
      </w:pPr>
    </w:p>
    <w:p w14:paraId="60B35180">
      <w:pPr>
        <w:jc w:val="center"/>
        <w:rPr>
          <w:rFonts w:hint="default" w:eastAsia="宋体"/>
          <w:b/>
          <w:color w:val="auto"/>
          <w:sz w:val="24"/>
          <w:lang w:val="en-US" w:eastAsia="zh-CN"/>
        </w:rPr>
      </w:pPr>
      <w:r>
        <w:rPr>
          <w:rFonts w:hint="eastAsia"/>
          <w:b/>
          <w:color w:val="auto"/>
          <w:sz w:val="24"/>
          <w:lang w:eastAsia="zh-CN"/>
        </w:rPr>
        <w:t>注：此项内容需包含投标商品名称、数量、品牌、型号、单价、总价、等信息，</w:t>
      </w:r>
      <w:r>
        <w:rPr>
          <w:rFonts w:hint="eastAsia"/>
          <w:b/>
          <w:color w:val="auto"/>
          <w:sz w:val="24"/>
          <w:lang w:val="en-US" w:eastAsia="zh-CN"/>
        </w:rPr>
        <w:t>报价表必须报单价限价和总价，报价不得超过单价限价和总价限价</w:t>
      </w:r>
    </w:p>
    <w:p w14:paraId="71CAD04D">
      <w:pPr>
        <w:pStyle w:val="24"/>
        <w:rPr>
          <w:color w:val="auto"/>
        </w:rPr>
      </w:pPr>
    </w:p>
    <w:p w14:paraId="66551667">
      <w:pPr>
        <w:adjustRightInd w:val="0"/>
        <w:snapToGrid w:val="0"/>
        <w:spacing w:line="360" w:lineRule="auto"/>
        <w:jc w:val="center"/>
        <w:rPr>
          <w:rFonts w:hint="eastAsia" w:ascii="宋体" w:hAnsi="宋体" w:cs="宋体"/>
          <w:b/>
          <w:color w:val="auto"/>
          <w:sz w:val="28"/>
          <w:szCs w:val="28"/>
        </w:rPr>
      </w:pPr>
    </w:p>
    <w:p w14:paraId="28166D50">
      <w:pPr>
        <w:adjustRightInd w:val="0"/>
        <w:snapToGrid w:val="0"/>
        <w:spacing w:line="360" w:lineRule="auto"/>
        <w:jc w:val="center"/>
        <w:rPr>
          <w:rFonts w:hint="eastAsia" w:ascii="宋体" w:hAnsi="宋体" w:cs="宋体"/>
          <w:b/>
          <w:color w:val="auto"/>
          <w:sz w:val="28"/>
          <w:szCs w:val="28"/>
        </w:rPr>
      </w:pPr>
    </w:p>
    <w:p w14:paraId="4E8B8904">
      <w:pPr>
        <w:adjustRightInd w:val="0"/>
        <w:snapToGrid w:val="0"/>
        <w:spacing w:line="360" w:lineRule="auto"/>
        <w:jc w:val="center"/>
        <w:rPr>
          <w:rFonts w:hint="eastAsia" w:ascii="宋体" w:hAnsi="宋体" w:cs="宋体"/>
          <w:b/>
          <w:color w:val="auto"/>
          <w:sz w:val="28"/>
          <w:szCs w:val="28"/>
        </w:rPr>
      </w:pPr>
    </w:p>
    <w:p w14:paraId="2945B527">
      <w:pPr>
        <w:adjustRightInd w:val="0"/>
        <w:snapToGrid w:val="0"/>
        <w:spacing w:line="360" w:lineRule="auto"/>
        <w:jc w:val="center"/>
        <w:rPr>
          <w:rFonts w:hint="eastAsia" w:ascii="宋体" w:hAnsi="宋体" w:cs="宋体"/>
          <w:b/>
          <w:color w:val="auto"/>
          <w:sz w:val="28"/>
          <w:szCs w:val="28"/>
        </w:rPr>
      </w:pPr>
    </w:p>
    <w:p w14:paraId="1FBF603D">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43D168BD">
      <w:pPr>
        <w:pStyle w:val="23"/>
        <w:rPr>
          <w:rFonts w:hint="eastAsia"/>
          <w:lang w:eastAsia="zh-CN"/>
        </w:rPr>
      </w:pPr>
    </w:p>
    <w:p w14:paraId="386689DC">
      <w:pPr>
        <w:adjustRightInd w:val="0"/>
        <w:snapToGrid w:val="0"/>
        <w:spacing w:line="360" w:lineRule="auto"/>
        <w:jc w:val="center"/>
        <w:rPr>
          <w:rFonts w:hint="eastAsia" w:ascii="宋体" w:hAnsi="宋体" w:cs="宋体"/>
          <w:b/>
          <w:color w:val="auto"/>
          <w:sz w:val="24"/>
          <w:szCs w:val="20"/>
        </w:rPr>
      </w:pPr>
    </w:p>
    <w:p w14:paraId="11F0F571">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64449AAA">
      <w:pPr>
        <w:adjustRightInd w:val="0"/>
        <w:snapToGrid w:val="0"/>
        <w:spacing w:line="360" w:lineRule="auto"/>
        <w:rPr>
          <w:rFonts w:hint="eastAsia" w:ascii="宋体" w:hAnsi="宋体" w:cs="宋体"/>
          <w:b/>
          <w:color w:val="auto"/>
          <w:sz w:val="28"/>
          <w:szCs w:val="28"/>
        </w:rPr>
      </w:pPr>
    </w:p>
    <w:p w14:paraId="540590FF">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381B1A2">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0EF25468">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51BFDC15">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4F084AFC">
      <w:pPr>
        <w:adjustRightInd w:val="0"/>
        <w:snapToGrid w:val="0"/>
        <w:spacing w:line="360" w:lineRule="auto"/>
        <w:ind w:firstLine="480" w:firstLineChars="200"/>
        <w:rPr>
          <w:rFonts w:hint="eastAsia" w:ascii="宋体" w:hAnsi="宋体" w:cs="宋体"/>
          <w:color w:val="auto"/>
          <w:sz w:val="24"/>
        </w:rPr>
      </w:pPr>
    </w:p>
    <w:tbl>
      <w:tblPr>
        <w:tblStyle w:val="16"/>
        <w:tblW w:w="8278"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7C87C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252076A9">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637D8040">
      <w:pPr>
        <w:adjustRightInd w:val="0"/>
        <w:snapToGrid w:val="0"/>
        <w:spacing w:line="360" w:lineRule="auto"/>
        <w:rPr>
          <w:rFonts w:hint="eastAsia" w:ascii="宋体" w:hAnsi="宋体" w:cs="宋体"/>
          <w:color w:val="auto"/>
          <w:sz w:val="24"/>
        </w:rPr>
      </w:pPr>
    </w:p>
    <w:tbl>
      <w:tblPr>
        <w:tblStyle w:val="16"/>
        <w:tblW w:w="8278"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57534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4C02A26">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573075C3">
      <w:pPr>
        <w:adjustRightInd w:val="0"/>
        <w:snapToGrid w:val="0"/>
        <w:spacing w:line="360" w:lineRule="auto"/>
        <w:rPr>
          <w:rFonts w:hint="eastAsia" w:ascii="宋体" w:hAnsi="宋体" w:cs="宋体"/>
          <w:color w:val="auto"/>
          <w:sz w:val="24"/>
        </w:rPr>
      </w:pPr>
    </w:p>
    <w:p w14:paraId="2BBB8A34">
      <w:pPr>
        <w:adjustRightInd w:val="0"/>
        <w:snapToGrid w:val="0"/>
        <w:spacing w:line="360" w:lineRule="auto"/>
        <w:rPr>
          <w:rFonts w:hint="eastAsia" w:ascii="宋体" w:hAnsi="宋体" w:cs="宋体"/>
          <w:color w:val="auto"/>
          <w:sz w:val="24"/>
        </w:rPr>
      </w:pPr>
    </w:p>
    <w:p w14:paraId="1A8CC709">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1CA38E1D">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24E802C">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7E29138A">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18D29777">
      <w:pPr>
        <w:adjustRightInd w:val="0"/>
        <w:snapToGrid w:val="0"/>
        <w:spacing w:line="360" w:lineRule="auto"/>
        <w:rPr>
          <w:rFonts w:hint="eastAsia" w:ascii="宋体" w:hAnsi="宋体" w:cs="宋体"/>
          <w:b/>
          <w:color w:val="auto"/>
          <w:sz w:val="28"/>
          <w:szCs w:val="28"/>
        </w:rPr>
      </w:pPr>
    </w:p>
    <w:p w14:paraId="3F6A11CD">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3E86AAC0">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129B67D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w:t>
      </w:r>
      <w:r>
        <w:rPr>
          <w:rFonts w:hint="eastAsia" w:ascii="宋体" w:hAnsi="宋体" w:cs="宋体"/>
          <w:color w:val="auto"/>
          <w:sz w:val="24"/>
          <w:lang w:eastAsia="zh-CN"/>
        </w:rPr>
        <w:t>招标</w:t>
      </w:r>
      <w:r>
        <w:rPr>
          <w:rFonts w:hint="eastAsia" w:ascii="宋体" w:hAnsi="宋体" w:cs="宋体"/>
          <w:color w:val="auto"/>
          <w:sz w:val="24"/>
        </w:rPr>
        <w:t>文件的规定，我单位郑重声明如下：</w:t>
      </w:r>
    </w:p>
    <w:p w14:paraId="5A64E7F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21867362">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3CB02BF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64223B65">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w:t>
      </w:r>
      <w:r>
        <w:rPr>
          <w:rFonts w:hint="eastAsia" w:asciiTheme="minorEastAsia" w:hAnsiTheme="minorEastAsia" w:eastAsiaTheme="minorEastAsia" w:cstheme="minorEastAsia"/>
          <w:bCs/>
          <w:color w:val="auto"/>
          <w:sz w:val="24"/>
          <w:szCs w:val="24"/>
          <w:lang w:val="en-US" w:eastAsia="zh-CN"/>
        </w:rPr>
        <w:t>采购</w:t>
      </w:r>
      <w:r>
        <w:rPr>
          <w:rFonts w:hint="eastAsia" w:ascii="宋体" w:hAnsi="宋体" w:cs="宋体"/>
          <w:color w:val="auto"/>
          <w:sz w:val="24"/>
        </w:rPr>
        <w:t>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0DFF17FA">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149A3161">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4B61AC36">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763F31A9">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1D48A861">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1417F859">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lang w:val="en-US" w:eastAsia="zh-CN"/>
        </w:rPr>
        <w:t>七、我单位承诺参与本项目时不存在围标、串标、陪标等违法行为</w:t>
      </w:r>
      <w:r>
        <w:rPr>
          <w:rFonts w:hint="eastAsia" w:ascii="宋体" w:hAnsi="宋体" w:cs="宋体"/>
          <w:color w:val="auto"/>
          <w:sz w:val="24"/>
        </w:rPr>
        <w:t xml:space="preserve"> </w:t>
      </w:r>
    </w:p>
    <w:p w14:paraId="671259A6">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2A3FCFA6">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5B697C89">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3B055510">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3EF7C52F">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43446278">
      <w:pPr>
        <w:adjustRightInd w:val="0"/>
        <w:snapToGrid w:val="0"/>
        <w:spacing w:line="360" w:lineRule="auto"/>
        <w:jc w:val="center"/>
        <w:rPr>
          <w:rFonts w:hint="eastAsia" w:ascii="宋体" w:hAnsi="宋体" w:cs="宋体"/>
          <w:b/>
          <w:color w:val="auto"/>
          <w:sz w:val="24"/>
          <w:szCs w:val="20"/>
        </w:rPr>
      </w:pPr>
    </w:p>
    <w:p w14:paraId="1346884B">
      <w:pPr>
        <w:adjustRightInd w:val="0"/>
        <w:snapToGrid w:val="0"/>
        <w:spacing w:line="360" w:lineRule="auto"/>
        <w:rPr>
          <w:rFonts w:hint="eastAsia" w:ascii="宋体" w:hAnsi="宋体" w:cs="宋体"/>
          <w:b/>
          <w:color w:val="auto"/>
          <w:sz w:val="24"/>
          <w:szCs w:val="20"/>
        </w:rPr>
      </w:pPr>
    </w:p>
    <w:p w14:paraId="4F9273E1">
      <w:pPr>
        <w:adjustRightInd w:val="0"/>
        <w:snapToGrid w:val="0"/>
        <w:spacing w:line="360" w:lineRule="auto"/>
        <w:rPr>
          <w:rFonts w:hint="eastAsia" w:ascii="宋体" w:hAnsi="宋体" w:cs="宋体"/>
          <w:b/>
          <w:color w:val="auto"/>
          <w:sz w:val="24"/>
          <w:szCs w:val="20"/>
        </w:rPr>
      </w:pPr>
    </w:p>
    <w:p w14:paraId="2D2F2399">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BD0C8C8">
      <w:pPr>
        <w:adjustRightInd w:val="0"/>
        <w:snapToGrid w:val="0"/>
        <w:spacing w:line="360" w:lineRule="auto"/>
        <w:jc w:val="center"/>
        <w:rPr>
          <w:rFonts w:hint="eastAsia" w:ascii="宋体" w:hAnsi="宋体" w:cs="宋体"/>
          <w:b/>
          <w:color w:val="auto"/>
          <w:sz w:val="24"/>
          <w:szCs w:val="20"/>
        </w:rPr>
      </w:pPr>
    </w:p>
    <w:p w14:paraId="565506E4">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478C91FB">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0851C70D">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786E0303">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39144592">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50CF0EAC">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7168109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9FD08FA">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753E4AC7">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575B8451">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32BCE7E4">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059336F3">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14:paraId="0EB9AB22">
      <w:pPr>
        <w:jc w:val="left"/>
        <w:rPr>
          <w:rFonts w:hint="eastAsia" w:ascii="宋体" w:hAnsi="宋体" w:eastAsia="宋体" w:cs="Times New Roman"/>
          <w:b w:val="0"/>
          <w:bCs w:val="0"/>
          <w:color w:val="auto"/>
          <w:kern w:val="2"/>
          <w:sz w:val="24"/>
          <w:szCs w:val="24"/>
          <w:lang w:val="en-US" w:eastAsia="zh-CN" w:bidi="ar-SA"/>
        </w:rPr>
      </w:pPr>
    </w:p>
    <w:p w14:paraId="452F65D0">
      <w:pPr>
        <w:jc w:val="left"/>
        <w:rPr>
          <w:rFonts w:hint="eastAsia" w:ascii="宋体" w:hAnsi="宋体" w:eastAsia="宋体" w:cs="Times New Roman"/>
          <w:b w:val="0"/>
          <w:bCs w:val="0"/>
          <w:color w:val="auto"/>
          <w:kern w:val="2"/>
          <w:sz w:val="24"/>
          <w:szCs w:val="24"/>
          <w:lang w:val="en-US" w:eastAsia="zh-CN" w:bidi="ar-SA"/>
        </w:rPr>
      </w:pPr>
    </w:p>
    <w:p w14:paraId="16A0C581">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4B1AE1FF">
      <w:pPr>
        <w:jc w:val="center"/>
        <w:rPr>
          <w:rFonts w:hint="eastAsia" w:ascii="宋体" w:hAnsi="宋体" w:cs="宋体"/>
          <w:b/>
          <w:color w:val="auto"/>
          <w:sz w:val="24"/>
        </w:rPr>
        <w:sectPr>
          <w:headerReference r:id="rId3" w:type="default"/>
          <w:footerReference r:id="rId4" w:type="default"/>
          <w:pgSz w:w="11906" w:h="16838"/>
          <w:pgMar w:top="1440" w:right="1080" w:bottom="1440" w:left="1080" w:header="567" w:footer="283" w:gutter="0"/>
          <w:pgNumType w:fmt="decimal" w:start="1"/>
          <w:cols w:space="720" w:num="1"/>
          <w:docGrid w:linePitch="312" w:charSpace="0"/>
        </w:sectPr>
      </w:pPr>
    </w:p>
    <w:p w14:paraId="3C2F2BC3">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86424819"/>
      <w:bookmarkStart w:id="3" w:name="_Toc476514128"/>
    </w:p>
    <w:p w14:paraId="6D90F51D">
      <w:pPr>
        <w:pStyle w:val="23"/>
        <w:rPr>
          <w:rFonts w:hint="eastAsia"/>
          <w:lang w:eastAsia="zh-CN"/>
        </w:rPr>
      </w:pPr>
    </w:p>
    <w:p w14:paraId="6BAEDE60">
      <w:pPr>
        <w:spacing w:before="120" w:beforeLines="50" w:after="120" w:afterLines="50" w:line="276" w:lineRule="auto"/>
        <w:jc w:val="center"/>
        <w:rPr>
          <w:b/>
          <w:color w:val="auto"/>
          <w:sz w:val="24"/>
        </w:rPr>
      </w:pPr>
      <w:r>
        <w:rPr>
          <w:b/>
          <w:color w:val="auto"/>
          <w:sz w:val="24"/>
        </w:rPr>
        <w:t>采购需求响应/偏离表</w:t>
      </w:r>
    </w:p>
    <w:p w14:paraId="3BCF85E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6"/>
        <w:tblW w:w="835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27"/>
        <w:gridCol w:w="1877"/>
        <w:gridCol w:w="1671"/>
        <w:gridCol w:w="1608"/>
        <w:gridCol w:w="1513"/>
        <w:gridCol w:w="1061"/>
      </w:tblGrid>
      <w:tr w14:paraId="572AF3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627" w:type="dxa"/>
            <w:noWrap w:val="0"/>
            <w:vAlign w:val="center"/>
          </w:tcPr>
          <w:p w14:paraId="684B6852">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877" w:type="dxa"/>
            <w:noWrap w:val="0"/>
            <w:vAlign w:val="center"/>
          </w:tcPr>
          <w:p w14:paraId="4257CF67">
            <w:pPr>
              <w:adjustRightInd w:val="0"/>
              <w:snapToGrid w:val="0"/>
              <w:spacing w:before="50" w:line="360" w:lineRule="auto"/>
              <w:ind w:left="-88" w:leftChars="-42"/>
              <w:jc w:val="center"/>
              <w:rPr>
                <w:color w:val="auto"/>
                <w:szCs w:val="21"/>
              </w:rPr>
            </w:pPr>
            <w:r>
              <w:rPr>
                <w:rFonts w:hint="eastAsia"/>
                <w:color w:val="auto"/>
                <w:szCs w:val="21"/>
                <w:lang w:eastAsia="zh-CN"/>
              </w:rPr>
              <w:t>招标</w:t>
            </w:r>
            <w:r>
              <w:rPr>
                <w:color w:val="auto"/>
                <w:szCs w:val="21"/>
              </w:rPr>
              <w:t>文件章节</w:t>
            </w:r>
            <w:r>
              <w:rPr>
                <w:bCs/>
                <w:color w:val="auto"/>
                <w:szCs w:val="21"/>
              </w:rPr>
              <w:t>条</w:t>
            </w:r>
            <w:r>
              <w:rPr>
                <w:color w:val="auto"/>
                <w:szCs w:val="21"/>
              </w:rPr>
              <w:t>款号</w:t>
            </w:r>
          </w:p>
        </w:tc>
        <w:tc>
          <w:tcPr>
            <w:tcW w:w="1671" w:type="dxa"/>
            <w:noWrap w:val="0"/>
            <w:vAlign w:val="top"/>
          </w:tcPr>
          <w:p w14:paraId="769CBF21">
            <w:pPr>
              <w:adjustRightInd w:val="0"/>
              <w:snapToGrid w:val="0"/>
              <w:spacing w:before="50" w:line="360" w:lineRule="auto"/>
              <w:jc w:val="center"/>
              <w:rPr>
                <w:color w:val="auto"/>
              </w:rPr>
            </w:pPr>
            <w:r>
              <w:rPr>
                <w:rFonts w:hint="eastAsia"/>
                <w:color w:val="auto"/>
                <w:lang w:eastAsia="zh-CN"/>
              </w:rPr>
              <w:t>招标</w:t>
            </w:r>
            <w:r>
              <w:rPr>
                <w:color w:val="auto"/>
              </w:rPr>
              <w:t>文件要求</w:t>
            </w:r>
          </w:p>
        </w:tc>
        <w:tc>
          <w:tcPr>
            <w:tcW w:w="1608" w:type="dxa"/>
            <w:noWrap w:val="0"/>
            <w:vAlign w:val="top"/>
          </w:tcPr>
          <w:p w14:paraId="09D4284B">
            <w:pPr>
              <w:adjustRightInd w:val="0"/>
              <w:snapToGrid w:val="0"/>
              <w:spacing w:before="50" w:line="360" w:lineRule="auto"/>
              <w:jc w:val="center"/>
              <w:rPr>
                <w:color w:val="auto"/>
              </w:rPr>
            </w:pPr>
            <w:r>
              <w:rPr>
                <w:color w:val="auto"/>
              </w:rPr>
              <w:t>投标文件应答</w:t>
            </w:r>
          </w:p>
        </w:tc>
        <w:tc>
          <w:tcPr>
            <w:tcW w:w="1513" w:type="dxa"/>
            <w:noWrap w:val="0"/>
            <w:vAlign w:val="center"/>
          </w:tcPr>
          <w:p w14:paraId="67C408D3">
            <w:pPr>
              <w:adjustRightInd w:val="0"/>
              <w:snapToGrid w:val="0"/>
              <w:spacing w:before="50" w:line="360" w:lineRule="auto"/>
              <w:ind w:left="-88" w:leftChars="-42"/>
              <w:jc w:val="center"/>
              <w:rPr>
                <w:color w:val="auto"/>
                <w:szCs w:val="21"/>
              </w:rPr>
            </w:pPr>
            <w:r>
              <w:rPr>
                <w:color w:val="auto"/>
                <w:szCs w:val="21"/>
              </w:rPr>
              <w:t>响应/偏离</w:t>
            </w:r>
          </w:p>
        </w:tc>
        <w:tc>
          <w:tcPr>
            <w:tcW w:w="1061" w:type="dxa"/>
            <w:noWrap w:val="0"/>
            <w:vAlign w:val="center"/>
          </w:tcPr>
          <w:p w14:paraId="333762B8">
            <w:pPr>
              <w:adjustRightInd w:val="0"/>
              <w:snapToGrid w:val="0"/>
              <w:spacing w:before="50" w:line="360" w:lineRule="auto"/>
              <w:ind w:left="-88" w:leftChars="-42"/>
              <w:jc w:val="center"/>
              <w:rPr>
                <w:color w:val="auto"/>
                <w:szCs w:val="21"/>
              </w:rPr>
            </w:pPr>
            <w:r>
              <w:rPr>
                <w:color w:val="auto"/>
                <w:szCs w:val="21"/>
              </w:rPr>
              <w:t>偏离说明</w:t>
            </w:r>
          </w:p>
        </w:tc>
      </w:tr>
      <w:tr w14:paraId="4E0917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71E1580C">
            <w:pPr>
              <w:adjustRightInd w:val="0"/>
              <w:snapToGrid w:val="0"/>
              <w:spacing w:before="50" w:line="360" w:lineRule="auto"/>
              <w:ind w:left="-88" w:leftChars="-42"/>
              <w:jc w:val="center"/>
              <w:rPr>
                <w:color w:val="auto"/>
                <w:szCs w:val="21"/>
              </w:rPr>
            </w:pPr>
          </w:p>
        </w:tc>
        <w:tc>
          <w:tcPr>
            <w:tcW w:w="1877" w:type="dxa"/>
            <w:noWrap w:val="0"/>
            <w:vAlign w:val="center"/>
          </w:tcPr>
          <w:p w14:paraId="774A1D01">
            <w:pPr>
              <w:adjustRightInd w:val="0"/>
              <w:snapToGrid w:val="0"/>
              <w:spacing w:before="50" w:line="360" w:lineRule="auto"/>
              <w:ind w:left="-88" w:leftChars="-42"/>
              <w:jc w:val="center"/>
              <w:rPr>
                <w:color w:val="auto"/>
                <w:szCs w:val="21"/>
              </w:rPr>
            </w:pPr>
          </w:p>
        </w:tc>
        <w:tc>
          <w:tcPr>
            <w:tcW w:w="1671" w:type="dxa"/>
            <w:noWrap w:val="0"/>
            <w:vAlign w:val="center"/>
          </w:tcPr>
          <w:p w14:paraId="5CC39C1D">
            <w:pPr>
              <w:adjustRightInd w:val="0"/>
              <w:snapToGrid w:val="0"/>
              <w:spacing w:before="50" w:line="360" w:lineRule="auto"/>
              <w:ind w:left="-88" w:leftChars="-42"/>
              <w:jc w:val="center"/>
              <w:rPr>
                <w:color w:val="auto"/>
                <w:szCs w:val="21"/>
              </w:rPr>
            </w:pPr>
          </w:p>
        </w:tc>
        <w:tc>
          <w:tcPr>
            <w:tcW w:w="1608" w:type="dxa"/>
            <w:noWrap w:val="0"/>
            <w:vAlign w:val="center"/>
          </w:tcPr>
          <w:p w14:paraId="4C313990">
            <w:pPr>
              <w:adjustRightInd w:val="0"/>
              <w:snapToGrid w:val="0"/>
              <w:spacing w:before="50" w:line="360" w:lineRule="auto"/>
              <w:ind w:left="-88" w:leftChars="-42"/>
              <w:jc w:val="center"/>
              <w:rPr>
                <w:color w:val="auto"/>
                <w:szCs w:val="21"/>
              </w:rPr>
            </w:pPr>
          </w:p>
        </w:tc>
        <w:tc>
          <w:tcPr>
            <w:tcW w:w="1513" w:type="dxa"/>
            <w:noWrap w:val="0"/>
            <w:vAlign w:val="center"/>
          </w:tcPr>
          <w:p w14:paraId="3282AE5D">
            <w:pPr>
              <w:adjustRightInd w:val="0"/>
              <w:snapToGrid w:val="0"/>
              <w:spacing w:before="50" w:line="360" w:lineRule="auto"/>
              <w:ind w:left="-88" w:leftChars="-42"/>
              <w:jc w:val="center"/>
              <w:rPr>
                <w:color w:val="auto"/>
                <w:szCs w:val="21"/>
              </w:rPr>
            </w:pPr>
          </w:p>
        </w:tc>
        <w:tc>
          <w:tcPr>
            <w:tcW w:w="1061" w:type="dxa"/>
            <w:noWrap w:val="0"/>
            <w:vAlign w:val="center"/>
          </w:tcPr>
          <w:p w14:paraId="031F9831">
            <w:pPr>
              <w:adjustRightInd w:val="0"/>
              <w:snapToGrid w:val="0"/>
              <w:spacing w:before="50" w:line="360" w:lineRule="auto"/>
              <w:ind w:left="-88" w:leftChars="-42"/>
              <w:jc w:val="center"/>
              <w:rPr>
                <w:color w:val="auto"/>
                <w:szCs w:val="21"/>
              </w:rPr>
            </w:pPr>
          </w:p>
        </w:tc>
      </w:tr>
      <w:tr w14:paraId="000159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77AAB4EE">
            <w:pPr>
              <w:adjustRightInd w:val="0"/>
              <w:snapToGrid w:val="0"/>
              <w:spacing w:before="50" w:line="360" w:lineRule="auto"/>
              <w:ind w:left="-88" w:leftChars="-42"/>
              <w:jc w:val="center"/>
              <w:rPr>
                <w:color w:val="auto"/>
                <w:szCs w:val="21"/>
              </w:rPr>
            </w:pPr>
          </w:p>
        </w:tc>
        <w:tc>
          <w:tcPr>
            <w:tcW w:w="1877" w:type="dxa"/>
            <w:noWrap w:val="0"/>
            <w:vAlign w:val="center"/>
          </w:tcPr>
          <w:p w14:paraId="50AEF049">
            <w:pPr>
              <w:adjustRightInd w:val="0"/>
              <w:snapToGrid w:val="0"/>
              <w:spacing w:before="50" w:line="360" w:lineRule="auto"/>
              <w:ind w:left="-88" w:leftChars="-42"/>
              <w:jc w:val="center"/>
              <w:rPr>
                <w:color w:val="auto"/>
                <w:szCs w:val="21"/>
              </w:rPr>
            </w:pPr>
          </w:p>
        </w:tc>
        <w:tc>
          <w:tcPr>
            <w:tcW w:w="1671" w:type="dxa"/>
            <w:noWrap w:val="0"/>
            <w:vAlign w:val="center"/>
          </w:tcPr>
          <w:p w14:paraId="2A7B0A3E">
            <w:pPr>
              <w:adjustRightInd w:val="0"/>
              <w:snapToGrid w:val="0"/>
              <w:spacing w:before="50" w:line="360" w:lineRule="auto"/>
              <w:ind w:left="-88" w:leftChars="-42"/>
              <w:jc w:val="center"/>
              <w:rPr>
                <w:color w:val="auto"/>
                <w:szCs w:val="21"/>
              </w:rPr>
            </w:pPr>
          </w:p>
        </w:tc>
        <w:tc>
          <w:tcPr>
            <w:tcW w:w="1608" w:type="dxa"/>
            <w:noWrap w:val="0"/>
            <w:vAlign w:val="center"/>
          </w:tcPr>
          <w:p w14:paraId="4A601AAF">
            <w:pPr>
              <w:adjustRightInd w:val="0"/>
              <w:snapToGrid w:val="0"/>
              <w:spacing w:before="50" w:line="360" w:lineRule="auto"/>
              <w:ind w:left="-88" w:leftChars="-42"/>
              <w:jc w:val="center"/>
              <w:rPr>
                <w:color w:val="auto"/>
                <w:szCs w:val="21"/>
              </w:rPr>
            </w:pPr>
          </w:p>
        </w:tc>
        <w:tc>
          <w:tcPr>
            <w:tcW w:w="1513" w:type="dxa"/>
            <w:noWrap w:val="0"/>
            <w:vAlign w:val="center"/>
          </w:tcPr>
          <w:p w14:paraId="25C22211">
            <w:pPr>
              <w:adjustRightInd w:val="0"/>
              <w:snapToGrid w:val="0"/>
              <w:spacing w:before="50" w:line="360" w:lineRule="auto"/>
              <w:ind w:left="-88" w:leftChars="-42"/>
              <w:jc w:val="center"/>
              <w:rPr>
                <w:color w:val="auto"/>
                <w:szCs w:val="21"/>
              </w:rPr>
            </w:pPr>
          </w:p>
        </w:tc>
        <w:tc>
          <w:tcPr>
            <w:tcW w:w="1061" w:type="dxa"/>
            <w:noWrap w:val="0"/>
            <w:vAlign w:val="center"/>
          </w:tcPr>
          <w:p w14:paraId="571A0A5F">
            <w:pPr>
              <w:adjustRightInd w:val="0"/>
              <w:snapToGrid w:val="0"/>
              <w:spacing w:before="50" w:line="360" w:lineRule="auto"/>
              <w:ind w:left="-88" w:leftChars="-42"/>
              <w:jc w:val="center"/>
              <w:rPr>
                <w:color w:val="auto"/>
                <w:szCs w:val="21"/>
              </w:rPr>
            </w:pPr>
          </w:p>
        </w:tc>
      </w:tr>
      <w:tr w14:paraId="7492E7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5A3B4144">
            <w:pPr>
              <w:adjustRightInd w:val="0"/>
              <w:snapToGrid w:val="0"/>
              <w:spacing w:before="50" w:line="360" w:lineRule="auto"/>
              <w:ind w:left="-88" w:leftChars="-42"/>
              <w:jc w:val="center"/>
              <w:rPr>
                <w:color w:val="auto"/>
                <w:szCs w:val="21"/>
              </w:rPr>
            </w:pPr>
          </w:p>
        </w:tc>
        <w:tc>
          <w:tcPr>
            <w:tcW w:w="1877" w:type="dxa"/>
            <w:noWrap w:val="0"/>
            <w:vAlign w:val="center"/>
          </w:tcPr>
          <w:p w14:paraId="5678C7D8">
            <w:pPr>
              <w:adjustRightInd w:val="0"/>
              <w:snapToGrid w:val="0"/>
              <w:spacing w:before="50" w:line="360" w:lineRule="auto"/>
              <w:ind w:left="-88" w:leftChars="-42"/>
              <w:jc w:val="center"/>
              <w:rPr>
                <w:color w:val="auto"/>
                <w:szCs w:val="21"/>
              </w:rPr>
            </w:pPr>
          </w:p>
        </w:tc>
        <w:tc>
          <w:tcPr>
            <w:tcW w:w="1671" w:type="dxa"/>
            <w:noWrap w:val="0"/>
            <w:vAlign w:val="center"/>
          </w:tcPr>
          <w:p w14:paraId="7AD96B66">
            <w:pPr>
              <w:adjustRightInd w:val="0"/>
              <w:snapToGrid w:val="0"/>
              <w:spacing w:before="50" w:line="360" w:lineRule="auto"/>
              <w:ind w:left="-88" w:leftChars="-42"/>
              <w:jc w:val="center"/>
              <w:rPr>
                <w:color w:val="auto"/>
                <w:szCs w:val="21"/>
              </w:rPr>
            </w:pPr>
          </w:p>
        </w:tc>
        <w:tc>
          <w:tcPr>
            <w:tcW w:w="1608" w:type="dxa"/>
            <w:noWrap w:val="0"/>
            <w:vAlign w:val="center"/>
          </w:tcPr>
          <w:p w14:paraId="368E095E">
            <w:pPr>
              <w:adjustRightInd w:val="0"/>
              <w:snapToGrid w:val="0"/>
              <w:spacing w:before="50" w:line="360" w:lineRule="auto"/>
              <w:ind w:left="-88" w:leftChars="-42"/>
              <w:jc w:val="center"/>
              <w:rPr>
                <w:color w:val="auto"/>
                <w:szCs w:val="21"/>
              </w:rPr>
            </w:pPr>
          </w:p>
        </w:tc>
        <w:tc>
          <w:tcPr>
            <w:tcW w:w="1513" w:type="dxa"/>
            <w:noWrap w:val="0"/>
            <w:vAlign w:val="center"/>
          </w:tcPr>
          <w:p w14:paraId="1E861332">
            <w:pPr>
              <w:adjustRightInd w:val="0"/>
              <w:snapToGrid w:val="0"/>
              <w:spacing w:before="50" w:line="360" w:lineRule="auto"/>
              <w:ind w:left="-88" w:leftChars="-42"/>
              <w:jc w:val="center"/>
              <w:rPr>
                <w:color w:val="auto"/>
                <w:szCs w:val="21"/>
              </w:rPr>
            </w:pPr>
          </w:p>
        </w:tc>
        <w:tc>
          <w:tcPr>
            <w:tcW w:w="1061" w:type="dxa"/>
            <w:noWrap w:val="0"/>
            <w:vAlign w:val="center"/>
          </w:tcPr>
          <w:p w14:paraId="1DDFBBC9">
            <w:pPr>
              <w:adjustRightInd w:val="0"/>
              <w:snapToGrid w:val="0"/>
              <w:spacing w:before="50" w:line="360" w:lineRule="auto"/>
              <w:ind w:left="-88" w:leftChars="-42"/>
              <w:jc w:val="center"/>
              <w:rPr>
                <w:color w:val="auto"/>
                <w:szCs w:val="21"/>
              </w:rPr>
            </w:pPr>
          </w:p>
        </w:tc>
      </w:tr>
      <w:tr w14:paraId="5ECFAF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8357" w:type="dxa"/>
            <w:gridSpan w:val="6"/>
            <w:noWrap w:val="0"/>
            <w:vAlign w:val="center"/>
          </w:tcPr>
          <w:p w14:paraId="5564F7E0">
            <w:pPr>
              <w:rPr>
                <w:b/>
                <w:color w:val="auto"/>
              </w:rPr>
            </w:pPr>
          </w:p>
        </w:tc>
      </w:tr>
    </w:tbl>
    <w:p w14:paraId="58C809C7">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2"/>
    <w:bookmarkEnd w:id="3"/>
    <w:p w14:paraId="559CC365">
      <w:pPr>
        <w:adjustRightInd w:val="0"/>
        <w:snapToGrid w:val="0"/>
        <w:spacing w:before="50" w:line="360" w:lineRule="auto"/>
        <w:ind w:left="-88" w:leftChars="-42"/>
        <w:rPr>
          <w:rFonts w:hint="eastAsia"/>
          <w:color w:val="auto"/>
          <w:sz w:val="24"/>
        </w:rPr>
      </w:pPr>
      <w:r>
        <w:rPr>
          <w:color w:val="auto"/>
          <w:sz w:val="24"/>
        </w:rPr>
        <w:t>（1）投标人应根据文件第</w:t>
      </w:r>
      <w:r>
        <w:rPr>
          <w:rFonts w:hint="eastAsia"/>
          <w:color w:val="auto"/>
          <w:sz w:val="24"/>
          <w:lang w:val="en-US" w:eastAsia="zh-CN"/>
        </w:rPr>
        <w:t>二</w:t>
      </w:r>
      <w:r>
        <w:rPr>
          <w:color w:val="auto"/>
          <w:sz w:val="24"/>
        </w:rPr>
        <w:t>章中采购需求填写本表，逐条应答；</w:t>
      </w:r>
    </w:p>
    <w:p w14:paraId="5F3C4965">
      <w:pPr>
        <w:adjustRightInd w:val="0"/>
        <w:snapToGrid w:val="0"/>
        <w:spacing w:before="50" w:line="360" w:lineRule="auto"/>
        <w:ind w:left="-88" w:leftChars="-42"/>
        <w:rPr>
          <w:rFonts w:hint="eastAsia"/>
          <w:color w:val="auto"/>
          <w:sz w:val="24"/>
        </w:rPr>
      </w:pPr>
      <w:r>
        <w:rPr>
          <w:color w:val="auto"/>
          <w:sz w:val="24"/>
        </w:rPr>
        <w:t>（2）如不提供此表，则视为投标人不满足文件第</w:t>
      </w:r>
      <w:r>
        <w:rPr>
          <w:rFonts w:hint="eastAsia"/>
          <w:color w:val="auto"/>
          <w:sz w:val="24"/>
          <w:lang w:eastAsia="zh-CN"/>
        </w:rPr>
        <w:t>二</w:t>
      </w:r>
      <w:r>
        <w:rPr>
          <w:color w:val="auto"/>
          <w:sz w:val="24"/>
        </w:rPr>
        <w:t>章的所有条款要求，其投标无效；</w:t>
      </w:r>
    </w:p>
    <w:p w14:paraId="38E3C596">
      <w:pPr>
        <w:adjustRightInd w:val="0"/>
        <w:snapToGrid w:val="0"/>
        <w:spacing w:before="50" w:line="360" w:lineRule="auto"/>
        <w:ind w:left="-88" w:leftChars="-42"/>
        <w:rPr>
          <w:rFonts w:hint="eastAsia" w:eastAsia="宋体"/>
          <w:color w:val="auto"/>
          <w:lang w:eastAsia="zh-CN"/>
        </w:rPr>
      </w:pPr>
      <w:r>
        <w:rPr>
          <w:color w:val="auto"/>
          <w:sz w:val="24"/>
        </w:rPr>
        <w:t>（3）</w:t>
      </w:r>
      <w:r>
        <w:rPr>
          <w:rFonts w:hint="eastAsia"/>
          <w:color w:val="auto"/>
          <w:sz w:val="24"/>
          <w:lang w:eastAsia="zh-CN"/>
        </w:rPr>
        <w:t>本项目为最低价评分法，所有参数必须全部响应，并在响应表中逐条应答，如有任何一条负偏离，则视为无效投标</w:t>
      </w:r>
    </w:p>
    <w:p w14:paraId="7546D202">
      <w:pPr>
        <w:pStyle w:val="24"/>
        <w:rPr>
          <w:color w:val="auto"/>
        </w:rPr>
      </w:pPr>
    </w:p>
    <w:p w14:paraId="5EEA99A1">
      <w:pPr>
        <w:pStyle w:val="23"/>
        <w:rPr>
          <w:rFonts w:hint="eastAsia"/>
          <w:lang w:eastAsia="zh-CN"/>
        </w:rPr>
      </w:pPr>
    </w:p>
    <w:p w14:paraId="4F73B9B6"/>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24F79">
    <w:pPr>
      <w:pStyle w:val="11"/>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1333E6">
                          <w:pPr>
                            <w:pStyle w:val="11"/>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C1333E6">
                    <w:pPr>
                      <w:pStyle w:val="11"/>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14:paraId="218840FB">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31645">
    <w:pPr>
      <w:pStyle w:val="11"/>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F0F794">
                          <w:pPr>
                            <w:pStyle w:val="11"/>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3F0F794">
                    <w:pPr>
                      <w:pStyle w:val="11"/>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14:paraId="67F2DAB5">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B277D">
    <w:pPr>
      <w:pStyle w:val="12"/>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6DE375E4"/>
    <w:rsid w:val="006F2E55"/>
    <w:rsid w:val="00AE556A"/>
    <w:rsid w:val="01350E35"/>
    <w:rsid w:val="02390242"/>
    <w:rsid w:val="03E43FAE"/>
    <w:rsid w:val="04653F41"/>
    <w:rsid w:val="04AF1AE6"/>
    <w:rsid w:val="04B72FC8"/>
    <w:rsid w:val="04F57A38"/>
    <w:rsid w:val="050719CA"/>
    <w:rsid w:val="056B0EF3"/>
    <w:rsid w:val="06934BAA"/>
    <w:rsid w:val="06E91EC4"/>
    <w:rsid w:val="07731DE6"/>
    <w:rsid w:val="086F75C9"/>
    <w:rsid w:val="08E46EC6"/>
    <w:rsid w:val="08F36684"/>
    <w:rsid w:val="09C0303A"/>
    <w:rsid w:val="0A3F4F3C"/>
    <w:rsid w:val="0A682BFD"/>
    <w:rsid w:val="0A6D3244"/>
    <w:rsid w:val="0A8A74D4"/>
    <w:rsid w:val="0CAD77BD"/>
    <w:rsid w:val="0CD87BD4"/>
    <w:rsid w:val="0E331420"/>
    <w:rsid w:val="0E3A4761"/>
    <w:rsid w:val="0EBC028B"/>
    <w:rsid w:val="0EDD1643"/>
    <w:rsid w:val="0FB9029C"/>
    <w:rsid w:val="10897B23"/>
    <w:rsid w:val="10914EF9"/>
    <w:rsid w:val="10B8663C"/>
    <w:rsid w:val="12080B62"/>
    <w:rsid w:val="12994AC5"/>
    <w:rsid w:val="129F447F"/>
    <w:rsid w:val="12C86253"/>
    <w:rsid w:val="14E40477"/>
    <w:rsid w:val="15060AC8"/>
    <w:rsid w:val="15125EAE"/>
    <w:rsid w:val="15675A4C"/>
    <w:rsid w:val="15B67DFF"/>
    <w:rsid w:val="163301F0"/>
    <w:rsid w:val="17F91BB8"/>
    <w:rsid w:val="193E7D91"/>
    <w:rsid w:val="1943608F"/>
    <w:rsid w:val="19E40286"/>
    <w:rsid w:val="19E91315"/>
    <w:rsid w:val="1AF56B46"/>
    <w:rsid w:val="1CE412C7"/>
    <w:rsid w:val="1D5071B5"/>
    <w:rsid w:val="1DD7486D"/>
    <w:rsid w:val="1E79119D"/>
    <w:rsid w:val="1F334F58"/>
    <w:rsid w:val="1F796B24"/>
    <w:rsid w:val="1FC602A8"/>
    <w:rsid w:val="1FE73549"/>
    <w:rsid w:val="2038045E"/>
    <w:rsid w:val="20AF0900"/>
    <w:rsid w:val="20B41DA7"/>
    <w:rsid w:val="21C61C7A"/>
    <w:rsid w:val="2383771E"/>
    <w:rsid w:val="23F374DB"/>
    <w:rsid w:val="24881A32"/>
    <w:rsid w:val="25266F96"/>
    <w:rsid w:val="2589715C"/>
    <w:rsid w:val="267547DF"/>
    <w:rsid w:val="272B6E6C"/>
    <w:rsid w:val="27B626C7"/>
    <w:rsid w:val="27CF2BB7"/>
    <w:rsid w:val="2821285F"/>
    <w:rsid w:val="28501465"/>
    <w:rsid w:val="28E81B29"/>
    <w:rsid w:val="28FD390A"/>
    <w:rsid w:val="29B45A41"/>
    <w:rsid w:val="2A174DA9"/>
    <w:rsid w:val="2AB010A8"/>
    <w:rsid w:val="2AC66F99"/>
    <w:rsid w:val="2BD64A85"/>
    <w:rsid w:val="2C0A2E19"/>
    <w:rsid w:val="2C7642D0"/>
    <w:rsid w:val="2C8B7C6A"/>
    <w:rsid w:val="2CC97A35"/>
    <w:rsid w:val="2DD77C64"/>
    <w:rsid w:val="2DDA1E78"/>
    <w:rsid w:val="2DE00B8C"/>
    <w:rsid w:val="2EAC037F"/>
    <w:rsid w:val="2EB67A5C"/>
    <w:rsid w:val="302741D2"/>
    <w:rsid w:val="308B184D"/>
    <w:rsid w:val="309C1E01"/>
    <w:rsid w:val="30BB11DD"/>
    <w:rsid w:val="31F17CD1"/>
    <w:rsid w:val="324F4D43"/>
    <w:rsid w:val="33384C93"/>
    <w:rsid w:val="340F06E9"/>
    <w:rsid w:val="34C12F54"/>
    <w:rsid w:val="34F140E5"/>
    <w:rsid w:val="366241E2"/>
    <w:rsid w:val="3662711A"/>
    <w:rsid w:val="36B66AAC"/>
    <w:rsid w:val="36E47928"/>
    <w:rsid w:val="372F7378"/>
    <w:rsid w:val="37BA0809"/>
    <w:rsid w:val="397348CD"/>
    <w:rsid w:val="3A8E0AB7"/>
    <w:rsid w:val="3A994AB7"/>
    <w:rsid w:val="3B3B544D"/>
    <w:rsid w:val="3B654F2B"/>
    <w:rsid w:val="3BB72BAE"/>
    <w:rsid w:val="3BFC7D2B"/>
    <w:rsid w:val="3C7C799C"/>
    <w:rsid w:val="3C8A61A4"/>
    <w:rsid w:val="3D5E17FF"/>
    <w:rsid w:val="3DF93413"/>
    <w:rsid w:val="3DFD1951"/>
    <w:rsid w:val="3E1F0DA4"/>
    <w:rsid w:val="3E584E51"/>
    <w:rsid w:val="3E6E70D5"/>
    <w:rsid w:val="3EBE1ADE"/>
    <w:rsid w:val="3F092439"/>
    <w:rsid w:val="403B4B34"/>
    <w:rsid w:val="4140452A"/>
    <w:rsid w:val="414D7889"/>
    <w:rsid w:val="41BB0BAE"/>
    <w:rsid w:val="4222229D"/>
    <w:rsid w:val="425629F5"/>
    <w:rsid w:val="4284152B"/>
    <w:rsid w:val="429A4992"/>
    <w:rsid w:val="42D9553A"/>
    <w:rsid w:val="435B161D"/>
    <w:rsid w:val="43B25DAC"/>
    <w:rsid w:val="44771DFD"/>
    <w:rsid w:val="45D569C3"/>
    <w:rsid w:val="479B74B7"/>
    <w:rsid w:val="48735221"/>
    <w:rsid w:val="48997E8F"/>
    <w:rsid w:val="49E92B05"/>
    <w:rsid w:val="4A354E62"/>
    <w:rsid w:val="4AEE1A11"/>
    <w:rsid w:val="4B7F39F4"/>
    <w:rsid w:val="4BAE646F"/>
    <w:rsid w:val="4C06451A"/>
    <w:rsid w:val="4CAC1559"/>
    <w:rsid w:val="4D754257"/>
    <w:rsid w:val="4DCD6AB3"/>
    <w:rsid w:val="4DDD6104"/>
    <w:rsid w:val="4EE7662F"/>
    <w:rsid w:val="50216DCD"/>
    <w:rsid w:val="50540C20"/>
    <w:rsid w:val="506258C6"/>
    <w:rsid w:val="51AC28BD"/>
    <w:rsid w:val="52047306"/>
    <w:rsid w:val="52183ACC"/>
    <w:rsid w:val="52ED531B"/>
    <w:rsid w:val="53B55872"/>
    <w:rsid w:val="544055F2"/>
    <w:rsid w:val="54AD4386"/>
    <w:rsid w:val="5587625E"/>
    <w:rsid w:val="55D8243C"/>
    <w:rsid w:val="56483C8F"/>
    <w:rsid w:val="56C77AA7"/>
    <w:rsid w:val="581A7C72"/>
    <w:rsid w:val="583A4BD7"/>
    <w:rsid w:val="5850008B"/>
    <w:rsid w:val="59C74B1F"/>
    <w:rsid w:val="5A886F59"/>
    <w:rsid w:val="5FE01AB3"/>
    <w:rsid w:val="604D5946"/>
    <w:rsid w:val="611B6B1B"/>
    <w:rsid w:val="62030FF0"/>
    <w:rsid w:val="62C222C2"/>
    <w:rsid w:val="62DB090C"/>
    <w:rsid w:val="632D7C40"/>
    <w:rsid w:val="64133D6A"/>
    <w:rsid w:val="64245572"/>
    <w:rsid w:val="64671DE0"/>
    <w:rsid w:val="66C30AF5"/>
    <w:rsid w:val="678E4F5D"/>
    <w:rsid w:val="67F3562A"/>
    <w:rsid w:val="680E122C"/>
    <w:rsid w:val="69CC4643"/>
    <w:rsid w:val="6A4E1D63"/>
    <w:rsid w:val="6AB9152E"/>
    <w:rsid w:val="6B592423"/>
    <w:rsid w:val="6C486FE4"/>
    <w:rsid w:val="6CA409DF"/>
    <w:rsid w:val="6DE375E4"/>
    <w:rsid w:val="6E8E5287"/>
    <w:rsid w:val="6FAC3B48"/>
    <w:rsid w:val="6FAD463B"/>
    <w:rsid w:val="6FBE332C"/>
    <w:rsid w:val="70CE0BC9"/>
    <w:rsid w:val="71554367"/>
    <w:rsid w:val="71584067"/>
    <w:rsid w:val="71F26E91"/>
    <w:rsid w:val="725E7622"/>
    <w:rsid w:val="735201FF"/>
    <w:rsid w:val="737B50A4"/>
    <w:rsid w:val="73F40E72"/>
    <w:rsid w:val="74566F5C"/>
    <w:rsid w:val="74855E60"/>
    <w:rsid w:val="750117A8"/>
    <w:rsid w:val="751301BD"/>
    <w:rsid w:val="755B2270"/>
    <w:rsid w:val="75E27514"/>
    <w:rsid w:val="7612420D"/>
    <w:rsid w:val="76920D75"/>
    <w:rsid w:val="76C47877"/>
    <w:rsid w:val="77423DFF"/>
    <w:rsid w:val="783B5EA9"/>
    <w:rsid w:val="783D7269"/>
    <w:rsid w:val="79EB699D"/>
    <w:rsid w:val="7A104828"/>
    <w:rsid w:val="7B0620DE"/>
    <w:rsid w:val="7BBF44BB"/>
    <w:rsid w:val="7BF15CE4"/>
    <w:rsid w:val="7C3A27E5"/>
    <w:rsid w:val="7D9727DD"/>
    <w:rsid w:val="7EFB4F6E"/>
    <w:rsid w:val="7F164138"/>
    <w:rsid w:val="7F1A5E95"/>
    <w:rsid w:val="7F6606F9"/>
    <w:rsid w:val="7FFB08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widowControl/>
      <w:ind w:firstLine="420"/>
      <w:jc w:val="left"/>
    </w:pPr>
    <w:rPr>
      <w:kern w:val="0"/>
      <w:sz w:val="20"/>
      <w:szCs w:val="20"/>
    </w:rPr>
  </w:style>
  <w:style w:type="paragraph" w:styleId="6">
    <w:name w:val="Body Text First Indent 2"/>
    <w:basedOn w:val="7"/>
    <w:next w:val="5"/>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7">
    <w:name w:val="Body Text Indent"/>
    <w:basedOn w:val="1"/>
    <w:next w:val="1"/>
    <w:qFormat/>
    <w:uiPriority w:val="99"/>
    <w:pPr>
      <w:spacing w:line="400" w:lineRule="exact"/>
      <w:ind w:left="630"/>
    </w:pPr>
    <w:rPr>
      <w:rFonts w:ascii="楷体_GB2312"/>
      <w:sz w:val="30"/>
      <w:szCs w:val="30"/>
    </w:rPr>
  </w:style>
  <w:style w:type="paragraph" w:styleId="8">
    <w:name w:val="annotation text"/>
    <w:basedOn w:val="1"/>
    <w:unhideWhenUsed/>
    <w:qFormat/>
    <w:uiPriority w:val="99"/>
    <w:pPr>
      <w:jc w:val="left"/>
    </w:pPr>
  </w:style>
  <w:style w:type="paragraph" w:styleId="9">
    <w:name w:val="Body Text"/>
    <w:basedOn w:val="1"/>
    <w:semiHidden/>
    <w:qFormat/>
    <w:uiPriority w:val="0"/>
    <w:rPr>
      <w:rFonts w:ascii="宋体" w:hAnsi="宋体" w:eastAsia="宋体" w:cs="宋体"/>
      <w:sz w:val="24"/>
      <w:szCs w:val="24"/>
      <w:lang w:val="en-US" w:eastAsia="en-US" w:bidi="ar-SA"/>
    </w:rPr>
  </w:style>
  <w:style w:type="paragraph" w:styleId="10">
    <w:name w:val="Date"/>
    <w:basedOn w:val="1"/>
    <w:next w:val="1"/>
    <w:qFormat/>
    <w:uiPriority w:val="0"/>
    <w:rPr>
      <w:color w:val="000000"/>
      <w:kern w:val="0"/>
      <w:sz w:val="30"/>
    </w:rPr>
  </w:style>
  <w:style w:type="paragraph" w:styleId="11">
    <w:name w:val="footer"/>
    <w:basedOn w:val="1"/>
    <w:qFormat/>
    <w:uiPriority w:val="0"/>
    <w:pPr>
      <w:tabs>
        <w:tab w:val="center" w:pos="4153"/>
        <w:tab w:val="right" w:pos="8306"/>
      </w:tabs>
      <w:snapToGrid w:val="0"/>
      <w:jc w:val="left"/>
    </w:pPr>
    <w:rPr>
      <w:kern w:val="0"/>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Body Text 2"/>
    <w:basedOn w:val="1"/>
    <w:qFormat/>
    <w:uiPriority w:val="0"/>
    <w:pPr>
      <w:spacing w:after="120" w:line="480" w:lineRule="auto"/>
    </w:pPr>
  </w:style>
  <w:style w:type="paragraph" w:styleId="14">
    <w:name w:val="Normal (Web)"/>
    <w:basedOn w:val="1"/>
    <w:qFormat/>
    <w:uiPriority w:val="0"/>
    <w:rPr>
      <w:sz w:val="24"/>
    </w:rPr>
  </w:style>
  <w:style w:type="paragraph" w:styleId="15">
    <w:name w:val="annotation subject"/>
    <w:basedOn w:val="8"/>
    <w:next w:val="1"/>
    <w:unhideWhenUsed/>
    <w:qFormat/>
    <w:uiPriority w:val="99"/>
    <w:rPr>
      <w:b/>
      <w:bCs/>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0"/>
    <w:rPr>
      <w:b/>
    </w:rPr>
  </w:style>
  <w:style w:type="paragraph" w:customStyle="1" w:styleId="20">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21">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22">
    <w:name w:val="大标题"/>
    <w:basedOn w:val="1"/>
    <w:next w:val="6"/>
    <w:qFormat/>
    <w:uiPriority w:val="0"/>
    <w:pPr>
      <w:jc w:val="center"/>
    </w:pPr>
    <w:rPr>
      <w:rFonts w:ascii="Arial" w:hAnsi="Arial" w:eastAsia="宋体"/>
      <w:b/>
      <w:sz w:val="28"/>
      <w:szCs w:val="24"/>
    </w:rPr>
  </w:style>
  <w:style w:type="paragraph" w:customStyle="1" w:styleId="23">
    <w:name w:val="列出段落1"/>
    <w:basedOn w:val="1"/>
    <w:qFormat/>
    <w:uiPriority w:val="99"/>
    <w:pPr>
      <w:ind w:firstLine="420" w:firstLineChars="200"/>
    </w:pPr>
  </w:style>
  <w:style w:type="paragraph" w:customStyle="1" w:styleId="24">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25">
    <w:name w:val="List Paragraph"/>
    <w:basedOn w:val="1"/>
    <w:qFormat/>
    <w:uiPriority w:val="34"/>
    <w:pPr>
      <w:ind w:firstLine="420" w:firstLineChars="200"/>
    </w:pPr>
    <w:rPr>
      <w:rFonts w:ascii="Calibri" w:hAnsi="Calibri"/>
      <w:szCs w:val="22"/>
    </w:rPr>
  </w:style>
  <w:style w:type="paragraph" w:customStyle="1" w:styleId="26">
    <w:name w:val="列出段落2"/>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7391</Words>
  <Characters>7699</Characters>
  <Lines>0</Lines>
  <Paragraphs>0</Paragraphs>
  <TotalTime>1</TotalTime>
  <ScaleCrop>false</ScaleCrop>
  <LinksUpToDate>false</LinksUpToDate>
  <CharactersWithSpaces>8552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张思远</cp:lastModifiedBy>
  <dcterms:modified xsi:type="dcterms:W3CDTF">2026-05-09T06:53:48Z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693F405580CA4EF791A186399C2A22A8_13</vt:lpwstr>
  </property>
  <property fmtid="{D5CDD505-2E9C-101B-9397-08002B2CF9AE}" pid="4" name="KSOTemplateDocerSaveRecord">
    <vt:lpwstr>eyJoZGlkIjoiOWU3YmMxNGQ0NDE0NTRiYjQ3MWFkZjk1MWM2MTc2NWEiLCJ1c2VySWQiOiI0NDIzNjcyODQifQ==</vt:lpwstr>
  </property>
</Properties>
</file>