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21"/>
        <w:snapToGrid w:val="0"/>
        <w:jc w:val="center"/>
        <w:rPr>
          <w:rFonts w:hint="eastAsia" w:ascii="Arial" w:hAnsi="Arial" w:eastAsia="方正小标宋简体" w:cs="Arial"/>
          <w:sz w:val="72"/>
          <w:szCs w:val="72"/>
        </w:rPr>
      </w:pPr>
      <w:bookmarkStart w:id="0" w:name="_Toc16523570"/>
    </w:p>
    <w:p w14:paraId="75F3B684">
      <w:pPr>
        <w:pStyle w:val="21"/>
        <w:snapToGrid w:val="0"/>
        <w:jc w:val="center"/>
        <w:rPr>
          <w:rFonts w:hint="eastAsia" w:ascii="Arial" w:hAnsi="Arial" w:eastAsia="方正小标宋简体" w:cs="Arial"/>
          <w:sz w:val="72"/>
          <w:szCs w:val="72"/>
        </w:rPr>
      </w:pPr>
      <w:r>
        <w:rPr>
          <w:rFonts w:hint="eastAsia" w:ascii="Arial" w:hAnsi="Arial" w:eastAsia="方正小标宋简体" w:cs="Arial"/>
          <w:sz w:val="72"/>
          <w:szCs w:val="72"/>
          <w:lang w:eastAsia="zh-CN"/>
        </w:rPr>
        <w:t>娄底市中心医院</w:t>
      </w:r>
    </w:p>
    <w:p w14:paraId="65C368DD">
      <w:pPr>
        <w:pStyle w:val="21"/>
        <w:snapToGrid w:val="0"/>
        <w:jc w:val="center"/>
        <w:rPr>
          <w:rFonts w:hint="eastAsia" w:ascii="Arial" w:hAnsi="Arial" w:eastAsia="方正小标宋简体" w:cs="Arial"/>
          <w:sz w:val="72"/>
          <w:szCs w:val="72"/>
        </w:rPr>
      </w:pPr>
    </w:p>
    <w:p w14:paraId="11616A47">
      <w:pPr>
        <w:pStyle w:val="21"/>
        <w:snapToGrid w:val="0"/>
        <w:jc w:val="center"/>
        <w:rPr>
          <w:rFonts w:hint="eastAsia" w:ascii="Arial" w:hAnsi="Arial" w:eastAsia="方正小标宋简体" w:cs="Arial"/>
          <w:sz w:val="72"/>
          <w:szCs w:val="72"/>
        </w:rPr>
      </w:pPr>
    </w:p>
    <w:p w14:paraId="39F8D380">
      <w:pPr>
        <w:pStyle w:val="21"/>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37F791A7">
      <w:pPr>
        <w:pStyle w:val="21"/>
        <w:snapToGrid w:val="0"/>
        <w:jc w:val="center"/>
        <w:rPr>
          <w:rFonts w:ascii="Arial" w:hAnsi="Arial" w:cs="Arial"/>
          <w:sz w:val="32"/>
          <w:szCs w:val="32"/>
        </w:rPr>
      </w:pPr>
    </w:p>
    <w:p w14:paraId="409EB72F">
      <w:pPr>
        <w:pStyle w:val="22"/>
        <w:rPr>
          <w:rFonts w:ascii="Arial" w:hAnsi="Arial" w:cs="Arial"/>
          <w:sz w:val="32"/>
          <w:szCs w:val="32"/>
        </w:rPr>
      </w:pPr>
    </w:p>
    <w:p w14:paraId="668BDAFE">
      <w:pPr>
        <w:pStyle w:val="7"/>
        <w:rPr>
          <w:rFonts w:ascii="Arial" w:hAnsi="Arial" w:cs="Arial"/>
          <w:sz w:val="32"/>
          <w:szCs w:val="32"/>
        </w:rPr>
      </w:pPr>
    </w:p>
    <w:p w14:paraId="30B28264">
      <w:pPr>
        <w:pStyle w:val="7"/>
        <w:rPr>
          <w:rFonts w:ascii="Arial" w:hAnsi="Arial" w:cs="Arial"/>
          <w:sz w:val="32"/>
          <w:szCs w:val="32"/>
        </w:rPr>
      </w:pPr>
    </w:p>
    <w:p w14:paraId="45C922C2">
      <w:pPr>
        <w:pStyle w:val="7"/>
        <w:rPr>
          <w:rFonts w:ascii="Arial" w:hAnsi="Arial" w:cs="Arial"/>
          <w:sz w:val="32"/>
          <w:szCs w:val="32"/>
        </w:rPr>
      </w:pPr>
    </w:p>
    <w:p w14:paraId="0233B328">
      <w:pPr>
        <w:pStyle w:val="7"/>
        <w:rPr>
          <w:rFonts w:ascii="Arial" w:hAnsi="Arial" w:cs="Arial"/>
          <w:sz w:val="32"/>
          <w:szCs w:val="32"/>
        </w:rPr>
      </w:pPr>
    </w:p>
    <w:p w14:paraId="65E4BC6C">
      <w:pPr>
        <w:pStyle w:val="7"/>
        <w:rPr>
          <w:rFonts w:ascii="Arial" w:hAnsi="Arial" w:cs="Arial"/>
          <w:sz w:val="32"/>
          <w:szCs w:val="32"/>
        </w:rPr>
      </w:pPr>
    </w:p>
    <w:p w14:paraId="7577245D">
      <w:pPr>
        <w:pStyle w:val="7"/>
        <w:rPr>
          <w:rFonts w:ascii="Arial" w:hAnsi="Arial" w:cs="Arial"/>
          <w:sz w:val="32"/>
          <w:szCs w:val="32"/>
        </w:rPr>
      </w:pPr>
    </w:p>
    <w:p w14:paraId="0A4AE94E">
      <w:pPr>
        <w:pStyle w:val="21"/>
        <w:snapToGrid w:val="0"/>
        <w:jc w:val="center"/>
        <w:rPr>
          <w:rFonts w:ascii="Arial" w:hAnsi="Arial" w:cs="Arial"/>
          <w:sz w:val="32"/>
          <w:szCs w:val="32"/>
        </w:rPr>
      </w:pPr>
    </w:p>
    <w:p w14:paraId="13C7226F">
      <w:pPr>
        <w:pStyle w:val="21"/>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cs="Times New Roman"/>
          <w:b/>
          <w:bCs/>
          <w:kern w:val="44"/>
          <w:sz w:val="32"/>
          <w:szCs w:val="32"/>
          <w:lang w:val="en-US" w:eastAsia="zh-CN" w:bidi="ar-SA"/>
        </w:rPr>
        <w:t>娄底市中心医院人脸识别设备及系统</w:t>
      </w:r>
      <w:r>
        <w:rPr>
          <w:rFonts w:hint="eastAsia"/>
          <w:bCs/>
          <w:sz w:val="32"/>
          <w:szCs w:val="32"/>
          <w:lang w:val="en-US" w:eastAsia="zh-CN"/>
        </w:rPr>
        <w:t>采购项目</w:t>
      </w:r>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五</w:t>
      </w:r>
      <w:r>
        <w:rPr>
          <w:rFonts w:hint="eastAsia" w:ascii="宋体" w:hAnsi="宋体" w:cs="宋体"/>
          <w:bCs/>
          <w:sz w:val="32"/>
          <w:szCs w:val="32"/>
        </w:rPr>
        <w:t>月</w:t>
      </w:r>
    </w:p>
    <w:p w14:paraId="43FCB49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02230438">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21"/>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娄底市中心医院人脸识别设备及系统</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21"/>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21"/>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娄底市中心医院人脸识别设备及系统</w:t>
      </w:r>
      <w:r>
        <w:rPr>
          <w:rFonts w:hint="eastAsia" w:asciiTheme="minorEastAsia" w:hAnsiTheme="minorEastAsia" w:eastAsiaTheme="minorEastAsia" w:cstheme="minorEastAsia"/>
          <w:b w:val="0"/>
          <w:bCs/>
          <w:color w:val="auto"/>
          <w:sz w:val="24"/>
          <w:szCs w:val="24"/>
          <w:lang w:val="en-US" w:eastAsia="zh-CN"/>
        </w:rPr>
        <w:t>项目</w:t>
      </w:r>
    </w:p>
    <w:p w14:paraId="0CDBF21C">
      <w:pPr>
        <w:pStyle w:val="21"/>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67F7E3C9">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2、开标地点;娄底市中心医院五、采购人地址和联系方法：</w:t>
      </w:r>
    </w:p>
    <w:p w14:paraId="31DB0AFF">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1、采购人名称：娄底市中心医院2、联系人及联系方式：张思远 15115875288</w:t>
      </w:r>
    </w:p>
    <w:p w14:paraId="5023AEF5">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22"/>
        <w:rPr>
          <w:rFonts w:hint="eastAsia"/>
          <w:lang w:val="en-US" w:eastAsia="zh-CN"/>
        </w:rPr>
      </w:pPr>
    </w:p>
    <w:p w14:paraId="7E250597">
      <w:pPr>
        <w:pStyle w:val="22"/>
        <w:jc w:val="both"/>
        <w:rPr>
          <w:rFonts w:hint="default"/>
          <w:lang w:val="en-US" w:eastAsia="zh-CN"/>
        </w:rPr>
      </w:pPr>
    </w:p>
    <w:p w14:paraId="22CD3DC2">
      <w:pPr>
        <w:pStyle w:val="21"/>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br w:type="page"/>
      </w:r>
    </w:p>
    <w:p w14:paraId="7FF5E5C3">
      <w:pPr>
        <w:rPr>
          <w:rFonts w:hint="eastAsia"/>
          <w:lang w:val="en-US" w:eastAsia="zh-CN"/>
        </w:rPr>
      </w:pPr>
    </w:p>
    <w:p w14:paraId="28624900">
      <w:pPr>
        <w:pStyle w:val="21"/>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7"/>
        <w:tblW w:w="7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tblGrid>
      <w:tr w14:paraId="74B0716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9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9E0CB90">
            <w:pPr>
              <w:pStyle w:val="1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4A50A28">
            <w:pPr>
              <w:pStyle w:val="1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项目</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37C3FB8">
            <w:pPr>
              <w:pStyle w:val="1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数量</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D78E54A">
            <w:pPr>
              <w:pStyle w:val="1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14:paraId="1CE676C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508FB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17944EF">
            <w:pPr>
              <w:keepNext w:val="0"/>
              <w:keepLines w:val="0"/>
              <w:widowControl/>
              <w:suppressLineNumbers w:val="0"/>
              <w:jc w:val="center"/>
              <w:textAlignment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娄底市中心医院人脸识别设备及系统</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3D717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6套</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9EAF0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3.58</w:t>
            </w:r>
          </w:p>
        </w:tc>
      </w:tr>
    </w:tbl>
    <w:p w14:paraId="737A1F41">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3、服务地点：娄底市中心医院、广州医科大学附属第一医院娄底医院。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14:paraId="0816804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针对前端选用市场一线品牌的摄像机，依照建设指引选配参数，协调多方现场完成选点和拍摄角度，保障前端监控的实用性。摄像机支持GB/T28181、GA/T1400协议，符合GB/T28181-2016、GB35114-A标准，敏感部位符合GB35114-C标准；支持人脸、人体、机动车、非机动车的检测、抓拍、识别，在人员密集场景应支持在同一个视频画面中检测、跟踪、抓拍≥30个运动人脸目标；防护等级≥IP66。提供PC端/移动端的应用软件，操作界面简洁明了，方便掌握操作，具备实时预览、分屏预览、录像回放、分级分权管理、事件告警推送等功能，同时提供区域入侵、人群聚集等AI智能事件选配功能，随时随地可查看监控画面，满足医院的安防需要。提供成熟、稳定、完善、通用的技术设备和系统，符合相关安全建设要求。具备系统升级能力和技术支持的能力，能够保证全天候长期稳定运行。</w:t>
      </w:r>
    </w:p>
    <w:p w14:paraId="7487242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2、视频云平台技术架构要求</w:t>
      </w:r>
    </w:p>
    <w:p w14:paraId="57DA14D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（1）平台运行环境为Linux操作系统；</w:t>
      </w:r>
    </w:p>
    <w:p w14:paraId="707F34C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（2）支持k8s监控管理运维，基于k8s的运维平台，方便管理容器、服务状态和搭建集群环境；</w:t>
      </w:r>
    </w:p>
    <w:p w14:paraId="369E334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（3）支持数据重建，故障恢复后自动检测，自动重建，自动切换；</w:t>
      </w:r>
    </w:p>
    <w:p w14:paraId="154BAE6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（4）系统采用B/S，支持 iOS/Android/PC端管理；</w:t>
      </w:r>
    </w:p>
    <w:p w14:paraId="39985C7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（5）支持数据库的主从部署；</w:t>
      </w:r>
    </w:p>
    <w:p w14:paraId="176B315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（6）支持双机热备容灾；</w:t>
      </w:r>
    </w:p>
    <w:p w14:paraId="015C6CC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7）支持平台改造或扩充时，不必修改程序和重新安装软件，只需要对新增设备进行配置；具有自愈能力，当意外掉电、网络故障等问题修复后，服务器自动恢复到故障发生前的状态继续运行；管理平台应支持配置的保存和恢复，具有快速故障恢复能力，设备掉电重启等故障不会导致系统出错和崩溃；</w:t>
      </w:r>
    </w:p>
    <w:p w14:paraId="7ED1E9C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（8）支持软硬件解耦，支持IaaS、PaaS、SaaS层分离，对上灵活对接各种行业应用，对下全兼容符合协议要求的前端设备。</w:t>
      </w:r>
    </w:p>
    <w:p w14:paraId="433585E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3、视频云平台应满足等级保护三级要求，在计算环境、管理中心、区域边界、网络结构等方面采取安全措施。</w:t>
      </w:r>
    </w:p>
    <w:p w14:paraId="54A6C1A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（1）主机安全：满足等保要求中对服务器漏洞的扫描评估要求（服务器和重要网络设备需要在上线前进行漏洞扫描评估，不应有中高级别以上的漏洞，例如Windows系统漏洞、 其他系统软件及端口漏洞等）;满足等保要求中关于入侵防范和恶意代码防范的要求；对操作系统进行加固处理，配置账户口令策略、日志审计策略、最小化服务、端口策略。</w:t>
      </w:r>
    </w:p>
    <w:p w14:paraId="544483F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（2）边界访问控制策略：利用防火墙，开启最小化访问控制策略，仅对DMZ区开放HTTPS、RDP服务，关闭其他通讯端口，开启防火墙特征库自动更新功能；启用入侵防御、抗DdoS检测/清洗功能。</w:t>
      </w:r>
    </w:p>
    <w:p w14:paraId="14480BA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启用审计：通过网络审计、数据库审计设备，以实现系统内设备的网络操作、数据库操作审计要求。将操作系统、应用软件、安全设备、网络设备的审计日志，发送到集中日志存储设备，满足等级保护集中日志保存180天以上的要求。</w:t>
      </w:r>
    </w:p>
    <w:p w14:paraId="17ED5DA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加密传输策略：以HTTPS协议对外提供访问服务，提供数据加密能力，加密应用层数据，提供账户认证加密功能,对申请者做严格的身份审核验证,提供高度可信身份证明,提供浏览器绿色地址栏。安全设备、网络设备进行加固处理，以HTTPS协议和SSH协议进行集中管理。</w:t>
      </w:r>
    </w:p>
    <w:p w14:paraId="1C25F80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5）堡垒机策略:通过运维审计堡垒机，以实现服务器、安全设备、网络设备的操作运维审计和账号权限管理，满足等保要求中安全审计的要求，满足等保要求中身份鉴别、访问控制和安全审计等要求。限制操作系统、网络设备、安全设备的登录源地址为堡垒机地址，另可设置一个备用登录源地址。</w:t>
      </w:r>
    </w:p>
    <w:p w14:paraId="20091C9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（6）防病毒、防入侵能力：通过Web应用防火墙、防病毒网关、入侵检测设备开启过滤检测能力，实现对网络病毒、入侵的监测过滤。病毒库设置自动升级至最新。</w:t>
      </w:r>
    </w:p>
    <w:p w14:paraId="1239407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（7）漏洞扫描策略：定期执行漏洞扫描策略，发现高中风险漏洞时，运维部门经过测试后安装补丁。</w:t>
      </w:r>
    </w:p>
    <w:p w14:paraId="002EA66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08BAD364">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5DB8EEF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64B32F7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货物采购合同</w:t>
      </w:r>
    </w:p>
    <w:p w14:paraId="63D241F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1A4046F1">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75C6563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法定代表人：杨吉军</w:t>
      </w:r>
    </w:p>
    <w:p w14:paraId="57FEC95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18C03950">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4EBDFD0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联系人：彭锋</w:t>
      </w:r>
    </w:p>
    <w:p w14:paraId="48F0DA4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联系电话：16673868995</w:t>
      </w:r>
    </w:p>
    <w:p w14:paraId="055C8B7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7B604651">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3E9F431D">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2AEF764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517687C0">
      <w:pPr>
        <w:keepNext w:val="0"/>
        <w:keepLines w:val="0"/>
        <w:pageBreakBefore w:val="0"/>
        <w:widowControl/>
        <w:tabs>
          <w:tab w:val="left" w:pos="3701"/>
        </w:tabs>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r>
        <w:rPr>
          <w:rFonts w:hint="eastAsia" w:ascii="宋体" w:hAnsi="宋体" w:eastAsia="宋体" w:cs="宋体"/>
          <w:color w:val="000000" w:themeColor="text1"/>
          <w:sz w:val="24"/>
          <w:szCs w:val="24"/>
          <w:highlight w:val="none"/>
          <w:lang w:val="en-US" w:eastAsia="zh-CN"/>
          <w14:textFill>
            <w14:solidFill>
              <w14:schemeClr w14:val="tx1"/>
            </w14:solidFill>
          </w14:textFill>
        </w:rPr>
        <w:tab/>
      </w:r>
    </w:p>
    <w:p w14:paraId="5C147E4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48406B9C">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4FEAB61F">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医院公开挂网方式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FF"/>
          <w:sz w:val="24"/>
          <w:szCs w:val="24"/>
          <w:highlight w:val="none"/>
          <w:u w:val="single"/>
          <w:lang w:val="en-US" w:eastAsia="zh-CN"/>
        </w:rPr>
        <w:t>人脸识别设备及系统</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FF"/>
          <w:sz w:val="24"/>
          <w:szCs w:val="24"/>
          <w:highlight w:val="none"/>
          <w:u w:val="single"/>
          <w:lang w:val="en-US" w:eastAsia="zh-CN"/>
        </w:rPr>
        <w:t>人脸识别设备及系统</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0E02339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w:t>
      </w:r>
    </w:p>
    <w:p w14:paraId="2502E9D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货物名称、品牌、型号、价格</w:t>
      </w:r>
    </w:p>
    <w:tbl>
      <w:tblPr>
        <w:tblStyle w:val="17"/>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14:paraId="518B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center"/>
          </w:tcPr>
          <w:p w14:paraId="22B6D57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货物</w:t>
            </w:r>
            <w:r>
              <w:rPr>
                <w:rFonts w:hint="eastAsia" w:ascii="宋体" w:hAnsi="宋体" w:eastAsia="宋体" w:cs="宋体"/>
                <w:color w:val="000000" w:themeColor="text1"/>
                <w:kern w:val="0"/>
                <w:sz w:val="24"/>
                <w:szCs w:val="24"/>
                <w:highlight w:val="none"/>
                <w14:textFill>
                  <w14:solidFill>
                    <w14:schemeClr w14:val="tx1"/>
                  </w14:solidFill>
                </w14:textFill>
              </w:rPr>
              <w:t>名称</w:t>
            </w:r>
          </w:p>
        </w:tc>
        <w:tc>
          <w:tcPr>
            <w:tcW w:w="1220" w:type="dxa"/>
            <w:noWrap w:val="0"/>
            <w:vAlign w:val="center"/>
          </w:tcPr>
          <w:p w14:paraId="227AEC0D">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品牌</w:t>
            </w:r>
          </w:p>
        </w:tc>
        <w:tc>
          <w:tcPr>
            <w:tcW w:w="1760" w:type="dxa"/>
            <w:noWrap w:val="0"/>
            <w:vAlign w:val="center"/>
          </w:tcPr>
          <w:p w14:paraId="1265E20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型号</w:t>
            </w:r>
          </w:p>
        </w:tc>
        <w:tc>
          <w:tcPr>
            <w:tcW w:w="1320" w:type="dxa"/>
            <w:noWrap w:val="0"/>
            <w:vAlign w:val="center"/>
          </w:tcPr>
          <w:p w14:paraId="4FE29D2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单价（元）</w:t>
            </w:r>
          </w:p>
        </w:tc>
        <w:tc>
          <w:tcPr>
            <w:tcW w:w="940" w:type="dxa"/>
            <w:noWrap w:val="0"/>
            <w:vAlign w:val="center"/>
          </w:tcPr>
          <w:p w14:paraId="1B9D804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数量</w:t>
            </w:r>
          </w:p>
        </w:tc>
        <w:tc>
          <w:tcPr>
            <w:tcW w:w="1654" w:type="dxa"/>
            <w:noWrap w:val="0"/>
            <w:vAlign w:val="center"/>
          </w:tcPr>
          <w:p w14:paraId="2364ABED">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金额（元）</w:t>
            </w:r>
          </w:p>
        </w:tc>
      </w:tr>
      <w:tr w14:paraId="29F6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center"/>
          </w:tcPr>
          <w:p w14:paraId="20302880">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FF"/>
                <w:kern w:val="0"/>
                <w:sz w:val="24"/>
                <w:szCs w:val="24"/>
                <w:highlight w:val="none"/>
                <w:lang w:val="en-US" w:eastAsia="zh-CN"/>
              </w:rPr>
              <w:t>人脸识别设备及系统</w:t>
            </w:r>
          </w:p>
        </w:tc>
        <w:tc>
          <w:tcPr>
            <w:tcW w:w="1220" w:type="dxa"/>
            <w:noWrap w:val="0"/>
            <w:vAlign w:val="center"/>
          </w:tcPr>
          <w:p w14:paraId="4405BB6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center"/>
          </w:tcPr>
          <w:p w14:paraId="0E16907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center"/>
          </w:tcPr>
          <w:p w14:paraId="0522795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center"/>
          </w:tcPr>
          <w:p w14:paraId="599346A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6套</w:t>
            </w:r>
          </w:p>
        </w:tc>
        <w:tc>
          <w:tcPr>
            <w:tcW w:w="1654" w:type="dxa"/>
            <w:noWrap w:val="0"/>
            <w:vAlign w:val="center"/>
          </w:tcPr>
          <w:p w14:paraId="21D4FEF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2E8C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center"/>
          </w:tcPr>
          <w:p w14:paraId="2306B8A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合计</w:t>
            </w:r>
            <w:r>
              <w:rPr>
                <w:rFonts w:hint="eastAsia" w:ascii="宋体" w:hAnsi="宋体" w:eastAsia="宋体" w:cs="宋体"/>
                <w:color w:val="000000" w:themeColor="text1"/>
                <w:kern w:val="0"/>
                <w:sz w:val="24"/>
                <w:szCs w:val="24"/>
                <w:highlight w:val="none"/>
                <w:lang w:eastAsia="zh-CN"/>
                <w14:textFill>
                  <w14:solidFill>
                    <w14:schemeClr w14:val="tx1"/>
                  </w14:solidFill>
                </w14:textFill>
              </w:rPr>
              <w:t>价款</w:t>
            </w:r>
            <w:r>
              <w:rPr>
                <w:rFonts w:hint="eastAsia" w:ascii="宋体" w:hAnsi="宋体" w:eastAsia="宋体" w:cs="宋体"/>
                <w:color w:val="000000" w:themeColor="text1"/>
                <w:kern w:val="0"/>
                <w:sz w:val="24"/>
                <w:szCs w:val="24"/>
                <w:highlight w:val="none"/>
                <w14:textFill>
                  <w14:solidFill>
                    <w14:schemeClr w14:val="tx1"/>
                  </w14:solidFill>
                </w14:textFill>
              </w:rPr>
              <w:t>金额人民币（大写）：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元</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highlight w:val="none"/>
                <w14:textFill>
                  <w14:solidFill>
                    <w14:schemeClr w14:val="tx1"/>
                  </w14:solidFill>
                </w14:textFill>
              </w:rPr>
              <w:t>（小写）：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元</w:t>
            </w:r>
          </w:p>
        </w:tc>
      </w:tr>
    </w:tbl>
    <w:p w14:paraId="4E260939">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 本合同约定价格为固定总价，不因物价、市场波动变更，约定价格包括且不限于所需设备、线路、联通费、设计费、材料费、人工费、安装费、包装费、运输费、装卸费、调试费、接口费、检测费、检验费、税费、保险费、售后服务费、</w:t>
      </w:r>
      <w:r>
        <w:rPr>
          <w:rFonts w:hint="eastAsia" w:ascii="宋体" w:hAnsi="宋体" w:eastAsia="宋体" w:cs="宋体"/>
          <w:color w:val="FF0000"/>
          <w:sz w:val="24"/>
          <w:szCs w:val="24"/>
          <w:highlight w:val="none"/>
          <w:lang w:val="en-US" w:eastAsia="zh-CN"/>
        </w:rPr>
        <w:t>三年</w:t>
      </w:r>
      <w:r>
        <w:rPr>
          <w:rFonts w:hint="eastAsia" w:ascii="宋体" w:hAnsi="宋体" w:cs="宋体"/>
          <w:color w:val="FF0000"/>
          <w:sz w:val="24"/>
          <w:szCs w:val="24"/>
          <w:highlight w:val="none"/>
          <w:lang w:val="en-US" w:eastAsia="zh-CN"/>
        </w:rPr>
        <w:t>网络租赁费</w:t>
      </w:r>
      <w:r>
        <w:rPr>
          <w:rFonts w:hint="eastAsia" w:ascii="宋体" w:hAnsi="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附随服务费等在内所有费用。 </w:t>
      </w:r>
    </w:p>
    <w:p w14:paraId="77374E40">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货物需要</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对接，因</w:t>
      </w:r>
      <w:r>
        <w:rPr>
          <w:rFonts w:hint="eastAsia" w:ascii="宋体" w:hAnsi="宋体" w:cs="宋体"/>
          <w:color w:val="000000" w:themeColor="text1"/>
          <w:sz w:val="24"/>
          <w:szCs w:val="24"/>
          <w:highlight w:val="none"/>
          <w14:textFill>
            <w14:solidFill>
              <w14:schemeClr w14:val="tx1"/>
            </w14:solidFill>
          </w14:textFill>
        </w:rPr>
        <w:t>对接产生的接口开发等</w:t>
      </w:r>
      <w:r>
        <w:rPr>
          <w:rFonts w:hint="eastAsia" w:ascii="宋体" w:hAnsi="宋体" w:cs="宋体"/>
          <w:color w:val="000000" w:themeColor="text1"/>
          <w:sz w:val="24"/>
          <w:szCs w:val="24"/>
          <w:highlight w:val="none"/>
          <w:lang w:eastAsia="zh-CN"/>
          <w14:textFill>
            <w14:solidFill>
              <w14:schemeClr w14:val="tx1"/>
            </w14:solidFill>
          </w14:textFill>
        </w:rPr>
        <w:t>乙方及第三方需要收取的</w:t>
      </w:r>
      <w:r>
        <w:rPr>
          <w:rFonts w:hint="eastAsia" w:ascii="宋体" w:hAnsi="宋体" w:cs="宋体"/>
          <w:color w:val="000000" w:themeColor="text1"/>
          <w:sz w:val="24"/>
          <w:szCs w:val="24"/>
          <w:highlight w:val="none"/>
          <w14:textFill>
            <w14:solidFill>
              <w14:schemeClr w14:val="tx1"/>
            </w14:solidFill>
          </w14:textFill>
        </w:rPr>
        <w:t>全部费用均由乙方承担。</w:t>
      </w:r>
    </w:p>
    <w:p w14:paraId="536AFF13">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1.4 每套人脸识别设备及系统均需连接公安指定平台，并接入甲方院内监控系统，</w:t>
      </w:r>
      <w:r>
        <w:rPr>
          <w:rFonts w:hint="eastAsia" w:ascii="宋体" w:hAnsi="宋体" w:cs="宋体"/>
          <w:color w:val="000000" w:themeColor="text1"/>
          <w:sz w:val="24"/>
          <w:szCs w:val="24"/>
          <w:highlight w:val="none"/>
          <w:lang w:eastAsia="zh-CN"/>
          <w14:textFill>
            <w14:solidFill>
              <w14:schemeClr w14:val="tx1"/>
            </w14:solidFill>
          </w14:textFill>
        </w:rPr>
        <w:t>因</w:t>
      </w:r>
      <w:r>
        <w:rPr>
          <w:rFonts w:hint="eastAsia" w:ascii="宋体" w:hAnsi="宋体" w:cs="宋体"/>
          <w:color w:val="000000" w:themeColor="text1"/>
          <w:sz w:val="24"/>
          <w:szCs w:val="24"/>
          <w:highlight w:val="none"/>
          <w14:textFill>
            <w14:solidFill>
              <w14:schemeClr w14:val="tx1"/>
            </w14:solidFill>
          </w14:textFill>
        </w:rPr>
        <w:t>对接产生的</w:t>
      </w:r>
      <w:r>
        <w:rPr>
          <w:rFonts w:hint="eastAsia" w:ascii="宋体" w:hAnsi="宋体" w:cs="宋体"/>
          <w:color w:val="000000" w:themeColor="text1"/>
          <w:sz w:val="24"/>
          <w:szCs w:val="24"/>
          <w:highlight w:val="none"/>
          <w:lang w:val="en-US" w:eastAsia="zh-CN"/>
          <w14:textFill>
            <w14:solidFill>
              <w14:schemeClr w14:val="tx1"/>
            </w14:solidFill>
          </w14:textFill>
        </w:rPr>
        <w:t>接入费用</w:t>
      </w:r>
      <w:r>
        <w:rPr>
          <w:rFonts w:hint="eastAsia" w:ascii="宋体" w:hAnsi="宋体" w:cs="宋体"/>
          <w:color w:val="0000FF"/>
          <w:sz w:val="24"/>
          <w:szCs w:val="24"/>
          <w:highlight w:val="none"/>
          <w:lang w:val="en-US" w:eastAsia="zh-CN"/>
        </w:rPr>
        <w:t>及三年网络租赁费用</w:t>
      </w:r>
      <w:r>
        <w:rPr>
          <w:rFonts w:hint="eastAsia" w:ascii="宋体" w:hAnsi="宋体" w:cs="宋体"/>
          <w:color w:val="000000" w:themeColor="text1"/>
          <w:sz w:val="24"/>
          <w:szCs w:val="24"/>
          <w:highlight w:val="none"/>
          <w:lang w:val="en-US" w:eastAsia="zh-CN"/>
          <w14:textFill>
            <w14:solidFill>
              <w14:schemeClr w14:val="tx1"/>
            </w14:solidFill>
          </w14:textFill>
        </w:rPr>
        <w:t>均由乙方承担。</w:t>
      </w:r>
      <w:r>
        <w:rPr>
          <w:rFonts w:hint="eastAsia" w:ascii="宋体" w:hAnsi="宋体" w:cs="宋体"/>
          <w:color w:val="0000FF"/>
          <w:sz w:val="24"/>
          <w:szCs w:val="24"/>
          <w:highlight w:val="none"/>
          <w:lang w:val="en-US" w:eastAsia="zh-CN"/>
        </w:rPr>
        <w:t>网络租赁期限自人脸识别系统接入公安指定平台、甲方监控系统并正式开通之日起算。</w:t>
      </w:r>
    </w:p>
    <w:p w14:paraId="789C37C4">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1.5 乙方为甲方提供人脸识别设备及系统服务，具体系统要求见附件。超出附件文档范围的需求，甲乙双方进行充分协商后另行签订补充协议。</w:t>
      </w:r>
    </w:p>
    <w:p w14:paraId="0A499978">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7DDC421C">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w:t>
      </w:r>
    </w:p>
    <w:p w14:paraId="637445BF">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本合同货物</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要求一次性交付，</w:t>
      </w:r>
      <w:r>
        <w:rPr>
          <w:rFonts w:hint="default" w:ascii="宋体" w:hAnsi="宋体" w:eastAsia="宋体" w:cs="宋体"/>
          <w:color w:val="000000" w:themeColor="text1"/>
          <w:sz w:val="24"/>
          <w:szCs w:val="24"/>
          <w:highlight w:val="none"/>
          <w:lang w:val="en-US" w:eastAsia="zh-CN"/>
          <w14:textFill>
            <w14:solidFill>
              <w14:schemeClr w14:val="tx1"/>
            </w14:solidFill>
          </w14:textFill>
        </w:rPr>
        <w:t>乙方应在</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自接到甲方通知之日起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default" w:ascii="宋体" w:hAnsi="宋体" w:eastAsia="宋体" w:cs="宋体"/>
          <w:color w:val="000000" w:themeColor="text1"/>
          <w:sz w:val="24"/>
          <w:szCs w:val="24"/>
          <w:highlight w:val="none"/>
          <w:lang w:val="en-US" w:eastAsia="zh-CN"/>
          <w14:textFill>
            <w14:solidFill>
              <w14:schemeClr w14:val="tx1"/>
            </w14:solidFill>
          </w14:textFill>
        </w:rPr>
        <w:t>将</w:t>
      </w:r>
      <w:r>
        <w:rPr>
          <w:rFonts w:hint="eastAsia" w:ascii="宋体" w:hAnsi="宋体" w:eastAsia="宋体" w:cs="宋体"/>
          <w:color w:val="000000" w:themeColor="text1"/>
          <w:sz w:val="24"/>
          <w:szCs w:val="24"/>
          <w:highlight w:val="none"/>
          <w:lang w:val="en-US" w:eastAsia="zh-CN"/>
          <w14:textFill>
            <w14:solidFill>
              <w14:schemeClr w14:val="tx1"/>
            </w14:solidFill>
          </w14:textFill>
        </w:rPr>
        <w:t>全部货物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甲方指定交货</w:t>
      </w:r>
      <w:r>
        <w:rPr>
          <w:rFonts w:hint="default" w:ascii="宋体" w:hAnsi="宋体" w:eastAsia="宋体" w:cs="宋体"/>
          <w:color w:val="000000" w:themeColor="text1"/>
          <w:sz w:val="24"/>
          <w:szCs w:val="24"/>
          <w:highlight w:val="none"/>
          <w:lang w:val="en-US" w:eastAsia="zh-CN"/>
          <w14:textFill>
            <w14:solidFill>
              <w14:schemeClr w14:val="tx1"/>
            </w14:solidFill>
          </w14:textFill>
        </w:rPr>
        <w:t>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通过验收并交付甲方使用。</w:t>
      </w:r>
    </w:p>
    <w:p w14:paraId="05F6D9E0">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娄底市中心医院。 </w:t>
      </w:r>
    </w:p>
    <w:p w14:paraId="13A94C71">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运至合同约定地点，并负责</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529A9660">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4984BF71">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11CB56E1">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质量验收：以本合同约定标准按以下方式进行验收：</w:t>
      </w:r>
    </w:p>
    <w:p w14:paraId="7032B5DA">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w:t>
      </w:r>
      <w:r>
        <w:rPr>
          <w:rFonts w:hint="eastAsia" w:ascii="宋体" w:hAnsi="宋体" w:eastAsia="宋体" w:cs="宋体"/>
          <w:color w:val="FF0000"/>
          <w:sz w:val="24"/>
          <w:szCs w:val="24"/>
          <w:highlight w:val="none"/>
          <w:lang w:val="en-US" w:eastAsia="zh-CN"/>
        </w:rPr>
        <w:t>验收</w:t>
      </w:r>
      <w:r>
        <w:rPr>
          <w:rFonts w:hint="eastAsia" w:ascii="宋体" w:hAnsi="宋体" w:eastAsia="宋体" w:cs="宋体"/>
          <w:color w:val="000000" w:themeColor="text1"/>
          <w:sz w:val="24"/>
          <w:szCs w:val="24"/>
          <w:highlight w:val="none"/>
          <w:lang w:val="en-US" w:eastAsia="zh-CN"/>
          <w14:textFill>
            <w14:solidFill>
              <w14:schemeClr w14:val="tx1"/>
            </w14:solidFill>
          </w14:textFill>
        </w:rPr>
        <w:t>，验收合格后签署</w:t>
      </w:r>
      <w:r>
        <w:rPr>
          <w:rFonts w:hint="eastAsia" w:ascii="宋体" w:hAnsi="宋体" w:eastAsia="宋体" w:cs="宋体"/>
          <w:color w:val="FF0000"/>
          <w:sz w:val="24"/>
          <w:szCs w:val="24"/>
          <w:highlight w:val="none"/>
          <w:lang w:val="en-US" w:eastAsia="zh-CN"/>
        </w:rPr>
        <w:t>验收</w:t>
      </w:r>
      <w:r>
        <w:rPr>
          <w:rFonts w:hint="eastAsia" w:ascii="宋体" w:hAnsi="宋体" w:eastAsia="宋体" w:cs="宋体"/>
          <w:color w:val="000000" w:themeColor="text1"/>
          <w:sz w:val="24"/>
          <w:szCs w:val="24"/>
          <w:highlight w:val="none"/>
          <w:lang w:val="en-US" w:eastAsia="zh-CN"/>
          <w14:textFill>
            <w14:solidFill>
              <w14:schemeClr w14:val="tx1"/>
            </w14:solidFill>
          </w14:textFill>
        </w:rPr>
        <w:t>报告单。如经甲方验收不合格，乙方应在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14:paraId="1CABBC7F">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5EBD0CC1">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6B9B51BE">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31A9C00B">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2987C659">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 甲方委派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彭锋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3C80A345">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0C4A60B1">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7AF0357C">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2DB0FD2E">
      <w:pPr>
        <w:keepNext w:val="0"/>
        <w:keepLines w:val="0"/>
        <w:pageBreakBefore w:val="0"/>
        <w:widowControl w:val="0"/>
        <w:numPr>
          <w:ilvl w:val="-1"/>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本合同货物质保期为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叁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年，自甲方在验收报告单上签字确认合格之日起开始计算。</w:t>
      </w:r>
    </w:p>
    <w:p w14:paraId="663756BE">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 质保期内乙方免费提供维修、更换服务。</w:t>
      </w:r>
    </w:p>
    <w:p w14:paraId="3FA02577">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5.2.1 如货物在</w:t>
      </w:r>
      <w:r>
        <w:rPr>
          <w:rFonts w:hint="eastAsia" w:ascii="宋体" w:hAnsi="宋体" w:eastAsia="宋体" w:cs="宋体"/>
          <w:color w:val="000000" w:themeColor="text1"/>
          <w:sz w:val="24"/>
          <w:highlight w:val="none"/>
          <w14:textFill>
            <w14:solidFill>
              <w14:schemeClr w14:val="tx1"/>
            </w14:solidFill>
          </w14:textFill>
        </w:rPr>
        <w:t>质</w:t>
      </w:r>
      <w:r>
        <w:rPr>
          <w:rFonts w:hint="eastAsia" w:ascii="宋体" w:hAnsi="宋体" w:eastAsia="宋体" w:cs="宋体"/>
          <w:color w:val="000000" w:themeColor="text1"/>
          <w:sz w:val="24"/>
          <w:szCs w:val="24"/>
          <w:highlight w:val="none"/>
          <w:lang w:val="en-US" w:eastAsia="zh-CN"/>
          <w14:textFill>
            <w14:solidFill>
              <w14:schemeClr w14:val="tx1"/>
            </w14:solidFill>
          </w14:textFill>
        </w:rPr>
        <w:t>保期内出现质量问题，乙方应在接到甲方通知（包括电话通知）后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4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小时内赶到甲方进行维修或更换全新合格货物，相关费用由乙方承担。</w:t>
      </w:r>
    </w:p>
    <w:p w14:paraId="2A2DB9EF">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10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eastAsia" w:ascii="宋体" w:hAnsi="宋体" w:eastAsia="宋体" w:cs="宋体"/>
          <w:color w:val="000000" w:themeColor="text1"/>
          <w:sz w:val="24"/>
          <w:szCs w:val="24"/>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266F1169">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18712815">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质保期届满后，如货物出现问题，乙方应在接到甲方通知（包括电话通知）后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小时上门服务，相关费用由甲方承担。</w:t>
      </w:r>
    </w:p>
    <w:p w14:paraId="2ACCBA44">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 </w:t>
      </w:r>
      <w:r>
        <w:rPr>
          <w:rFonts w:hint="eastAsia" w:ascii="宋体" w:hAnsi="宋体" w:eastAsia="宋体" w:cs="宋体"/>
          <w:color w:val="000000" w:themeColor="text1"/>
          <w:sz w:val="24"/>
          <w:szCs w:val="24"/>
          <w:highlight w:val="none"/>
          <w14:textFill>
            <w14:solidFill>
              <w14:schemeClr w14:val="tx1"/>
            </w14:solidFill>
          </w14:textFill>
        </w:rPr>
        <w:t>乙方须指派</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专门负责与甲方联系售后服务事宜，如人员发生变动，应及时通知甲方。</w:t>
      </w:r>
    </w:p>
    <w:p w14:paraId="25EF065E">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第六条 付款时间、方式</w:t>
      </w:r>
    </w:p>
    <w:p w14:paraId="2A1D3773">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 甲方通过银行转账方式向乙方指定银行账户支付款项：甲方在全部货物验收合格之日起4个月内，向乙方支付</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合同约定总价款</w:t>
      </w:r>
      <w:r>
        <w:rPr>
          <w:rFonts w:hint="eastAsia" w:ascii="宋体" w:hAnsi="宋体" w:eastAsia="宋体" w:cs="宋体"/>
          <w:color w:val="000000" w:themeColor="text1"/>
          <w:sz w:val="24"/>
          <w:szCs w:val="24"/>
          <w:highlight w:val="none"/>
          <w:lang w:val="en-US" w:eastAsia="zh-CN"/>
          <w14:textFill>
            <w14:solidFill>
              <w14:schemeClr w14:val="tx1"/>
            </w14:solidFill>
          </w14:textFill>
        </w:rPr>
        <w:t>的90%即</w:t>
      </w:r>
      <w:r>
        <w:rPr>
          <w:rFonts w:hint="eastAsia" w:ascii="宋体" w:hAnsi="宋体" w:eastAsia="宋体" w:cs="宋体"/>
          <w:color w:val="FF0000"/>
          <w:sz w:val="24"/>
          <w:szCs w:val="24"/>
          <w:highlight w:val="none"/>
          <w:u w:val="single"/>
          <w:lang w:val="en-US" w:eastAsia="zh-CN"/>
        </w:rPr>
        <w:t xml:space="preserve">    </w:t>
      </w:r>
      <w:r>
        <w:rPr>
          <w:rFonts w:hint="eastAsia" w:ascii="宋体" w:hAnsi="宋体" w:eastAsia="宋体" w:cs="宋体"/>
          <w:color w:val="FF0000"/>
          <w:sz w:val="24"/>
          <w:szCs w:val="24"/>
          <w:highlight w:val="none"/>
          <w:u w:val="none"/>
          <w:lang w:val="en-US" w:eastAsia="zh-CN"/>
        </w:rPr>
        <w:t>元</w:t>
      </w:r>
      <w:r>
        <w:rPr>
          <w:rFonts w:hint="eastAsia" w:ascii="宋体" w:hAnsi="宋体" w:eastAsia="宋体" w:cs="宋体"/>
          <w:color w:val="000000" w:themeColor="text1"/>
          <w:sz w:val="24"/>
          <w:szCs w:val="24"/>
          <w:highlight w:val="none"/>
          <w:lang w:val="en-US" w:eastAsia="zh-CN"/>
          <w14:textFill>
            <w14:solidFill>
              <w14:schemeClr w14:val="tx1"/>
            </w14:solidFill>
          </w14:textFill>
        </w:rPr>
        <w:t>；余款10%即</w:t>
      </w:r>
      <w:r>
        <w:rPr>
          <w:rFonts w:hint="eastAsia" w:ascii="宋体" w:hAnsi="宋体" w:eastAsia="宋体" w:cs="宋体"/>
          <w:color w:val="FF0000"/>
          <w:sz w:val="24"/>
          <w:szCs w:val="24"/>
          <w:highlight w:val="none"/>
          <w:u w:val="single"/>
          <w:lang w:val="en-US" w:eastAsia="zh-CN"/>
        </w:rPr>
        <w:t xml:space="preserve">   </w:t>
      </w:r>
      <w:r>
        <w:rPr>
          <w:rFonts w:hint="eastAsia" w:ascii="宋体" w:hAnsi="宋体" w:eastAsia="宋体" w:cs="宋体"/>
          <w:color w:val="FF0000"/>
          <w:sz w:val="24"/>
          <w:szCs w:val="24"/>
          <w:highlight w:val="none"/>
          <w:u w:val="none"/>
          <w:lang w:val="en-US" w:eastAsia="zh-CN"/>
        </w:rPr>
        <w:t xml:space="preserve">元 </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，甲方在全部货物质保期届满且不存在需被扣除情形之日起10个工作日内，免息支付给乙方。</w:t>
      </w:r>
    </w:p>
    <w:p w14:paraId="3F7EFE9A">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color w:val="000000" w:themeColor="text1"/>
          <w:sz w:val="28"/>
          <w:szCs w:val="28"/>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6.2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4510510B">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6.3 乙方应在甲方首次付款前，向甲方提供以乙方自己名义开具的</w:t>
      </w:r>
      <w:r>
        <w:rPr>
          <w:rFonts w:hint="eastAsia" w:ascii="宋体" w:hAnsi="宋体" w:eastAsia="宋体" w:cs="宋体"/>
          <w:color w:val="FF0000"/>
          <w:sz w:val="24"/>
          <w:szCs w:val="24"/>
          <w:highlight w:val="none"/>
          <w:lang w:val="en-US" w:eastAsia="zh-CN"/>
        </w:rPr>
        <w:t>价税合计金额</w:t>
      </w:r>
      <w:r>
        <w:rPr>
          <w:rFonts w:hint="eastAsia" w:ascii="宋体" w:hAnsi="宋体" w:eastAsia="宋体" w:cs="宋体"/>
          <w:color w:val="000000" w:themeColor="text1"/>
          <w:sz w:val="24"/>
          <w:szCs w:val="24"/>
          <w:highlight w:val="none"/>
          <w:lang w:val="en-US" w:eastAsia="zh-CN"/>
          <w14:textFill>
            <w14:solidFill>
              <w14:schemeClr w14:val="tx1"/>
            </w14:solidFill>
          </w14:textFill>
        </w:rPr>
        <w:t>与</w:t>
      </w:r>
      <w:r>
        <w:rPr>
          <w:rFonts w:hint="eastAsia" w:ascii="宋体" w:hAnsi="宋体" w:eastAsia="宋体" w:cs="宋体"/>
          <w:color w:val="FF0000"/>
          <w:sz w:val="24"/>
          <w:szCs w:val="24"/>
          <w:highlight w:val="none"/>
          <w:lang w:val="en-US" w:eastAsia="zh-CN"/>
        </w:rPr>
        <w:t>本合同约定总价款金额等额</w:t>
      </w:r>
      <w:r>
        <w:rPr>
          <w:rFonts w:hint="eastAsia" w:ascii="宋体" w:hAnsi="宋体" w:eastAsia="宋体" w:cs="宋体"/>
          <w:color w:val="000000" w:themeColor="text1"/>
          <w:sz w:val="24"/>
          <w:szCs w:val="24"/>
          <w:highlight w:val="none"/>
          <w:lang w:val="en-US" w:eastAsia="zh-CN"/>
          <w14:textFill>
            <w14:solidFill>
              <w14:schemeClr w14:val="tx1"/>
            </w14:solidFill>
          </w14:textFill>
        </w:rPr>
        <w:t>的增值税普通发票；如乙方未按前述约定提供发票，甲方有权顺延付款且不视为逾期付款，由此产生的责任均由乙方自行承担。</w:t>
      </w:r>
    </w:p>
    <w:p w14:paraId="5E5682A4">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第七条 风险承担</w:t>
      </w:r>
    </w:p>
    <w:p w14:paraId="51D20E8C">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4586E1C0">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58E017CC">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452A13DB">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廉洁条款</w:t>
      </w:r>
    </w:p>
    <w:p w14:paraId="04857978">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57AEE1E8">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8.2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32887695">
      <w:pPr>
        <w:pStyle w:val="2"/>
        <w:rPr>
          <w:rFonts w:hint="eastAsia"/>
        </w:rPr>
      </w:pPr>
    </w:p>
    <w:p w14:paraId="3ECF8CFC">
      <w:pPr>
        <w:keepNext w:val="0"/>
        <w:keepLines w:val="0"/>
        <w:pageBreakBefore w:val="0"/>
        <w:widowControl w:val="0"/>
        <w:kinsoku/>
        <w:wordWrap w:val="0"/>
        <w:overflowPunct/>
        <w:topLinePunct/>
        <w:autoSpaceDE/>
        <w:autoSpaceDN/>
        <w:bidi w:val="0"/>
        <w:adjustRightInd/>
        <w:snapToGrid/>
        <w:spacing w:line="48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第九条 保密条款</w:t>
      </w:r>
    </w:p>
    <w:p w14:paraId="3FE486BF">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031100EF">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乙方应对保密信息应当采取有效手段严格保密，不得用于非本合同之目的或向第三方泄露。如政府部门、法院或其他有权部门要求乙方提供保密信息，乙方应当立即向甲方通报。</w:t>
      </w:r>
    </w:p>
    <w:p w14:paraId="1200D33B">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因乙方未履行本合同保密义务造成甲方或第三方损失的，由乙方承担全部赔偿责任。</w:t>
      </w:r>
    </w:p>
    <w:p w14:paraId="1DDBDA28">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本合同保密条款在合同被认定无效、被撤销或终止、解除后仍然有效。</w:t>
      </w:r>
    </w:p>
    <w:p w14:paraId="1B48F160">
      <w:pPr>
        <w:keepNext w:val="0"/>
        <w:keepLines w:val="0"/>
        <w:pageBreakBefore w:val="0"/>
        <w:widowControl w:val="0"/>
        <w:kinsoku/>
        <w:wordWrap w:val="0"/>
        <w:overflowPunct/>
        <w:topLinePunct/>
        <w:autoSpaceDE/>
        <w:autoSpaceDN/>
        <w:bidi w:val="0"/>
        <w:adjustRightInd/>
        <w:snapToGrid/>
        <w:spacing w:line="48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31413304">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22B0C0C7">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78B2B8A1">
      <w:pPr>
        <w:keepNext w:val="0"/>
        <w:keepLines w:val="0"/>
        <w:pageBreakBefore w:val="0"/>
        <w:widowControl w:val="0"/>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eastAsia" w:ascii="宋体" w:hAnsi="宋体" w:eastAsia="宋体" w:cs="宋体"/>
          <w:b w:val="0"/>
          <w:bCs w:val="0"/>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4"/>
          <w:u w:val="single"/>
          <w:lang w:val="en-US" w:eastAsia="zh-CN"/>
          <w14:textFill>
            <w14:solidFill>
              <w14:schemeClr w14:val="tx1"/>
            </w14:solidFill>
          </w14:textFill>
        </w:rPr>
        <w:t>娄底市娄星区长青中街51号</w:t>
      </w:r>
      <w:r>
        <w:rPr>
          <w:rFonts w:hint="eastAsia" w:ascii="宋体" w:hAnsi="宋体" w:eastAsia="宋体" w:cs="宋体"/>
          <w:color w:val="000000" w:themeColor="text1"/>
          <w:sz w:val="24"/>
          <w:szCs w:val="24"/>
          <w:lang w:val="en-US" w:eastAsia="zh-CN"/>
          <w14:textFill>
            <w14:solidFill>
              <w14:schemeClr w14:val="tx1"/>
            </w14:solidFill>
          </w14:textFill>
        </w:rPr>
        <w:t>，收件人：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董</w:t>
      </w:r>
      <w:r>
        <w:rPr>
          <w:rFonts w:hint="eastAsia" w:ascii="宋体" w:hAnsi="宋体" w:eastAsia="宋体" w:cs="宋体"/>
          <w:b w:val="0"/>
          <w:bCs w:val="0"/>
          <w:color w:val="000000" w:themeColor="text1"/>
          <w:kern w:val="0"/>
          <w:sz w:val="24"/>
          <w:szCs w:val="24"/>
          <w:u w:val="single"/>
          <w:lang w:val="en-US" w:eastAsia="zh-CN"/>
          <w14:textFill>
            <w14:solidFill>
              <w14:schemeClr w14:val="tx1"/>
            </w14:solidFill>
          </w14:textFill>
        </w:rPr>
        <w:t>昉</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15973879275</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u w:val="none"/>
          <w:lang w:val="en-US" w:eastAsia="zh-CN"/>
          <w14:textFill>
            <w14:solidFill>
              <w14:schemeClr w14:val="tx1"/>
            </w14:solidFill>
          </w14:textFill>
        </w:rPr>
        <w:t>微信号：</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df22028581 </w:t>
      </w:r>
      <w:r>
        <w:rPr>
          <w:rFonts w:hint="eastAsia" w:ascii="宋体" w:hAnsi="宋体" w:eastAsia="宋体" w:cs="宋体"/>
          <w:color w:val="000000" w:themeColor="text1"/>
          <w:sz w:val="24"/>
          <w:szCs w:val="24"/>
          <w:u w:val="none"/>
          <w:lang w:val="en-US" w:eastAsia="zh-CN"/>
          <w14:textFill>
            <w14:solidFill>
              <w14:schemeClr w14:val="tx1"/>
            </w14:solidFill>
          </w14:textFill>
        </w:rPr>
        <w:t>，电子邮箱：</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fldChar w:fldCharType="begin"/>
      </w:r>
      <w:r>
        <w:rPr>
          <w:rFonts w:hint="eastAsia" w:ascii="宋体" w:hAnsi="宋体" w:eastAsia="宋体" w:cs="宋体"/>
          <w:color w:val="000000" w:themeColor="text1"/>
          <w:sz w:val="24"/>
          <w:szCs w:val="24"/>
          <w:u w:val="single"/>
          <w:lang w:val="en-US" w:eastAsia="zh-CN"/>
          <w14:textFill>
            <w14:solidFill>
              <w14:schemeClr w14:val="tx1"/>
            </w14:solidFill>
          </w14:textFill>
        </w:rPr>
        <w:instrText xml:space="preserve"> HYPERLINK "mailto:22028581@qq.com" </w:instrText>
      </w:r>
      <w:r>
        <w:rPr>
          <w:rFonts w:hint="eastAsia" w:ascii="宋体" w:hAnsi="宋体" w:eastAsia="宋体" w:cs="宋体"/>
          <w:color w:val="000000" w:themeColor="text1"/>
          <w:sz w:val="24"/>
          <w:szCs w:val="24"/>
          <w:u w:val="single"/>
          <w:lang w:val="en-US" w:eastAsia="zh-CN"/>
          <w14:textFill>
            <w14:solidFill>
              <w14:schemeClr w14:val="tx1"/>
            </w14:solidFill>
          </w14:textFill>
        </w:rPr>
        <w:fldChar w:fldCharType="separate"/>
      </w:r>
      <w:r>
        <w:rPr>
          <w:rFonts w:hint="eastAsia" w:ascii="宋体" w:hAnsi="宋体" w:eastAsia="宋体" w:cs="宋体"/>
          <w:color w:val="000000" w:themeColor="text1"/>
          <w:sz w:val="24"/>
          <w:szCs w:val="24"/>
          <w:u w:val="single"/>
          <w:lang w:val="en-US" w:eastAsia="zh-CN"/>
          <w14:textFill>
            <w14:solidFill>
              <w14:schemeClr w14:val="tx1"/>
            </w14:solidFill>
          </w14:textFill>
        </w:rPr>
        <w:t>22028581@qq.com</w:t>
      </w:r>
      <w:r>
        <w:rPr>
          <w:rFonts w:hint="eastAsia" w:ascii="宋体" w:hAnsi="宋体" w:eastAsia="宋体" w:cs="宋体"/>
          <w:color w:val="000000" w:themeColor="text1"/>
          <w:sz w:val="24"/>
          <w:szCs w:val="24"/>
          <w:u w:val="single"/>
          <w:lang w:val="en-US" w:eastAsia="zh-CN"/>
          <w14:textFill>
            <w14:solidFill>
              <w14:schemeClr w14:val="tx1"/>
            </w14:solidFill>
          </w14:textFill>
        </w:rPr>
        <w:fldChar w:fldCharType="end"/>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p>
    <w:p w14:paraId="2B53326C">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3147729A">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12675C76">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2D4D7FB8">
      <w:pPr>
        <w:keepNext w:val="0"/>
        <w:keepLines w:val="0"/>
        <w:pageBreakBefore w:val="0"/>
        <w:widowControl w:val="0"/>
        <w:kinsoku/>
        <w:wordWrap w:val="0"/>
        <w:overflowPunct/>
        <w:topLinePunct/>
        <w:autoSpaceDE/>
        <w:autoSpaceDN/>
        <w:bidi w:val="0"/>
        <w:adjustRightInd/>
        <w:snapToGrid/>
        <w:spacing w:line="48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一</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3B3A5A50">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11.1 本合同经双方协商一致后可以变更，双方应另行签订补充协议。</w:t>
      </w:r>
    </w:p>
    <w:p w14:paraId="73A5E91A">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2C25C715">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11.3 </w:t>
      </w:r>
      <w:r>
        <w:rPr>
          <w:rFonts w:hint="eastAsia" w:ascii="宋体" w:hAnsi="宋体" w:eastAsia="宋体" w:cs="宋体"/>
          <w:color w:val="000000" w:themeColor="text1"/>
          <w:sz w:val="24"/>
          <w:highlight w:val="none"/>
          <w14:textFill>
            <w14:solidFill>
              <w14:schemeClr w14:val="tx1"/>
            </w14:solidFill>
          </w14:textFill>
        </w:rPr>
        <w:t>乙方出现以下违约情形之一的，甲方有权拒绝支付任何价款并解除合同：</w:t>
      </w:r>
    </w:p>
    <w:p w14:paraId="54AD956A">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.1 乙方逾期</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10 </w:t>
      </w:r>
      <w:r>
        <w:rPr>
          <w:rFonts w:hint="eastAsia" w:ascii="宋体" w:hAnsi="宋体" w:eastAsia="宋体" w:cs="宋体"/>
          <w:color w:val="000000" w:themeColor="text1"/>
          <w:sz w:val="24"/>
          <w:highlight w:val="none"/>
          <w14:textFill>
            <w14:solidFill>
              <w14:schemeClr w14:val="tx1"/>
            </w14:solidFill>
          </w14:textFill>
        </w:rPr>
        <w:t>日仍不能供货；</w:t>
      </w:r>
    </w:p>
    <w:p w14:paraId="5E7F4585">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.2 乙方提供的</w:t>
      </w:r>
      <w:r>
        <w:rPr>
          <w:rFonts w:hint="eastAsia" w:ascii="宋体" w:hAnsi="宋体" w:eastAsia="宋体" w:cs="宋体"/>
          <w:color w:val="000000" w:themeColor="text1"/>
          <w:sz w:val="24"/>
          <w:highlight w:val="none"/>
          <w:lang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质量不符合国家标准、本合同标准或</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响应文件约定标准；</w:t>
      </w:r>
    </w:p>
    <w:p w14:paraId="3858A1DD">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.3 乙方将</w:t>
      </w:r>
      <w:r>
        <w:rPr>
          <w:rFonts w:hint="eastAsia" w:ascii="宋体" w:hAnsi="宋体" w:eastAsia="宋体" w:cs="宋体"/>
          <w:color w:val="000000" w:themeColor="text1"/>
          <w:sz w:val="24"/>
          <w:highlight w:val="none"/>
          <w:lang w:val="en-US" w:eastAsia="zh-CN"/>
          <w14:textFill>
            <w14:solidFill>
              <w14:schemeClr w14:val="tx1"/>
            </w14:solidFill>
          </w14:textFill>
        </w:rPr>
        <w:t>本合同权利义务全部或部分转让给</w:t>
      </w:r>
      <w:r>
        <w:rPr>
          <w:rFonts w:hint="eastAsia" w:ascii="宋体" w:hAnsi="宋体" w:eastAsia="宋体" w:cs="宋体"/>
          <w:color w:val="000000" w:themeColor="text1"/>
          <w:sz w:val="24"/>
          <w:highlight w:val="none"/>
          <w14:textFill>
            <w14:solidFill>
              <w14:schemeClr w14:val="tx1"/>
            </w14:solidFill>
          </w14:textFill>
        </w:rPr>
        <w:t>第三方；</w:t>
      </w:r>
    </w:p>
    <w:p w14:paraId="3F51E67B">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.4 其他根本违约的情形。</w:t>
      </w:r>
    </w:p>
    <w:p w14:paraId="3202CDB6">
      <w:pPr>
        <w:keepNext w:val="0"/>
        <w:keepLines w:val="0"/>
        <w:pageBreakBefore w:val="0"/>
        <w:widowControl w:val="0"/>
        <w:kinsoku/>
        <w:wordWrap w:val="0"/>
        <w:overflowPunct/>
        <w:topLinePunct/>
        <w:autoSpaceDE/>
        <w:autoSpaceDN/>
        <w:bidi w:val="0"/>
        <w:adjustRightInd/>
        <w:snapToGrid/>
        <w:spacing w:line="48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二</w:t>
      </w:r>
      <w:r>
        <w:rPr>
          <w:rFonts w:hint="eastAsia" w:ascii="宋体" w:hAnsi="宋体" w:eastAsia="宋体" w:cs="宋体"/>
          <w:b/>
          <w:bCs/>
          <w:color w:val="000000" w:themeColor="text1"/>
          <w:sz w:val="24"/>
          <w:highlight w:val="none"/>
          <w14:textFill>
            <w14:solidFill>
              <w14:schemeClr w14:val="tx1"/>
            </w14:solidFill>
          </w14:textFill>
        </w:rPr>
        <w:t>条 违约责任</w:t>
      </w:r>
    </w:p>
    <w:p w14:paraId="5A0EA8EC">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 xml:space="preserve">.1 </w:t>
      </w:r>
      <w:r>
        <w:rPr>
          <w:rFonts w:hint="eastAsia" w:ascii="宋体" w:hAnsi="宋体" w:eastAsia="宋体" w:cs="宋体"/>
          <w:color w:val="000000" w:themeColor="text1"/>
          <w:sz w:val="24"/>
          <w:highlight w:val="none"/>
          <w:lang w:eastAsia="zh-CN"/>
          <w14:textFill>
            <w14:solidFill>
              <w14:schemeClr w14:val="tx1"/>
            </w14:solidFill>
          </w14:textFill>
        </w:rPr>
        <w:t>甲方因</w:t>
      </w:r>
      <w:r>
        <w:rPr>
          <w:rFonts w:hint="eastAsia" w:ascii="宋体" w:hAnsi="宋体" w:eastAsia="宋体" w:cs="宋体"/>
          <w:color w:val="000000" w:themeColor="text1"/>
          <w:sz w:val="24"/>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463B3D0E">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.2 如乙方未在本合同约定时间内将验收合格的</w:t>
      </w:r>
      <w:r>
        <w:rPr>
          <w:rFonts w:hint="eastAsia" w:ascii="宋体" w:hAnsi="宋体" w:eastAsia="宋体" w:cs="宋体"/>
          <w:color w:val="000000" w:themeColor="text1"/>
          <w:sz w:val="24"/>
          <w:highlight w:val="none"/>
          <w:lang w:val="en-US"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交付给甲方使用，除应赔偿甲方因此造成的损失外，每逾期一日，按</w:t>
      </w:r>
      <w:r>
        <w:rPr>
          <w:rFonts w:hint="eastAsia" w:ascii="宋体" w:hAnsi="宋体" w:eastAsia="宋体" w:cs="宋体"/>
          <w:color w:val="000000" w:themeColor="text1"/>
          <w:sz w:val="24"/>
          <w:highlight w:val="none"/>
          <w:u w:val="none"/>
          <w14:textFill>
            <w14:solidFill>
              <w14:schemeClr w14:val="tx1"/>
            </w14:solidFill>
          </w14:textFill>
        </w:rPr>
        <w:t>本合同约定总价款的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16A72A59">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.3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11.3情形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u w:val="none"/>
          <w14:textFill>
            <w14:solidFill>
              <w14:schemeClr w14:val="tx1"/>
            </w14:solidFill>
          </w14:textFill>
        </w:rPr>
        <w:t>本合同总价款30%</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227B2CE0">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w:t>
      </w:r>
      <w:r>
        <w:rPr>
          <w:rFonts w:hint="eastAsia" w:ascii="宋体" w:hAnsi="宋体" w:eastAsia="宋体" w:cs="宋体"/>
          <w:b/>
          <w:bCs/>
          <w:color w:val="0000FF"/>
          <w:sz w:val="24"/>
          <w:szCs w:val="24"/>
          <w:highlight w:val="none"/>
          <w:u w:val="single"/>
          <w:lang w:val="en-US" w:eastAsia="zh-CN"/>
        </w:rPr>
        <w:t>3600.00</w:t>
      </w: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元。如乙方除需承担违反廉洁条款的违约责任外，同时存在其他违约行为，乙方仍须就其他违约行为承担相应违约责任。</w:t>
      </w:r>
    </w:p>
    <w:p w14:paraId="2F2E8F6E">
      <w:pPr>
        <w:keepNext w:val="0"/>
        <w:keepLines w:val="0"/>
        <w:pageBreakBefore w:val="0"/>
        <w:widowControl w:val="0"/>
        <w:kinsoku/>
        <w:wordWrap w:val="0"/>
        <w:overflowPunct/>
        <w:topLinePunct/>
        <w:autoSpaceDE/>
        <w:autoSpaceDN/>
        <w:bidi w:val="0"/>
        <w:adjustRightInd/>
        <w:snapToGrid/>
        <w:spacing w:line="48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60DEBE1F">
      <w:pPr>
        <w:keepNext w:val="0"/>
        <w:keepLines w:val="0"/>
        <w:pageBreakBefore w:val="0"/>
        <w:widowControl w:val="0"/>
        <w:kinsoku/>
        <w:wordWrap w:val="0"/>
        <w:overflowPunct/>
        <w:topLinePunct/>
        <w:autoSpaceDE/>
        <w:autoSpaceDN/>
        <w:bidi w:val="0"/>
        <w:adjustRightInd/>
        <w:snapToGrid/>
        <w:spacing w:line="48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十三</w:t>
      </w:r>
      <w:r>
        <w:rPr>
          <w:rFonts w:hint="eastAsia" w:ascii="宋体" w:hAnsi="宋体" w:eastAsia="宋体" w:cs="宋体"/>
          <w:b/>
          <w:bCs/>
          <w:color w:val="000000" w:themeColor="text1"/>
          <w:sz w:val="24"/>
          <w:highlight w:val="none"/>
          <w14:textFill>
            <w14:solidFill>
              <w14:schemeClr w14:val="tx1"/>
            </w14:solidFill>
          </w14:textFill>
        </w:rPr>
        <w:t>条 争议解决</w:t>
      </w:r>
    </w:p>
    <w:p w14:paraId="540E4A83">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本合同适用中华人民共和国法律，并按其解释。</w:t>
      </w:r>
    </w:p>
    <w:p w14:paraId="27A0B8D9">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21C07722">
      <w:pPr>
        <w:keepNext w:val="0"/>
        <w:keepLines w:val="0"/>
        <w:pageBreakBefore w:val="0"/>
        <w:widowControl w:val="0"/>
        <w:kinsoku/>
        <w:wordWrap w:val="0"/>
        <w:overflowPunct/>
        <w:topLinePunct/>
        <w:autoSpaceDE/>
        <w:autoSpaceDN/>
        <w:bidi w:val="0"/>
        <w:adjustRightInd/>
        <w:snapToGrid/>
        <w:spacing w:line="48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附则</w:t>
      </w:r>
    </w:p>
    <w:p w14:paraId="0703DD50">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4A935000">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14.2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33757CAC">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本合同一式伍份，甲方执肆份、乙方执壹份，自双方签字并盖章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22265F0D">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73FD226A">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55D80F22">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691486BA">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0CF2F0BA">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0BDB497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2AE580C6">
      <w:pPr>
        <w:keepNext w:val="0"/>
        <w:keepLines w:val="0"/>
        <w:pageBreakBefore w:val="0"/>
        <w:widowControl w:val="0"/>
        <w:wordWrap/>
        <w:overflowPunct/>
        <w:topLinePunct w:val="0"/>
        <w:bidi w:val="0"/>
        <w:spacing w:line="300" w:lineRule="exact"/>
        <w:rPr>
          <w:color w:val="000000" w:themeColor="text1"/>
          <w:sz w:val="23"/>
          <w:szCs w:val="23"/>
          <w:highlight w:val="none"/>
          <w14:textFill>
            <w14:solidFill>
              <w14:schemeClr w14:val="tx1"/>
            </w14:solidFill>
          </w14:textFill>
        </w:rPr>
      </w:pPr>
    </w:p>
    <w:p w14:paraId="4AD749F2">
      <w:pPr>
        <w:rPr>
          <w:rFonts w:hint="default" w:eastAsia="宋体"/>
          <w:color w:val="000000" w:themeColor="text1"/>
          <w:sz w:val="23"/>
          <w:szCs w:val="23"/>
          <w:highlight w:val="none"/>
          <w:lang w:val="en-US" w:eastAsia="zh-CN"/>
          <w14:textFill>
            <w14:solidFill>
              <w14:schemeClr w14:val="tx1"/>
            </w14:solidFill>
          </w14:textFill>
        </w:rPr>
      </w:pPr>
      <w:r>
        <w:rPr>
          <w:rFonts w:hint="default" w:eastAsia="宋体"/>
          <w:color w:val="000000" w:themeColor="text1"/>
          <w:sz w:val="23"/>
          <w:szCs w:val="23"/>
          <w:highlight w:val="none"/>
          <w:lang w:val="en-US" w:eastAsia="zh-CN"/>
          <w14:textFill>
            <w14:solidFill>
              <w14:schemeClr w14:val="tx1"/>
            </w14:solidFill>
          </w14:textFill>
        </w:rPr>
        <w:br w:type="page"/>
      </w:r>
    </w:p>
    <w:p w14:paraId="2E838F41">
      <w:pPr>
        <w:pStyle w:val="3"/>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1"/>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default" w:eastAsia="宋体"/>
          <w:b/>
          <w:color w:val="auto"/>
          <w:sz w:val="24"/>
          <w:lang w:val="en-US" w:eastAsia="zh-CN"/>
        </w:rPr>
      </w:pPr>
      <w:r>
        <w:rPr>
          <w:rFonts w:hint="eastAsia"/>
          <w:b/>
          <w:color w:val="auto"/>
          <w:sz w:val="24"/>
          <w:lang w:eastAsia="zh-CN"/>
        </w:rPr>
        <w:t>注：此项内容需包含投标商品名称、数量、品牌、型号、单价、总价、等信息，</w:t>
      </w:r>
      <w:r>
        <w:rPr>
          <w:rFonts w:hint="eastAsia"/>
          <w:b/>
          <w:color w:val="auto"/>
          <w:sz w:val="24"/>
          <w:lang w:val="en-US" w:eastAsia="zh-CN"/>
        </w:rPr>
        <w:t>报价表必须报单价限价和总价，报价不得</w:t>
      </w:r>
      <w:bookmarkStart w:id="4" w:name="_GoBack"/>
      <w:bookmarkEnd w:id="4"/>
      <w:r>
        <w:rPr>
          <w:rFonts w:hint="eastAsia"/>
          <w:b/>
          <w:color w:val="auto"/>
          <w:sz w:val="24"/>
          <w:lang w:val="en-US" w:eastAsia="zh-CN"/>
        </w:rPr>
        <w:t>超过单价限价和总价限价</w:t>
      </w:r>
    </w:p>
    <w:p w14:paraId="71CAD04D">
      <w:pPr>
        <w:pStyle w:val="24"/>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23"/>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7"/>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7"/>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5"/>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6D90F51D">
      <w:pPr>
        <w:pStyle w:val="23"/>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7"/>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24"/>
        <w:rPr>
          <w:color w:val="auto"/>
        </w:rPr>
      </w:pPr>
    </w:p>
    <w:p w14:paraId="5EEA99A1">
      <w:pPr>
        <w:pStyle w:val="23"/>
        <w:rPr>
          <w:rFonts w:hint="eastAsia"/>
          <w:lang w:eastAsia="zh-CN"/>
        </w:rPr>
      </w:pPr>
    </w:p>
    <w:p w14:paraId="4F73B9B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12"/>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12"/>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12"/>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12"/>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12"/>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13"/>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6F2E55"/>
    <w:rsid w:val="00AE556A"/>
    <w:rsid w:val="01350E35"/>
    <w:rsid w:val="02390242"/>
    <w:rsid w:val="03E43FAE"/>
    <w:rsid w:val="04653F41"/>
    <w:rsid w:val="04AF1AE6"/>
    <w:rsid w:val="04B72FC8"/>
    <w:rsid w:val="04F57A38"/>
    <w:rsid w:val="050719CA"/>
    <w:rsid w:val="056B0EF3"/>
    <w:rsid w:val="06934BAA"/>
    <w:rsid w:val="06E91EC4"/>
    <w:rsid w:val="06F21495"/>
    <w:rsid w:val="07731DE6"/>
    <w:rsid w:val="086F75C9"/>
    <w:rsid w:val="08E46EC6"/>
    <w:rsid w:val="08F36684"/>
    <w:rsid w:val="09C0303A"/>
    <w:rsid w:val="0A3F4F3C"/>
    <w:rsid w:val="0A682BFD"/>
    <w:rsid w:val="0A6D3244"/>
    <w:rsid w:val="0A8A74D4"/>
    <w:rsid w:val="0CAD77BD"/>
    <w:rsid w:val="0CD87BD4"/>
    <w:rsid w:val="0E331420"/>
    <w:rsid w:val="0E3A4761"/>
    <w:rsid w:val="0EBC028B"/>
    <w:rsid w:val="0EDD1643"/>
    <w:rsid w:val="0FB9029C"/>
    <w:rsid w:val="10897B23"/>
    <w:rsid w:val="10914EF9"/>
    <w:rsid w:val="10B8663C"/>
    <w:rsid w:val="12080B62"/>
    <w:rsid w:val="12994AC5"/>
    <w:rsid w:val="129F447F"/>
    <w:rsid w:val="12C86253"/>
    <w:rsid w:val="14E40477"/>
    <w:rsid w:val="15060AC8"/>
    <w:rsid w:val="15125EAE"/>
    <w:rsid w:val="15675A4C"/>
    <w:rsid w:val="15B67DFF"/>
    <w:rsid w:val="163301F0"/>
    <w:rsid w:val="17F91BB8"/>
    <w:rsid w:val="193E7D91"/>
    <w:rsid w:val="1943608F"/>
    <w:rsid w:val="19E40286"/>
    <w:rsid w:val="19E91315"/>
    <w:rsid w:val="1AF56B46"/>
    <w:rsid w:val="1CE412C7"/>
    <w:rsid w:val="1D5071B5"/>
    <w:rsid w:val="1DD7486D"/>
    <w:rsid w:val="1E79119D"/>
    <w:rsid w:val="1F334F58"/>
    <w:rsid w:val="1F796B24"/>
    <w:rsid w:val="1FC602A8"/>
    <w:rsid w:val="1FE73549"/>
    <w:rsid w:val="2038045E"/>
    <w:rsid w:val="20AF0900"/>
    <w:rsid w:val="20B41DA7"/>
    <w:rsid w:val="21C61C7A"/>
    <w:rsid w:val="2383771E"/>
    <w:rsid w:val="23F374DB"/>
    <w:rsid w:val="24881A32"/>
    <w:rsid w:val="25266F96"/>
    <w:rsid w:val="2589715C"/>
    <w:rsid w:val="267547DF"/>
    <w:rsid w:val="272B6E6C"/>
    <w:rsid w:val="27B626C7"/>
    <w:rsid w:val="27CF2BB7"/>
    <w:rsid w:val="2821285F"/>
    <w:rsid w:val="28501465"/>
    <w:rsid w:val="28E81B29"/>
    <w:rsid w:val="28FD390A"/>
    <w:rsid w:val="29B45A41"/>
    <w:rsid w:val="2A174DA9"/>
    <w:rsid w:val="2AB010A8"/>
    <w:rsid w:val="2AC66F99"/>
    <w:rsid w:val="2BD64A85"/>
    <w:rsid w:val="2C0A2E19"/>
    <w:rsid w:val="2C7642D0"/>
    <w:rsid w:val="2C8B7C6A"/>
    <w:rsid w:val="2CC97A35"/>
    <w:rsid w:val="2DD77C64"/>
    <w:rsid w:val="2DDA1E78"/>
    <w:rsid w:val="2DE00B8C"/>
    <w:rsid w:val="2EAC037F"/>
    <w:rsid w:val="2EB67A5C"/>
    <w:rsid w:val="302741D2"/>
    <w:rsid w:val="308B184D"/>
    <w:rsid w:val="309C1E01"/>
    <w:rsid w:val="30BB11DD"/>
    <w:rsid w:val="31F17CD1"/>
    <w:rsid w:val="324F4D43"/>
    <w:rsid w:val="33384C93"/>
    <w:rsid w:val="340F06E9"/>
    <w:rsid w:val="34C12F54"/>
    <w:rsid w:val="34F140E5"/>
    <w:rsid w:val="366241E2"/>
    <w:rsid w:val="3662711A"/>
    <w:rsid w:val="36B66AAC"/>
    <w:rsid w:val="36E47928"/>
    <w:rsid w:val="372F7378"/>
    <w:rsid w:val="37BA0809"/>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3F092439"/>
    <w:rsid w:val="403B4B34"/>
    <w:rsid w:val="4140452A"/>
    <w:rsid w:val="414D7889"/>
    <w:rsid w:val="41BB0BAE"/>
    <w:rsid w:val="4222229D"/>
    <w:rsid w:val="425629F5"/>
    <w:rsid w:val="4284152B"/>
    <w:rsid w:val="429A4992"/>
    <w:rsid w:val="42D9553A"/>
    <w:rsid w:val="435B161D"/>
    <w:rsid w:val="43B25DAC"/>
    <w:rsid w:val="44771DFD"/>
    <w:rsid w:val="45D569C3"/>
    <w:rsid w:val="479B74B7"/>
    <w:rsid w:val="48735221"/>
    <w:rsid w:val="48997E8F"/>
    <w:rsid w:val="49E92B05"/>
    <w:rsid w:val="4A354E62"/>
    <w:rsid w:val="4AEE1A11"/>
    <w:rsid w:val="4B7F39F4"/>
    <w:rsid w:val="4BAE646F"/>
    <w:rsid w:val="4C06451A"/>
    <w:rsid w:val="4CAC1559"/>
    <w:rsid w:val="4D754257"/>
    <w:rsid w:val="4DCD6AB3"/>
    <w:rsid w:val="4DDD6104"/>
    <w:rsid w:val="4EE7662F"/>
    <w:rsid w:val="50216DCD"/>
    <w:rsid w:val="50540C20"/>
    <w:rsid w:val="506258C6"/>
    <w:rsid w:val="51AC28BD"/>
    <w:rsid w:val="52183ACC"/>
    <w:rsid w:val="52ED531B"/>
    <w:rsid w:val="53B55872"/>
    <w:rsid w:val="544055F2"/>
    <w:rsid w:val="54AD4386"/>
    <w:rsid w:val="5587625E"/>
    <w:rsid w:val="55D8243C"/>
    <w:rsid w:val="56483C8F"/>
    <w:rsid w:val="56C77AA7"/>
    <w:rsid w:val="581A7C72"/>
    <w:rsid w:val="583A4BD7"/>
    <w:rsid w:val="5850008B"/>
    <w:rsid w:val="59C74B1F"/>
    <w:rsid w:val="5A886F59"/>
    <w:rsid w:val="604D5946"/>
    <w:rsid w:val="611B6B1B"/>
    <w:rsid w:val="62030FF0"/>
    <w:rsid w:val="62C222C2"/>
    <w:rsid w:val="62DB090C"/>
    <w:rsid w:val="632D7C40"/>
    <w:rsid w:val="64133D6A"/>
    <w:rsid w:val="64245572"/>
    <w:rsid w:val="64671DE0"/>
    <w:rsid w:val="66C30AF5"/>
    <w:rsid w:val="678E4F5D"/>
    <w:rsid w:val="67F3562A"/>
    <w:rsid w:val="680E122C"/>
    <w:rsid w:val="69CC4643"/>
    <w:rsid w:val="6A4E1D63"/>
    <w:rsid w:val="6AB9152E"/>
    <w:rsid w:val="6B592423"/>
    <w:rsid w:val="6C486FE4"/>
    <w:rsid w:val="6CA409DF"/>
    <w:rsid w:val="6DE375E4"/>
    <w:rsid w:val="6E8E5287"/>
    <w:rsid w:val="6FAC3B48"/>
    <w:rsid w:val="6FAD463B"/>
    <w:rsid w:val="6FBE332C"/>
    <w:rsid w:val="70CE0BC9"/>
    <w:rsid w:val="71554367"/>
    <w:rsid w:val="71584067"/>
    <w:rsid w:val="71F26E91"/>
    <w:rsid w:val="735201FF"/>
    <w:rsid w:val="737B50A4"/>
    <w:rsid w:val="73F40E72"/>
    <w:rsid w:val="74566F5C"/>
    <w:rsid w:val="74855E60"/>
    <w:rsid w:val="750117A8"/>
    <w:rsid w:val="751301BD"/>
    <w:rsid w:val="755B2270"/>
    <w:rsid w:val="75E27514"/>
    <w:rsid w:val="7612420D"/>
    <w:rsid w:val="76920D75"/>
    <w:rsid w:val="76C47877"/>
    <w:rsid w:val="77423DFF"/>
    <w:rsid w:val="783B5EA9"/>
    <w:rsid w:val="783D7269"/>
    <w:rsid w:val="79EB699D"/>
    <w:rsid w:val="7A104828"/>
    <w:rsid w:val="7B0620DE"/>
    <w:rsid w:val="7BBF44BB"/>
    <w:rsid w:val="7BF15CE4"/>
    <w:rsid w:val="7C3A27E5"/>
    <w:rsid w:val="7D9727DD"/>
    <w:rsid w:val="7EFB4F6E"/>
    <w:rsid w:val="7F164138"/>
    <w:rsid w:val="7F1A5E95"/>
    <w:rsid w:val="7F6606F9"/>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6">
    <w:name w:val="Normal Indent"/>
    <w:basedOn w:val="1"/>
    <w:next w:val="7"/>
    <w:qFormat/>
    <w:uiPriority w:val="0"/>
    <w:pPr>
      <w:widowControl/>
      <w:ind w:firstLine="420"/>
      <w:jc w:val="left"/>
    </w:pPr>
    <w:rPr>
      <w:kern w:val="0"/>
      <w:sz w:val="20"/>
      <w:szCs w:val="20"/>
    </w:rPr>
  </w:style>
  <w:style w:type="paragraph" w:styleId="7">
    <w:name w:val="Body Text First Indent 2"/>
    <w:basedOn w:val="8"/>
    <w:next w:val="6"/>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8">
    <w:name w:val="Body Text Indent"/>
    <w:basedOn w:val="1"/>
    <w:next w:val="1"/>
    <w:qFormat/>
    <w:uiPriority w:val="99"/>
    <w:pPr>
      <w:spacing w:line="400" w:lineRule="exact"/>
      <w:ind w:left="630"/>
    </w:pPr>
    <w:rPr>
      <w:rFonts w:ascii="楷体_GB2312"/>
      <w:sz w:val="30"/>
      <w:szCs w:val="30"/>
    </w:rPr>
  </w:style>
  <w:style w:type="paragraph" w:styleId="9">
    <w:name w:val="annotation text"/>
    <w:basedOn w:val="1"/>
    <w:unhideWhenUsed/>
    <w:qFormat/>
    <w:uiPriority w:val="99"/>
    <w:pPr>
      <w:jc w:val="left"/>
    </w:pPr>
  </w:style>
  <w:style w:type="paragraph" w:styleId="10">
    <w:name w:val="Body Text"/>
    <w:basedOn w:val="1"/>
    <w:semiHidden/>
    <w:qFormat/>
    <w:uiPriority w:val="0"/>
    <w:rPr>
      <w:rFonts w:ascii="宋体" w:hAnsi="宋体" w:eastAsia="宋体" w:cs="宋体"/>
      <w:sz w:val="24"/>
      <w:szCs w:val="24"/>
      <w:lang w:val="en-US" w:eastAsia="en-US" w:bidi="ar-SA"/>
    </w:rPr>
  </w:style>
  <w:style w:type="paragraph" w:styleId="11">
    <w:name w:val="Date"/>
    <w:basedOn w:val="1"/>
    <w:next w:val="1"/>
    <w:qFormat/>
    <w:uiPriority w:val="0"/>
    <w:rPr>
      <w:color w:val="000000"/>
      <w:kern w:val="0"/>
      <w:sz w:val="30"/>
    </w:rPr>
  </w:style>
  <w:style w:type="paragraph" w:styleId="12">
    <w:name w:val="footer"/>
    <w:basedOn w:val="1"/>
    <w:qFormat/>
    <w:uiPriority w:val="0"/>
    <w:pPr>
      <w:tabs>
        <w:tab w:val="center" w:pos="4153"/>
        <w:tab w:val="right" w:pos="8306"/>
      </w:tabs>
      <w:snapToGrid w:val="0"/>
      <w:jc w:val="left"/>
    </w:pPr>
    <w:rPr>
      <w:kern w:val="0"/>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Body Text 2"/>
    <w:basedOn w:val="1"/>
    <w:qFormat/>
    <w:uiPriority w:val="0"/>
    <w:pPr>
      <w:spacing w:after="120" w:line="480" w:lineRule="auto"/>
    </w:pPr>
  </w:style>
  <w:style w:type="paragraph" w:styleId="15">
    <w:name w:val="Normal (Web)"/>
    <w:basedOn w:val="1"/>
    <w:qFormat/>
    <w:uiPriority w:val="0"/>
    <w:rPr>
      <w:sz w:val="24"/>
    </w:rPr>
  </w:style>
  <w:style w:type="paragraph" w:styleId="16">
    <w:name w:val="annotation subject"/>
    <w:basedOn w:val="9"/>
    <w:next w:val="1"/>
    <w:unhideWhenUsed/>
    <w:qFormat/>
    <w:uiPriority w:val="99"/>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paragraph" w:customStyle="1" w:styleId="21">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2">
    <w:name w:val="大标题"/>
    <w:basedOn w:val="1"/>
    <w:next w:val="7"/>
    <w:qFormat/>
    <w:uiPriority w:val="0"/>
    <w:pPr>
      <w:jc w:val="center"/>
    </w:pPr>
    <w:rPr>
      <w:rFonts w:ascii="Arial" w:hAnsi="Arial" w:eastAsia="宋体"/>
      <w:b/>
      <w:sz w:val="28"/>
      <w:szCs w:val="24"/>
    </w:rPr>
  </w:style>
  <w:style w:type="paragraph" w:customStyle="1" w:styleId="23">
    <w:name w:val="列出段落1"/>
    <w:basedOn w:val="1"/>
    <w:qFormat/>
    <w:uiPriority w:val="99"/>
    <w:pPr>
      <w:ind w:firstLine="420" w:firstLineChars="200"/>
    </w:pPr>
  </w:style>
  <w:style w:type="paragraph" w:customStyle="1" w:styleId="24">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5">
    <w:name w:val="List Paragraph"/>
    <w:basedOn w:val="1"/>
    <w:qFormat/>
    <w:uiPriority w:val="34"/>
    <w:pPr>
      <w:ind w:firstLine="420" w:firstLineChars="200"/>
    </w:pPr>
    <w:rPr>
      <w:rFonts w:ascii="Calibri" w:hAnsi="Calibri"/>
      <w:szCs w:val="22"/>
    </w:rPr>
  </w:style>
  <w:style w:type="paragraph" w:customStyle="1" w:styleId="26">
    <w:name w:val="列出段落2"/>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6169</Words>
  <Characters>6462</Characters>
  <Lines>0</Lines>
  <Paragraphs>0</Paragraphs>
  <TotalTime>1</TotalTime>
  <ScaleCrop>false</ScaleCrop>
  <LinksUpToDate>false</LinksUpToDate>
  <CharactersWithSpaces>6784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2026-04-28T06:40:45Z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693F405580CA4EF791A186399C2A22A8_13</vt:lpwstr>
  </property>
  <property fmtid="{D5CDD505-2E9C-101B-9397-08002B2CF9AE}" pid="4" name="KSOTemplateDocerSaveRecord">
    <vt:lpwstr>eyJoZGlkIjoiOWU3YmMxNGQ0NDE0NTRiYjQ3MWFkZjk1MWM2MTc2NWEiLCJ1c2VySWQiOiI0NDIzNjcyODQifQ==</vt:lpwstr>
  </property>
</Properties>
</file>