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ED3ED">
      <w:pPr>
        <w:pStyle w:val="17"/>
        <w:snapToGrid w:val="0"/>
        <w:jc w:val="center"/>
        <w:rPr>
          <w:rFonts w:hint="eastAsia" w:ascii="Arial" w:hAnsi="Arial" w:eastAsia="方正小标宋简体" w:cs="Arial"/>
          <w:sz w:val="72"/>
          <w:szCs w:val="72"/>
        </w:rPr>
      </w:pPr>
      <w:bookmarkStart w:id="0" w:name="_Toc16523570"/>
    </w:p>
    <w:p w14:paraId="6165DD46">
      <w:pPr>
        <w:pStyle w:val="17"/>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240C7846">
      <w:pPr>
        <w:pStyle w:val="17"/>
        <w:snapToGrid w:val="0"/>
        <w:jc w:val="center"/>
        <w:rPr>
          <w:rFonts w:hint="eastAsia" w:ascii="Arial" w:hAnsi="Arial" w:eastAsia="方正小标宋简体" w:cs="Arial"/>
          <w:sz w:val="72"/>
          <w:szCs w:val="72"/>
        </w:rPr>
      </w:pPr>
    </w:p>
    <w:p w14:paraId="635FE321">
      <w:pPr>
        <w:pStyle w:val="17"/>
        <w:snapToGrid w:val="0"/>
        <w:jc w:val="center"/>
        <w:rPr>
          <w:rFonts w:hint="eastAsia" w:ascii="Arial" w:hAnsi="Arial" w:eastAsia="方正小标宋简体" w:cs="Arial"/>
          <w:sz w:val="72"/>
          <w:szCs w:val="72"/>
        </w:rPr>
      </w:pPr>
    </w:p>
    <w:p w14:paraId="69D3AD3F">
      <w:pPr>
        <w:pStyle w:val="17"/>
        <w:snapToGrid w:val="0"/>
        <w:jc w:val="center"/>
        <w:rPr>
          <w:rFonts w:hint="eastAsia" w:ascii="Arial" w:hAnsi="Arial" w:eastAsia="方正小标宋简体" w:cs="Arial"/>
          <w:sz w:val="72"/>
          <w:szCs w:val="72"/>
        </w:rPr>
      </w:pPr>
    </w:p>
    <w:p w14:paraId="6760F3CC">
      <w:pPr>
        <w:pStyle w:val="17"/>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136B4FFC">
      <w:pPr>
        <w:pStyle w:val="17"/>
        <w:snapToGrid w:val="0"/>
        <w:jc w:val="center"/>
        <w:rPr>
          <w:rFonts w:ascii="Arial" w:hAnsi="Arial" w:cs="Arial"/>
          <w:sz w:val="32"/>
          <w:szCs w:val="32"/>
        </w:rPr>
      </w:pPr>
    </w:p>
    <w:p w14:paraId="344FBE05">
      <w:pPr>
        <w:pStyle w:val="18"/>
        <w:rPr>
          <w:rFonts w:ascii="Arial" w:hAnsi="Arial" w:cs="Arial"/>
          <w:sz w:val="32"/>
          <w:szCs w:val="32"/>
        </w:rPr>
      </w:pPr>
    </w:p>
    <w:p w14:paraId="3072D5FC">
      <w:pPr>
        <w:pStyle w:val="11"/>
        <w:rPr>
          <w:rFonts w:ascii="Arial" w:hAnsi="Arial" w:cs="Arial"/>
          <w:sz w:val="32"/>
          <w:szCs w:val="32"/>
        </w:rPr>
      </w:pPr>
    </w:p>
    <w:p w14:paraId="1CD32D3E">
      <w:pPr>
        <w:pStyle w:val="11"/>
        <w:rPr>
          <w:rFonts w:ascii="Arial" w:hAnsi="Arial" w:cs="Arial"/>
          <w:sz w:val="32"/>
          <w:szCs w:val="32"/>
        </w:rPr>
      </w:pPr>
    </w:p>
    <w:p w14:paraId="191865C5">
      <w:pPr>
        <w:pStyle w:val="11"/>
        <w:rPr>
          <w:rFonts w:ascii="Arial" w:hAnsi="Arial" w:cs="Arial"/>
          <w:sz w:val="32"/>
          <w:szCs w:val="32"/>
        </w:rPr>
      </w:pPr>
    </w:p>
    <w:p w14:paraId="00BD03D4">
      <w:pPr>
        <w:pStyle w:val="11"/>
        <w:rPr>
          <w:rFonts w:ascii="Arial" w:hAnsi="Arial" w:cs="Arial"/>
          <w:sz w:val="32"/>
          <w:szCs w:val="32"/>
        </w:rPr>
      </w:pPr>
    </w:p>
    <w:p w14:paraId="5B1AF6E9">
      <w:pPr>
        <w:pStyle w:val="11"/>
        <w:rPr>
          <w:rFonts w:ascii="Arial" w:hAnsi="Arial" w:cs="Arial"/>
          <w:sz w:val="32"/>
          <w:szCs w:val="32"/>
        </w:rPr>
      </w:pPr>
    </w:p>
    <w:p w14:paraId="5EDC9EA3">
      <w:pPr>
        <w:pStyle w:val="11"/>
        <w:rPr>
          <w:rFonts w:ascii="Arial" w:hAnsi="Arial" w:cs="Arial"/>
          <w:sz w:val="32"/>
          <w:szCs w:val="32"/>
        </w:rPr>
      </w:pPr>
    </w:p>
    <w:p w14:paraId="163589A0">
      <w:pPr>
        <w:pStyle w:val="11"/>
        <w:rPr>
          <w:rFonts w:ascii="Arial" w:hAnsi="Arial" w:cs="Arial"/>
          <w:sz w:val="32"/>
          <w:szCs w:val="32"/>
        </w:rPr>
      </w:pPr>
    </w:p>
    <w:p w14:paraId="22B3FB66">
      <w:pPr>
        <w:pStyle w:val="17"/>
        <w:snapToGrid w:val="0"/>
        <w:jc w:val="center"/>
        <w:rPr>
          <w:rFonts w:ascii="Arial" w:hAnsi="Arial" w:cs="Arial"/>
          <w:sz w:val="32"/>
          <w:szCs w:val="32"/>
        </w:rPr>
      </w:pPr>
    </w:p>
    <w:p w14:paraId="66BAB724">
      <w:pPr>
        <w:pStyle w:val="17"/>
        <w:snapToGrid w:val="0"/>
        <w:jc w:val="center"/>
        <w:rPr>
          <w:rFonts w:ascii="Arial" w:hAnsi="Arial" w:cs="Arial"/>
          <w:sz w:val="32"/>
          <w:szCs w:val="32"/>
        </w:rPr>
      </w:pPr>
    </w:p>
    <w:p w14:paraId="5BE24A3F">
      <w:pPr>
        <w:spacing w:line="360" w:lineRule="auto"/>
        <w:rPr>
          <w:rFonts w:hint="eastAsia"/>
          <w:bCs/>
          <w:sz w:val="32"/>
          <w:szCs w:val="32"/>
        </w:rPr>
      </w:pPr>
    </w:p>
    <w:p w14:paraId="677D4FE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w:t>
      </w:r>
      <w:r>
        <w:rPr>
          <w:rFonts w:hint="eastAsia" w:cs="Times New Roman"/>
          <w:b/>
          <w:bCs/>
          <w:kern w:val="44"/>
          <w:sz w:val="32"/>
          <w:szCs w:val="32"/>
          <w:lang w:val="en-US" w:eastAsia="zh-CN" w:bidi="ar-SA"/>
        </w:rPr>
        <w:t>劳务派遣服务</w:t>
      </w:r>
      <w:r>
        <w:rPr>
          <w:rFonts w:hint="eastAsia"/>
          <w:bCs/>
          <w:sz w:val="32"/>
          <w:szCs w:val="32"/>
          <w:lang w:val="en-US" w:eastAsia="zh-CN"/>
        </w:rPr>
        <w:t>采购项目</w:t>
      </w:r>
    </w:p>
    <w:p w14:paraId="018BCF4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5FDDD31C">
      <w:pPr>
        <w:spacing w:line="320" w:lineRule="exact"/>
        <w:jc w:val="left"/>
        <w:rPr>
          <w:sz w:val="24"/>
        </w:rPr>
      </w:pPr>
    </w:p>
    <w:p w14:paraId="1995CCAC">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四</w:t>
      </w:r>
      <w:r>
        <w:rPr>
          <w:rFonts w:hint="eastAsia" w:ascii="宋体" w:hAnsi="宋体" w:cs="宋体"/>
          <w:bCs/>
          <w:sz w:val="32"/>
          <w:szCs w:val="32"/>
        </w:rPr>
        <w:t>月</w:t>
      </w:r>
    </w:p>
    <w:p w14:paraId="7F0F5473">
      <w:pPr>
        <w:pStyle w:val="2"/>
        <w:numPr>
          <w:ilvl w:val="0"/>
          <w:numId w:val="0"/>
        </w:numPr>
        <w:spacing w:line="240" w:lineRule="auto"/>
        <w:ind w:leftChars="0"/>
        <w:jc w:val="center"/>
        <w:rPr>
          <w:rFonts w:hint="eastAsia" w:ascii="宋体" w:hAnsi="宋体" w:cs="宋体"/>
          <w:color w:val="auto"/>
          <w:sz w:val="44"/>
          <w:szCs w:val="44"/>
          <w:lang w:val="en-US" w:eastAsia="zh-CN"/>
        </w:rPr>
      </w:pPr>
    </w:p>
    <w:p w14:paraId="535BB9EC">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2CCB5FF4">
      <w:pPr>
        <w:pStyle w:val="17"/>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劳务派遣服务</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1BEBAEE9">
      <w:pPr>
        <w:pStyle w:val="17"/>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62DF0C6F">
      <w:pPr>
        <w:pStyle w:val="17"/>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劳务派遣服务</w:t>
      </w:r>
      <w:r>
        <w:rPr>
          <w:rFonts w:hint="eastAsia" w:asciiTheme="minorEastAsia" w:hAnsiTheme="minorEastAsia" w:eastAsiaTheme="minorEastAsia" w:cstheme="minorEastAsia"/>
          <w:b w:val="0"/>
          <w:bCs/>
          <w:color w:val="auto"/>
          <w:sz w:val="24"/>
          <w:szCs w:val="24"/>
          <w:lang w:val="en-US" w:eastAsia="zh-CN"/>
        </w:rPr>
        <w:t>项目</w:t>
      </w:r>
    </w:p>
    <w:p w14:paraId="6B936CE3">
      <w:pPr>
        <w:pStyle w:val="17"/>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126EAE81">
      <w:pPr>
        <w:pStyle w:val="17"/>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医院公开挂网</w:t>
      </w:r>
      <w:r>
        <w:rPr>
          <w:rFonts w:hint="eastAsia" w:asciiTheme="minorEastAsia" w:hAnsiTheme="minorEastAsia" w:eastAsiaTheme="minorEastAsia" w:cstheme="minorEastAsia"/>
          <w:bCs/>
          <w:color w:val="auto"/>
          <w:sz w:val="24"/>
          <w:szCs w:val="24"/>
          <w:lang w:val="en-US" w:eastAsia="zh-CN"/>
        </w:rPr>
        <w:t>，</w:t>
      </w:r>
      <w:bookmarkEnd w:id="0"/>
      <w:r>
        <w:rPr>
          <w:rFonts w:hint="eastAsia" w:asciiTheme="minorEastAsia" w:hAnsiTheme="minorEastAsia" w:eastAsiaTheme="minorEastAsia" w:cstheme="minorEastAsia"/>
          <w:bCs/>
          <w:color w:val="auto"/>
          <w:sz w:val="24"/>
          <w:szCs w:val="24"/>
          <w:lang w:val="en-US" w:eastAsia="zh-CN"/>
        </w:rPr>
        <w:t>按招标文件评分规则进行评审，以评审结果排序，综合评分得分相同的，按投标报价由低到高顺序排列，得分且投标报价相同的，按技术指标优劣顺序排列。</w:t>
      </w:r>
    </w:p>
    <w:p w14:paraId="444B7D8D">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253091B9">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724C358">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3AD029D5">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6C83B5C3">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2CC2ACE0">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7BE4C393">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E85C39">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1E7FBF6">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51F1ED66">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45DDDEA8">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AAC4384">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784645C4">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1CA443C1">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4EBF1671">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0C11F4A7">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65DB1185">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57EBE3A6">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3D174B2F">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1F35927C">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D55C5BD">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32976E44">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34CEDBE2">
      <w:pPr>
        <w:pStyle w:val="18"/>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1.7、技术参数负偏离大于1条的。</w:t>
      </w:r>
    </w:p>
    <w:p w14:paraId="02D4F01A">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BBE2240">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2EACB202">
      <w:pPr>
        <w:pStyle w:val="1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12F0A2BC">
      <w:pPr>
        <w:pStyle w:val="18"/>
        <w:rPr>
          <w:rFonts w:hint="eastAsia"/>
          <w:lang w:val="en-US" w:eastAsia="zh-CN"/>
        </w:rPr>
      </w:pPr>
    </w:p>
    <w:p w14:paraId="580E4949">
      <w:pPr>
        <w:pStyle w:val="18"/>
        <w:jc w:val="both"/>
        <w:rPr>
          <w:rFonts w:hint="default"/>
          <w:lang w:val="en-US" w:eastAsia="zh-CN"/>
        </w:rPr>
      </w:pPr>
    </w:p>
    <w:p w14:paraId="3F0337F1">
      <w:pPr>
        <w:pStyle w:val="1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2CC6FF2">
      <w:pPr>
        <w:pStyle w:val="1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EFEA6B2">
      <w:pPr>
        <w:pStyle w:val="18"/>
        <w:rPr>
          <w:rFonts w:hint="eastAsia" w:ascii="宋体" w:hAnsi="宋体" w:cs="宋体"/>
          <w:b/>
          <w:bCs/>
          <w:color w:val="auto"/>
          <w:sz w:val="44"/>
          <w:szCs w:val="44"/>
          <w:lang w:val="en-US" w:eastAsia="zh-CN"/>
        </w:rPr>
      </w:pPr>
    </w:p>
    <w:p w14:paraId="0FCE0BE5">
      <w:pPr>
        <w:pStyle w:val="11"/>
        <w:rPr>
          <w:rFonts w:hint="eastAsia" w:ascii="宋体" w:hAnsi="宋体" w:cs="宋体"/>
          <w:b/>
          <w:bCs/>
          <w:color w:val="auto"/>
          <w:sz w:val="44"/>
          <w:szCs w:val="44"/>
          <w:lang w:val="en-US" w:eastAsia="zh-CN"/>
        </w:rPr>
      </w:pPr>
    </w:p>
    <w:p w14:paraId="44605275">
      <w:pPr>
        <w:rPr>
          <w:rFonts w:hint="eastAsia" w:ascii="宋体" w:hAnsi="宋体" w:cs="宋体"/>
          <w:b/>
          <w:bCs/>
          <w:color w:val="auto"/>
          <w:sz w:val="44"/>
          <w:szCs w:val="44"/>
          <w:lang w:val="en-US" w:eastAsia="zh-CN"/>
        </w:rPr>
      </w:pPr>
    </w:p>
    <w:p w14:paraId="2E1D6141">
      <w:pPr>
        <w:pStyle w:val="16"/>
        <w:rPr>
          <w:rFonts w:hint="eastAsia"/>
          <w:lang w:val="en-US" w:eastAsia="zh-CN"/>
        </w:rPr>
      </w:pPr>
    </w:p>
    <w:p w14:paraId="0E1CA901">
      <w:pPr>
        <w:rPr>
          <w:rFonts w:hint="eastAsia"/>
          <w:lang w:val="en-US" w:eastAsia="zh-CN"/>
        </w:rPr>
      </w:pPr>
      <w:r>
        <w:rPr>
          <w:rFonts w:hint="eastAsia"/>
          <w:lang w:val="en-US" w:eastAsia="zh-CN"/>
        </w:rPr>
        <w:br w:type="page"/>
      </w:r>
    </w:p>
    <w:p w14:paraId="43F3F7C4">
      <w:pPr>
        <w:pStyle w:val="1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46A15746">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2C2AFACE">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2"/>
        <w:tblW w:w="961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gridCol w:w="2310"/>
      </w:tblGrid>
      <w:tr w14:paraId="642E8B3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A8E5AC9">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7E26F2E">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BC8F8A3">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服务期限</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0F4744D9">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0C000C6E">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预算单价</w:t>
            </w:r>
          </w:p>
        </w:tc>
      </w:tr>
      <w:tr w14:paraId="4247A0F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EA603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605656B6">
            <w:pPr>
              <w:keepNext w:val="0"/>
              <w:keepLines w:val="0"/>
              <w:widowControl/>
              <w:suppressLineNumbers w:val="0"/>
              <w:jc w:val="center"/>
              <w:textAlignment w:val="center"/>
              <w:rPr>
                <w:rFonts w:hint="default" w:asciiTheme="minorEastAsia" w:hAnsiTheme="minorEastAsia" w:eastAsiaTheme="minorEastAsia" w:cstheme="minorEastAsia"/>
                <w:kern w:val="2"/>
                <w:sz w:val="24"/>
                <w:szCs w:val="24"/>
                <w:lang w:val="en-US" w:eastAsia="zh-CN" w:bidi="ar-SA"/>
              </w:rPr>
            </w:pPr>
            <w:r>
              <w:rPr>
                <w:rFonts w:hint="eastAsia" w:ascii="宋体" w:hAnsi="宋体" w:cs="宋体"/>
                <w:i w:val="0"/>
                <w:iCs w:val="0"/>
                <w:color w:val="000000"/>
                <w:kern w:val="0"/>
                <w:sz w:val="24"/>
                <w:szCs w:val="24"/>
                <w:u w:val="none"/>
                <w:lang w:val="en-US" w:eastAsia="zh-CN" w:bidi="ar"/>
              </w:rPr>
              <w:t>劳务派遣服务</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D81A0B0">
            <w:pPr>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三年</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5359A47">
            <w:pPr>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72.9</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0B66674D">
            <w:pPr>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50元/人/月</w:t>
            </w:r>
          </w:p>
        </w:tc>
      </w:tr>
    </w:tbl>
    <w:p w14:paraId="5E36B49A">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5D901636">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57D43378">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C323269">
      <w:pPr>
        <w:spacing w:line="360" w:lineRule="auto"/>
        <w:ind w:firstLine="480" w:firstLineChars="200"/>
        <w:rPr>
          <w:rFonts w:hint="eastAsia" w:ascii="宋体" w:hAnsi="宋体" w:eastAsia="宋体" w:cs="宋体"/>
          <w:b w:val="0"/>
          <w:bCs/>
          <w:color w:val="auto"/>
          <w:sz w:val="24"/>
          <w:szCs w:val="24"/>
          <w:vertAlign w:val="baseline"/>
        </w:rPr>
      </w:pPr>
      <w:r>
        <w:rPr>
          <w:rFonts w:hint="eastAsia" w:asciiTheme="minorEastAsia" w:hAnsiTheme="minorEastAsia" w:eastAsiaTheme="minorEastAsia" w:cstheme="minorEastAsia"/>
          <w:bCs/>
          <w:color w:val="auto"/>
          <w:kern w:val="0"/>
          <w:sz w:val="24"/>
          <w:szCs w:val="24"/>
          <w:lang w:val="en-US" w:eastAsia="zh-CN" w:bidi="ar-SA"/>
        </w:rPr>
        <w:t>4、</w:t>
      </w:r>
      <w:r>
        <w:rPr>
          <w:rFonts w:hint="eastAsia" w:ascii="宋体" w:hAnsi="宋体" w:eastAsia="宋体" w:cs="宋体"/>
          <w:b w:val="0"/>
          <w:bCs/>
          <w:color w:val="auto"/>
          <w:sz w:val="24"/>
          <w:szCs w:val="24"/>
          <w:vertAlign w:val="baseline"/>
          <w:lang w:val="en-US" w:eastAsia="zh-CN"/>
        </w:rPr>
        <w:t>服务范围：</w:t>
      </w:r>
      <w:r>
        <w:rPr>
          <w:rFonts w:hint="eastAsia" w:ascii="宋体" w:hAnsi="宋体" w:eastAsia="宋体" w:cs="宋体"/>
          <w:b w:val="0"/>
          <w:bCs/>
          <w:color w:val="auto"/>
          <w:sz w:val="24"/>
          <w:szCs w:val="24"/>
          <w:vertAlign w:val="baseline"/>
        </w:rPr>
        <w:t>提供</w:t>
      </w:r>
      <w:r>
        <w:rPr>
          <w:rFonts w:hint="eastAsia" w:ascii="宋体" w:hAnsi="宋体" w:eastAsia="宋体" w:cs="宋体"/>
          <w:b w:val="0"/>
          <w:bCs/>
          <w:color w:val="auto"/>
          <w:sz w:val="24"/>
          <w:szCs w:val="24"/>
          <w:vertAlign w:val="baseline"/>
          <w:lang w:val="en-US" w:eastAsia="zh-CN"/>
        </w:rPr>
        <w:t>临时性、辅助性或者替代性的</w:t>
      </w:r>
      <w:r>
        <w:rPr>
          <w:rFonts w:hint="eastAsia" w:ascii="宋体" w:hAnsi="宋体" w:eastAsia="宋体" w:cs="宋体"/>
          <w:b w:val="0"/>
          <w:bCs/>
          <w:color w:val="auto"/>
          <w:sz w:val="24"/>
          <w:szCs w:val="24"/>
          <w:vertAlign w:val="baseline"/>
        </w:rPr>
        <w:t xml:space="preserve">岗位人员招聘、劳动关系管理、薪酬社保发放、纠纷处理等全流程服务。 </w:t>
      </w:r>
    </w:p>
    <w:p w14:paraId="19216C8C">
      <w:pPr>
        <w:spacing w:line="360" w:lineRule="auto"/>
        <w:ind w:firstLine="480" w:firstLineChars="200"/>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t>5、</w:t>
      </w:r>
      <w:r>
        <w:rPr>
          <w:rFonts w:hint="eastAsia" w:ascii="宋体" w:hAnsi="宋体" w:eastAsia="宋体" w:cs="宋体"/>
          <w:b w:val="0"/>
          <w:bCs/>
          <w:color w:val="auto"/>
          <w:sz w:val="24"/>
          <w:szCs w:val="24"/>
          <w:vertAlign w:val="baseline"/>
        </w:rPr>
        <w:t>计费方式</w:t>
      </w:r>
      <w:r>
        <w:rPr>
          <w:rFonts w:hint="eastAsia" w:ascii="宋体" w:hAnsi="宋体" w:eastAsia="宋体" w:cs="宋体"/>
          <w:b w:val="0"/>
          <w:bCs/>
          <w:color w:val="auto"/>
          <w:sz w:val="24"/>
          <w:szCs w:val="24"/>
          <w:vertAlign w:val="baseline"/>
          <w:lang w:eastAsia="zh-CN"/>
        </w:rPr>
        <w:t>：</w:t>
      </w:r>
      <w:r>
        <w:rPr>
          <w:rFonts w:hint="eastAsia" w:ascii="宋体" w:hAnsi="宋体" w:cs="宋体"/>
          <w:b w:val="0"/>
          <w:bCs/>
          <w:color w:val="auto"/>
          <w:sz w:val="24"/>
          <w:szCs w:val="24"/>
          <w:vertAlign w:val="baseline"/>
          <w:lang w:val="en-US" w:eastAsia="zh-CN"/>
        </w:rPr>
        <w:t>服务费</w:t>
      </w:r>
      <w:r>
        <w:rPr>
          <w:rFonts w:hint="eastAsia" w:ascii="宋体" w:hAnsi="宋体" w:eastAsia="宋体" w:cs="宋体"/>
          <w:b w:val="0"/>
          <w:bCs/>
          <w:color w:val="auto"/>
          <w:sz w:val="24"/>
          <w:szCs w:val="24"/>
          <w:vertAlign w:val="baseline"/>
          <w:lang w:val="en-US" w:eastAsia="zh-CN"/>
        </w:rPr>
        <w:t>预算总价为预估价格，按最终中标单价按实结算</w:t>
      </w:r>
      <w:r>
        <w:rPr>
          <w:rFonts w:hint="eastAsia" w:ascii="宋体" w:hAnsi="宋体" w:cs="宋体"/>
          <w:b w:val="0"/>
          <w:bCs/>
          <w:color w:val="auto"/>
          <w:sz w:val="24"/>
          <w:szCs w:val="24"/>
          <w:vertAlign w:val="baseline"/>
          <w:lang w:val="en-US" w:eastAsia="zh-CN"/>
        </w:rPr>
        <w:t>，</w:t>
      </w:r>
      <w:r>
        <w:rPr>
          <w:rFonts w:hint="eastAsia" w:ascii="宋体" w:hAnsi="宋体" w:eastAsia="宋体" w:cs="宋体"/>
          <w:b w:val="0"/>
          <w:bCs/>
          <w:color w:val="auto"/>
          <w:sz w:val="24"/>
          <w:szCs w:val="24"/>
          <w:vertAlign w:val="baseline"/>
          <w:lang w:val="en-US" w:eastAsia="zh-CN"/>
        </w:rPr>
        <w:t>费</w:t>
      </w:r>
      <w:r>
        <w:rPr>
          <w:rFonts w:hint="eastAsia" w:ascii="宋体" w:hAnsi="宋体" w:cs="宋体"/>
          <w:b w:val="0"/>
          <w:bCs/>
          <w:color w:val="auto"/>
          <w:sz w:val="24"/>
          <w:szCs w:val="24"/>
          <w:vertAlign w:val="baseline"/>
          <w:lang w:val="en-US" w:eastAsia="zh-CN"/>
        </w:rPr>
        <w:t>用</w:t>
      </w:r>
      <w:r>
        <w:rPr>
          <w:rFonts w:hint="eastAsia" w:ascii="宋体" w:hAnsi="宋体" w:eastAsia="宋体" w:cs="宋体"/>
          <w:b w:val="0"/>
          <w:bCs/>
          <w:color w:val="auto"/>
          <w:sz w:val="24"/>
          <w:szCs w:val="24"/>
          <w:vertAlign w:val="baseline"/>
          <w:lang w:val="en-US" w:eastAsia="zh-CN"/>
        </w:rPr>
        <w:t>按月结算</w:t>
      </w:r>
      <w:r>
        <w:rPr>
          <w:rFonts w:hint="eastAsia" w:ascii="宋体" w:hAnsi="宋体" w:cs="宋体"/>
          <w:b w:val="0"/>
          <w:bCs/>
          <w:color w:val="auto"/>
          <w:sz w:val="24"/>
          <w:szCs w:val="24"/>
          <w:vertAlign w:val="baseline"/>
          <w:lang w:val="en-US" w:eastAsia="zh-CN"/>
        </w:rPr>
        <w:t>；</w:t>
      </w:r>
      <w:r>
        <w:rPr>
          <w:rFonts w:hint="eastAsia" w:ascii="宋体" w:hAnsi="宋体" w:eastAsia="宋体" w:cs="宋体"/>
          <w:b w:val="0"/>
          <w:bCs/>
          <w:color w:val="auto"/>
          <w:sz w:val="24"/>
          <w:szCs w:val="24"/>
          <w:vertAlign w:val="baseline"/>
          <w:lang w:val="en-US" w:eastAsia="zh-CN"/>
        </w:rPr>
        <w:t>人员工资、社保等费用每月据实结算，</w:t>
      </w:r>
      <w:bookmarkStart w:id="5" w:name="_GoBack"/>
      <w:bookmarkEnd w:id="5"/>
    </w:p>
    <w:p w14:paraId="579476C9">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14:paraId="03AA34CB">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（一）、资格要求：</w:t>
      </w:r>
    </w:p>
    <w:p w14:paraId="1E9163E4">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1、独立法人，营业执照含劳务派遣/人力资源服务，持有有效《劳务派遣经营许可证》和《人力资源服务许可证》</w:t>
      </w:r>
    </w:p>
    <w:p w14:paraId="78A8CE6B">
      <w:pPr>
        <w:spacing w:line="360" w:lineRule="auto"/>
        <w:ind w:firstLine="480" w:firstLineChars="200"/>
        <w:rPr>
          <w:rFonts w:hint="default" w:asciiTheme="minorEastAsia" w:hAnsiTheme="minorEastAsia" w:eastAsiaTheme="minorEastAsia" w:cstheme="minorEastAsia"/>
          <w:b w:val="0"/>
          <w:bCs/>
          <w:color w:val="FF0000"/>
          <w:kern w:val="0"/>
          <w:sz w:val="24"/>
          <w:szCs w:val="24"/>
          <w:lang w:val="en-US" w:eastAsia="zh-CN" w:bidi="ar-SA"/>
        </w:rPr>
      </w:pPr>
      <w:r>
        <w:rPr>
          <w:rFonts w:hint="eastAsia" w:asciiTheme="minorEastAsia" w:hAnsiTheme="minorEastAsia" w:eastAsiaTheme="minorEastAsia" w:cstheme="minorEastAsia"/>
          <w:b w:val="0"/>
          <w:bCs/>
          <w:color w:val="FF0000"/>
          <w:kern w:val="0"/>
          <w:sz w:val="24"/>
          <w:szCs w:val="24"/>
          <w:lang w:val="en-US" w:eastAsia="zh-CN" w:bidi="ar-SA"/>
        </w:rPr>
        <w:t>2、</w:t>
      </w:r>
      <w:r>
        <w:rPr>
          <w:rFonts w:hint="eastAsia" w:ascii="宋体" w:hAnsi="宋体" w:eastAsia="宋体" w:cs="宋体"/>
          <w:b w:val="0"/>
          <w:bCs/>
          <w:color w:val="FF0000"/>
          <w:sz w:val="24"/>
          <w:szCs w:val="24"/>
          <w:vertAlign w:val="baseline"/>
          <w:lang w:val="en-US" w:eastAsia="zh-CN"/>
        </w:rPr>
        <w:t>团队要求：投标人配备专职项目经理、人事专员等，具备完善的管理体系与风险防控能力</w:t>
      </w:r>
    </w:p>
    <w:p w14:paraId="1687AB25">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（二）、采购需求：</w:t>
      </w:r>
    </w:p>
    <w:p w14:paraId="07922DCD">
      <w:pPr>
        <w:spacing w:line="360" w:lineRule="auto"/>
        <w:ind w:firstLine="480" w:firstLineChars="200"/>
        <w:rPr>
          <w:rFonts w:hint="eastAsia" w:ascii="宋体" w:hAnsi="宋体" w:eastAsia="宋体" w:cs="宋体"/>
          <w:b w:val="0"/>
          <w:bCs/>
          <w:color w:val="auto"/>
          <w:sz w:val="24"/>
          <w:szCs w:val="24"/>
          <w:vertAlign w:val="baseline"/>
          <w:lang w:val="en-US" w:eastAsia="zh-CN"/>
        </w:rPr>
      </w:pPr>
      <w:r>
        <w:rPr>
          <w:rFonts w:hint="eastAsia" w:asciiTheme="minorEastAsia" w:hAnsiTheme="minorEastAsia" w:eastAsiaTheme="minorEastAsia" w:cstheme="minorEastAsia"/>
          <w:b w:val="0"/>
          <w:bCs/>
          <w:color w:val="auto"/>
          <w:kern w:val="0"/>
          <w:sz w:val="24"/>
          <w:szCs w:val="24"/>
          <w:lang w:val="en-US" w:eastAsia="zh-CN" w:bidi="ar-SA"/>
        </w:rPr>
        <w:t>1、岗位要求：</w:t>
      </w:r>
      <w:r>
        <w:rPr>
          <w:rFonts w:hint="eastAsia" w:ascii="宋体" w:hAnsi="宋体" w:eastAsia="宋体" w:cs="宋体"/>
          <w:b w:val="0"/>
          <w:bCs/>
          <w:color w:val="auto"/>
          <w:sz w:val="24"/>
          <w:szCs w:val="24"/>
          <w:vertAlign w:val="baseline"/>
          <w:lang w:val="en-US" w:eastAsia="zh-CN"/>
        </w:rPr>
        <w:t>助理护士、护理员、医技助理（检验/放射/超声）、导医、病历整理员等医疗辅助类岗位；行政文员、收费辅助、档案管理员、司机、物资保管员等行政后勤类岗位；厨师、配菜员、面点师、服务员、绿化养护、水电工、维修工等后勤保障类岗位；</w:t>
      </w:r>
    </w:p>
    <w:p w14:paraId="607FF7DC">
      <w:pPr>
        <w:spacing w:line="360" w:lineRule="auto"/>
        <w:ind w:firstLine="480" w:firstLineChars="200"/>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（三）、服务内容与标准：</w:t>
      </w:r>
    </w:p>
    <w:p w14:paraId="0BE442BF">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t>招聘与配置</w:t>
      </w:r>
      <w:r>
        <w:rPr>
          <w:rFonts w:hint="eastAsia" w:asciiTheme="minorEastAsia" w:hAnsiTheme="minorEastAsia" w:eastAsiaTheme="minorEastAsia" w:cstheme="minorEastAsia"/>
          <w:b w:val="0"/>
          <w:bCs/>
          <w:color w:val="auto"/>
          <w:kern w:val="0"/>
          <w:sz w:val="24"/>
          <w:szCs w:val="24"/>
          <w:lang w:val="en-US" w:eastAsia="zh-CN" w:bidi="ar-SA"/>
        </w:rPr>
        <w:t>：</w:t>
      </w:r>
      <w:r>
        <w:rPr>
          <w:rFonts w:hint="eastAsia" w:ascii="宋体" w:hAnsi="宋体" w:eastAsia="宋体" w:cs="宋体"/>
          <w:b w:val="0"/>
          <w:bCs/>
          <w:color w:val="auto"/>
          <w:sz w:val="24"/>
          <w:szCs w:val="24"/>
          <w:vertAlign w:val="baseline"/>
          <w:lang w:val="en-US" w:eastAsia="zh-CN"/>
        </w:rPr>
        <w:t>1.普通岗位10个工作日内到岗，急缺岗位5个工作日内到岗。</w:t>
      </w:r>
    </w:p>
    <w:p w14:paraId="5686F83B">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1920" w:firstLineChars="800"/>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t>2.严格审核背景、学历、资质及体检。</w:t>
      </w:r>
    </w:p>
    <w:p w14:paraId="45ED00DA">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t>3.建立储备库，确保岗位空缺≤5个工作日。</w:t>
      </w:r>
    </w:p>
    <w:p w14:paraId="34C0EA9D">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t>劳动关系管理：</w:t>
      </w:r>
      <w:r>
        <w:rPr>
          <w:rFonts w:hint="eastAsia" w:ascii="宋体" w:hAnsi="宋体" w:eastAsia="宋体" w:cs="宋体"/>
          <w:b w:val="0"/>
          <w:bCs/>
          <w:color w:val="FF0000"/>
          <w:sz w:val="24"/>
          <w:szCs w:val="24"/>
          <w:vertAlign w:val="baseline"/>
          <w:lang w:val="en-US" w:eastAsia="zh-CN"/>
        </w:rPr>
        <w:t>1.投标人与被派遣劳动者签订≥2年固定期限劳动合同。</w:t>
      </w:r>
    </w:p>
    <w:p w14:paraId="5CDEE229">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60" w:firstLineChars="900"/>
        <w:jc w:val="both"/>
        <w:textAlignment w:val="auto"/>
        <w:rPr>
          <w:rFonts w:hint="eastAsia" w:ascii="宋体" w:hAnsi="宋体" w:eastAsia="宋体" w:cs="宋体"/>
          <w:b w:val="0"/>
          <w:bCs/>
          <w:color w:val="FF0000"/>
          <w:sz w:val="24"/>
          <w:szCs w:val="24"/>
          <w:vertAlign w:val="baseline"/>
          <w:lang w:val="en-US" w:eastAsia="zh-CN"/>
        </w:rPr>
      </w:pPr>
      <w:r>
        <w:rPr>
          <w:rFonts w:hint="eastAsia" w:ascii="宋体" w:hAnsi="宋体" w:eastAsia="宋体" w:cs="宋体"/>
          <w:b w:val="0"/>
          <w:bCs/>
          <w:color w:val="FF0000"/>
          <w:sz w:val="24"/>
          <w:szCs w:val="24"/>
          <w:vertAlign w:val="baseline"/>
          <w:lang w:val="en-US" w:eastAsia="zh-CN"/>
        </w:rPr>
        <w:t>2.投标人全权处理入职/离职/调岗/续签/解除手续及档案管理。</w:t>
      </w:r>
    </w:p>
    <w:p w14:paraId="5180260B">
      <w:pPr>
        <w:keepNext w:val="0"/>
        <w:keepLines w:val="0"/>
        <w:pageBreakBefore w:val="0"/>
        <w:widowControl w:val="0"/>
        <w:kinsoku/>
        <w:wordWrap/>
        <w:overflowPunct/>
        <w:topLinePunct w:val="0"/>
        <w:autoSpaceDE/>
        <w:autoSpaceDN/>
        <w:bidi w:val="0"/>
        <w:adjustRightInd/>
        <w:snapToGrid/>
        <w:spacing w:line="360" w:lineRule="auto"/>
        <w:ind w:firstLine="2160" w:firstLineChars="900"/>
        <w:textAlignment w:val="auto"/>
        <w:rPr>
          <w:rFonts w:hint="eastAsia" w:ascii="宋体" w:hAnsi="宋体" w:eastAsia="宋体" w:cs="宋体"/>
          <w:b w:val="0"/>
          <w:bCs/>
          <w:color w:val="FF0000"/>
          <w:sz w:val="24"/>
          <w:szCs w:val="24"/>
          <w:vertAlign w:val="baseline"/>
          <w:lang w:val="en-US" w:eastAsia="zh-CN"/>
        </w:rPr>
      </w:pPr>
      <w:r>
        <w:rPr>
          <w:rFonts w:hint="eastAsia" w:ascii="宋体" w:hAnsi="宋体" w:eastAsia="宋体" w:cs="宋体"/>
          <w:b w:val="0"/>
          <w:bCs/>
          <w:color w:val="FF0000"/>
          <w:sz w:val="24"/>
          <w:szCs w:val="24"/>
          <w:vertAlign w:val="baseline"/>
          <w:lang w:val="en-US" w:eastAsia="zh-CN"/>
        </w:rPr>
        <w:t>3.投标人全责承担劳动仲裁、诉讼、经济补偿及法律责任。</w:t>
      </w:r>
    </w:p>
    <w:p w14:paraId="18195DAA">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FF0000"/>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t>薪酬社保管理 ：</w:t>
      </w:r>
      <w:r>
        <w:rPr>
          <w:rFonts w:hint="eastAsia" w:ascii="宋体" w:hAnsi="宋体" w:eastAsia="宋体" w:cs="宋体"/>
          <w:b w:val="0"/>
          <w:bCs/>
          <w:color w:val="FF0000"/>
          <w:sz w:val="24"/>
          <w:szCs w:val="24"/>
          <w:vertAlign w:val="baseline"/>
          <w:lang w:val="en-US" w:eastAsia="zh-CN"/>
        </w:rPr>
        <w:t>1.投标人每月按时足额发薪，提供明细，准确率100%。</w:t>
      </w:r>
    </w:p>
    <w:p w14:paraId="40FB16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0" w:firstLineChars="1000"/>
        <w:textAlignment w:val="auto"/>
        <w:rPr>
          <w:rFonts w:hint="eastAsia" w:ascii="宋体" w:hAnsi="宋体" w:eastAsia="宋体" w:cs="宋体"/>
          <w:b w:val="0"/>
          <w:bCs/>
          <w:color w:val="FF0000"/>
          <w:sz w:val="24"/>
          <w:szCs w:val="24"/>
          <w:vertAlign w:val="baseline"/>
          <w:lang w:val="en-US" w:eastAsia="zh-CN"/>
        </w:rPr>
      </w:pPr>
      <w:r>
        <w:rPr>
          <w:rFonts w:hint="eastAsia" w:ascii="宋体" w:hAnsi="宋体" w:eastAsia="宋体" w:cs="宋体"/>
          <w:b w:val="0"/>
          <w:bCs/>
          <w:color w:val="FF0000"/>
          <w:sz w:val="24"/>
          <w:szCs w:val="24"/>
          <w:vertAlign w:val="baseline"/>
          <w:lang w:val="en-US" w:eastAsia="zh-CN"/>
        </w:rPr>
        <w:t>2.投标人需依法足额缴纳五险，及时办理转移接续。</w:t>
      </w:r>
    </w:p>
    <w:p w14:paraId="5CF254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FF0000"/>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t>日常管理与培训：</w:t>
      </w:r>
      <w:r>
        <w:rPr>
          <w:rFonts w:hint="eastAsia" w:ascii="宋体" w:hAnsi="宋体" w:eastAsia="宋体" w:cs="宋体"/>
          <w:b w:val="0"/>
          <w:bCs/>
          <w:color w:val="FF0000"/>
          <w:sz w:val="24"/>
          <w:szCs w:val="24"/>
          <w:vertAlign w:val="baseline"/>
          <w:lang w:val="en-US" w:eastAsia="zh-CN"/>
        </w:rPr>
        <w:t>1.投标人派驻专职项目经理，每月驻场≥15天。</w:t>
      </w:r>
    </w:p>
    <w:p w14:paraId="705D9E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900" w:firstLine="480" w:firstLineChars="200"/>
        <w:textAlignment w:val="auto"/>
        <w:rPr>
          <w:rFonts w:hint="eastAsia" w:ascii="宋体" w:hAnsi="宋体" w:eastAsia="宋体" w:cs="宋体"/>
          <w:b w:val="0"/>
          <w:bCs/>
          <w:color w:val="FF0000"/>
          <w:sz w:val="24"/>
          <w:szCs w:val="24"/>
          <w:vertAlign w:val="baseline"/>
          <w:lang w:val="en-US" w:eastAsia="zh-CN"/>
        </w:rPr>
      </w:pPr>
      <w:r>
        <w:rPr>
          <w:rFonts w:hint="eastAsia" w:ascii="宋体" w:hAnsi="宋体" w:eastAsia="宋体" w:cs="宋体"/>
          <w:b w:val="0"/>
          <w:bCs/>
          <w:color w:val="FF0000"/>
          <w:sz w:val="24"/>
          <w:szCs w:val="24"/>
          <w:vertAlign w:val="baseline"/>
          <w:lang w:val="en-US" w:eastAsia="zh-CN"/>
        </w:rPr>
        <w:t>2.投标人负责开展岗前/在岗培训（每年不少于2次）。</w:t>
      </w:r>
    </w:p>
    <w:p w14:paraId="0BB4FE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900" w:firstLine="480" w:firstLineChars="200"/>
        <w:textAlignment w:val="auto"/>
        <w:rPr>
          <w:rFonts w:hint="eastAsia" w:ascii="宋体" w:hAnsi="宋体" w:eastAsia="宋体" w:cs="宋体"/>
          <w:b w:val="0"/>
          <w:bCs/>
          <w:color w:val="FF0000"/>
          <w:sz w:val="24"/>
          <w:szCs w:val="24"/>
          <w:vertAlign w:val="baseline"/>
          <w:lang w:val="en-US" w:eastAsia="zh-CN"/>
        </w:rPr>
      </w:pPr>
      <w:r>
        <w:rPr>
          <w:rFonts w:hint="eastAsia" w:ascii="宋体" w:hAnsi="宋体" w:eastAsia="宋体" w:cs="宋体"/>
          <w:b w:val="0"/>
          <w:bCs/>
          <w:color w:val="FF0000"/>
          <w:sz w:val="24"/>
          <w:szCs w:val="24"/>
          <w:vertAlign w:val="baseline"/>
          <w:lang w:val="en-US" w:eastAsia="zh-CN"/>
        </w:rPr>
        <w:t>3. 对医院考核不合格人员，中标人必须3个工作日内完成更换。</w:t>
      </w:r>
    </w:p>
    <w:p w14:paraId="21A679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900" w:firstLine="480" w:firstLineChars="200"/>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t xml:space="preserve">4. 人员流失率控制在≤10%以内。 </w:t>
      </w:r>
    </w:p>
    <w:p w14:paraId="5835AFDF">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color w:val="FF0000"/>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t>合规与安全：</w:t>
      </w:r>
      <w:r>
        <w:rPr>
          <w:rFonts w:hint="eastAsia" w:ascii="宋体" w:hAnsi="宋体" w:eastAsia="宋体" w:cs="宋体"/>
          <w:b w:val="0"/>
          <w:bCs/>
          <w:color w:val="FF0000"/>
          <w:sz w:val="24"/>
          <w:szCs w:val="24"/>
          <w:vertAlign w:val="baseline"/>
          <w:lang w:val="en-US" w:eastAsia="zh-CN"/>
        </w:rPr>
        <w:t xml:space="preserve">1.严禁泄露患者隐私/医院数据，被派遣劳动者和中标人承担全部责任。 </w:t>
      </w:r>
    </w:p>
    <w:p w14:paraId="25978D40">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1920" w:firstLineChars="800"/>
        <w:jc w:val="both"/>
        <w:textAlignment w:val="auto"/>
        <w:rPr>
          <w:rFonts w:hint="eastAsia" w:ascii="宋体" w:hAnsi="宋体" w:eastAsia="宋体" w:cs="宋体"/>
          <w:b w:val="0"/>
          <w:bCs/>
          <w:color w:val="FF0000"/>
          <w:sz w:val="24"/>
          <w:szCs w:val="24"/>
          <w:vertAlign w:val="baseline"/>
          <w:lang w:val="en-US" w:eastAsia="zh-CN"/>
        </w:rPr>
      </w:pPr>
      <w:r>
        <w:rPr>
          <w:rFonts w:hint="eastAsia" w:ascii="宋体" w:hAnsi="宋体" w:eastAsia="宋体" w:cs="宋体"/>
          <w:b w:val="0"/>
          <w:bCs/>
          <w:color w:val="FF0000"/>
          <w:kern w:val="2"/>
          <w:sz w:val="24"/>
          <w:szCs w:val="24"/>
          <w:vertAlign w:val="baseline"/>
          <w:lang w:val="en-US" w:eastAsia="zh-CN" w:bidi="ar-SA"/>
        </w:rPr>
        <w:t>2.中标人需在</w:t>
      </w:r>
      <w:r>
        <w:rPr>
          <w:rFonts w:hint="eastAsia" w:ascii="宋体" w:hAnsi="宋体" w:eastAsia="宋体" w:cs="宋体"/>
          <w:b w:val="0"/>
          <w:bCs/>
          <w:color w:val="FF0000"/>
          <w:sz w:val="24"/>
          <w:szCs w:val="24"/>
          <w:vertAlign w:val="baseline"/>
          <w:lang w:val="en-US" w:eastAsia="zh-CN"/>
        </w:rPr>
        <w:t>7×24小时应急响应，4小时内提出解决方案。</w:t>
      </w:r>
    </w:p>
    <w:p w14:paraId="240847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kern w:val="2"/>
          <w:sz w:val="24"/>
          <w:szCs w:val="24"/>
          <w:vertAlign w:val="baseline"/>
          <w:lang w:val="en-US" w:eastAsia="zh-CN" w:bidi="ar-SA"/>
        </w:rPr>
        <w:t>（四）</w:t>
      </w:r>
      <w:r>
        <w:rPr>
          <w:rFonts w:hint="eastAsia" w:asciiTheme="minorEastAsia" w:hAnsiTheme="minorEastAsia" w:eastAsiaTheme="minorEastAsia" w:cstheme="minorEastAsia"/>
          <w:b w:val="0"/>
          <w:bCs/>
          <w:color w:val="auto"/>
          <w:kern w:val="0"/>
          <w:sz w:val="24"/>
          <w:szCs w:val="24"/>
          <w:lang w:val="en-US" w:eastAsia="zh-CN" w:bidi="ar-SA"/>
        </w:rPr>
        <w:t>、考核指标与结算：</w:t>
      </w:r>
    </w:p>
    <w:p w14:paraId="69C9BEAE">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b w:val="0"/>
          <w:bCs/>
          <w:color w:val="FF0000"/>
          <w:kern w:val="2"/>
          <w:sz w:val="24"/>
          <w:szCs w:val="24"/>
          <w:vertAlign w:val="baseline"/>
          <w:lang w:val="en-US" w:eastAsia="zh-CN" w:bidi="ar-SA"/>
        </w:rPr>
      </w:pPr>
      <w:r>
        <w:rPr>
          <w:rFonts w:hint="eastAsia" w:ascii="宋体" w:hAnsi="宋体" w:eastAsia="宋体" w:cs="宋体"/>
          <w:b w:val="0"/>
          <w:bCs/>
          <w:color w:val="FF0000"/>
          <w:kern w:val="2"/>
          <w:sz w:val="24"/>
          <w:szCs w:val="24"/>
          <w:vertAlign w:val="baseline"/>
          <w:lang w:val="en-US" w:eastAsia="zh-CN" w:bidi="ar-SA"/>
        </w:rPr>
        <w:t>1.服务质量：到岗率≥98%；更换及时率100%；投诉处理满意率≥95%。</w:t>
      </w:r>
    </w:p>
    <w:p w14:paraId="13A05377">
      <w:pPr>
        <w:keepNext w:val="0"/>
        <w:keepLines w:val="0"/>
        <w:pageBreakBefore w:val="0"/>
        <w:widowControl w:val="0"/>
        <w:kinsoku/>
        <w:wordWrap w:val="0"/>
        <w:overflowPunct/>
        <w:topLinePunct/>
        <w:autoSpaceDE/>
        <w:autoSpaceDN/>
        <w:bidi w:val="0"/>
        <w:adjustRightInd/>
        <w:snapToGrid/>
        <w:spacing w:line="480" w:lineRule="exact"/>
        <w:ind w:firstLine="480" w:firstLineChars="200"/>
        <w:textAlignment w:val="auto"/>
        <w:rPr>
          <w:rFonts w:hint="eastAsia" w:ascii="宋体" w:hAnsi="宋体" w:eastAsia="宋体" w:cs="宋体"/>
          <w:b w:val="0"/>
          <w:bCs/>
          <w:color w:val="FF0000"/>
          <w:kern w:val="2"/>
          <w:sz w:val="24"/>
          <w:szCs w:val="24"/>
          <w:vertAlign w:val="baseline"/>
          <w:lang w:val="en-US" w:eastAsia="zh-CN" w:bidi="ar-SA"/>
        </w:rPr>
      </w:pPr>
      <w:r>
        <w:rPr>
          <w:rFonts w:hint="eastAsia" w:ascii="宋体" w:hAnsi="宋体" w:eastAsia="宋体" w:cs="宋体"/>
          <w:b w:val="0"/>
          <w:bCs/>
          <w:color w:val="FF0000"/>
          <w:kern w:val="2"/>
          <w:sz w:val="24"/>
          <w:szCs w:val="24"/>
          <w:vertAlign w:val="baseline"/>
          <w:lang w:val="en-US" w:eastAsia="zh-CN" w:bidi="ar-SA"/>
        </w:rPr>
        <w:t>2.合规性： 社保/工资发放准确率100%；劳动纠纷发生率≤1%。</w:t>
      </w:r>
    </w:p>
    <w:p w14:paraId="1BBE03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FF0000"/>
          <w:kern w:val="2"/>
          <w:sz w:val="24"/>
          <w:szCs w:val="24"/>
          <w:vertAlign w:val="baseline"/>
          <w:lang w:val="en-US" w:eastAsia="zh-CN" w:bidi="ar-SA"/>
        </w:rPr>
      </w:pPr>
      <w:r>
        <w:rPr>
          <w:rFonts w:hint="eastAsia" w:ascii="宋体" w:hAnsi="宋体" w:eastAsia="宋体" w:cs="宋体"/>
          <w:b w:val="0"/>
          <w:bCs/>
          <w:color w:val="FF0000"/>
          <w:kern w:val="2"/>
          <w:sz w:val="24"/>
          <w:szCs w:val="24"/>
          <w:vertAlign w:val="baseline"/>
          <w:lang w:val="en-US" w:eastAsia="zh-CN" w:bidi="ar-SA"/>
        </w:rPr>
        <w:t>3.稳定性：人员流失率≤10%</w:t>
      </w:r>
    </w:p>
    <w:p w14:paraId="451F8A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kern w:val="2"/>
          <w:sz w:val="24"/>
          <w:szCs w:val="24"/>
          <w:vertAlign w:val="baseline"/>
          <w:lang w:val="en-US" w:eastAsia="zh-CN" w:bidi="ar-SA"/>
        </w:rPr>
        <w:t>（</w:t>
      </w:r>
      <w:r>
        <w:rPr>
          <w:rFonts w:hint="eastAsia" w:ascii="宋体" w:hAnsi="宋体" w:cs="宋体"/>
          <w:b w:val="0"/>
          <w:bCs/>
          <w:color w:val="auto"/>
          <w:kern w:val="2"/>
          <w:sz w:val="24"/>
          <w:szCs w:val="24"/>
          <w:vertAlign w:val="baseline"/>
          <w:lang w:val="en-US" w:eastAsia="zh-CN" w:bidi="ar-SA"/>
        </w:rPr>
        <w:t>五</w:t>
      </w:r>
      <w:r>
        <w:rPr>
          <w:rFonts w:hint="eastAsia" w:ascii="宋体" w:hAnsi="宋体" w:eastAsia="宋体" w:cs="宋体"/>
          <w:b w:val="0"/>
          <w:bCs/>
          <w:color w:val="auto"/>
          <w:kern w:val="2"/>
          <w:sz w:val="24"/>
          <w:szCs w:val="24"/>
          <w:vertAlign w:val="baseline"/>
          <w:lang w:val="en-US" w:eastAsia="zh-CN" w:bidi="ar-SA"/>
        </w:rPr>
        <w:t>）</w:t>
      </w:r>
      <w:r>
        <w:rPr>
          <w:rFonts w:hint="eastAsia" w:asciiTheme="minorEastAsia" w:hAnsiTheme="minorEastAsia" w:eastAsiaTheme="minorEastAsia" w:cstheme="minorEastAsia"/>
          <w:b w:val="0"/>
          <w:bCs/>
          <w:color w:val="auto"/>
          <w:kern w:val="0"/>
          <w:sz w:val="24"/>
          <w:szCs w:val="24"/>
          <w:lang w:val="en-US" w:eastAsia="zh-CN" w:bidi="ar-SA"/>
        </w:rPr>
        <w:t>、违约责任：</w:t>
      </w:r>
      <w:r>
        <w:rPr>
          <w:rFonts w:hint="eastAsia" w:ascii="宋体" w:hAnsi="宋体" w:eastAsia="宋体" w:cs="宋体"/>
          <w:b w:val="0"/>
          <w:bCs/>
          <w:color w:val="auto"/>
          <w:kern w:val="2"/>
          <w:sz w:val="24"/>
          <w:szCs w:val="24"/>
          <w:vertAlign w:val="baseline"/>
          <w:lang w:val="en-US" w:eastAsia="zh-CN" w:bidi="ar-SA"/>
        </w:rPr>
        <w:t>发生重大劳动纠纷、安全事故、泄密事件赔偿医院全部经济损失，医院有权单方终止合同；</w:t>
      </w:r>
      <w:r>
        <w:rPr>
          <w:rFonts w:hint="default" w:ascii="宋体" w:hAnsi="宋体" w:eastAsia="宋体" w:cs="宋体"/>
          <w:b w:val="0"/>
          <w:bCs/>
          <w:color w:val="auto"/>
          <w:kern w:val="2"/>
          <w:sz w:val="24"/>
          <w:szCs w:val="24"/>
          <w:vertAlign w:val="baseline"/>
          <w:lang w:val="en-US" w:eastAsia="zh-CN" w:bidi="ar-SA"/>
        </w:rPr>
        <w:t>拖欠工资、社保或弄虚作假</w:t>
      </w:r>
      <w:r>
        <w:rPr>
          <w:rFonts w:hint="eastAsia" w:ascii="宋体" w:hAnsi="宋体" w:eastAsia="宋体" w:cs="宋体"/>
          <w:b w:val="0"/>
          <w:bCs/>
          <w:color w:val="auto"/>
          <w:kern w:val="2"/>
          <w:sz w:val="24"/>
          <w:szCs w:val="24"/>
          <w:vertAlign w:val="baseline"/>
          <w:lang w:val="en-US" w:eastAsia="zh-CN" w:bidi="ar-SA"/>
        </w:rPr>
        <w:t>，立即终止合同，追究法律责任。</w:t>
      </w:r>
    </w:p>
    <w:p w14:paraId="088954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b w:val="0"/>
          <w:bCs/>
          <w:color w:val="auto"/>
          <w:sz w:val="24"/>
          <w:szCs w:val="24"/>
          <w:vertAlign w:val="baseline"/>
          <w:lang w:val="en-US" w:eastAsia="zh-CN"/>
        </w:rPr>
      </w:pPr>
    </w:p>
    <w:p w14:paraId="4A91DA18">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14:paraId="761DBC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6B62FA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284C1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14:paraId="502C35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6DCB8B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78AA75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53710A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724EB8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2F0327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324055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1258B9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49A39827">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5895688F">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eastAsia="宋体"/>
          <w:b/>
          <w:bCs/>
          <w:sz w:val="44"/>
          <w:szCs w:val="44"/>
          <w:lang w:val="en-US" w:eastAsia="zh-CN"/>
        </w:rPr>
      </w:pPr>
      <w:r>
        <w:rPr>
          <w:rFonts w:hint="eastAsia"/>
          <w:sz w:val="32"/>
          <w:szCs w:val="32"/>
          <w:lang w:val="en-US" w:eastAsia="zh-CN"/>
        </w:rPr>
        <w:t xml:space="preserve">    </w:t>
      </w:r>
      <w:r>
        <w:rPr>
          <w:rFonts w:hint="eastAsia"/>
          <w:sz w:val="28"/>
          <w:szCs w:val="28"/>
          <w:lang w:val="en-US" w:eastAsia="zh-CN"/>
        </w:rPr>
        <w:t>合同编号：</w:t>
      </w:r>
    </w:p>
    <w:p w14:paraId="5D983A40">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b/>
          <w:bCs/>
          <w:sz w:val="44"/>
          <w:szCs w:val="44"/>
        </w:rPr>
      </w:pPr>
      <w:r>
        <w:rPr>
          <w:b/>
          <w:bCs/>
          <w:sz w:val="44"/>
          <w:szCs w:val="44"/>
        </w:rPr>
        <w:t>劳务派遣协议书</w:t>
      </w:r>
    </w:p>
    <w:p w14:paraId="31EBA60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b/>
          <w:bCs/>
          <w:sz w:val="44"/>
          <w:szCs w:val="44"/>
        </w:rPr>
      </w:pPr>
    </w:p>
    <w:p w14:paraId="045F3E0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eastAsia="宋体"/>
          <w:sz w:val="28"/>
          <w:szCs w:val="28"/>
          <w:lang w:val="en-US" w:eastAsia="zh-CN"/>
        </w:rPr>
      </w:pPr>
      <w:r>
        <w:rPr>
          <w:rFonts w:hint="eastAsia"/>
          <w:b/>
          <w:bCs/>
          <w:sz w:val="28"/>
          <w:szCs w:val="28"/>
          <w:lang w:val="en-US" w:eastAsia="zh-CN"/>
        </w:rPr>
        <w:t>甲方：</w:t>
      </w:r>
      <w:r>
        <w:rPr>
          <w:rFonts w:hint="eastAsia"/>
          <w:sz w:val="28"/>
          <w:szCs w:val="28"/>
        </w:rPr>
        <w:t>娄底市中心医院</w:t>
      </w:r>
    </w:p>
    <w:p w14:paraId="3C9E1597">
      <w:pPr>
        <w:keepNext w:val="0"/>
        <w:keepLines w:val="0"/>
        <w:pageBreakBefore w:val="0"/>
        <w:widowControl w:val="0"/>
        <w:kinsoku/>
        <w:wordWrap/>
        <w:overflowPunct/>
        <w:topLinePunct w:val="0"/>
        <w:autoSpaceDE/>
        <w:autoSpaceDN/>
        <w:bidi w:val="0"/>
        <w:adjustRightInd/>
        <w:snapToGrid/>
        <w:spacing w:line="480" w:lineRule="exact"/>
        <w:textAlignment w:val="auto"/>
        <w:rPr>
          <w:sz w:val="28"/>
          <w:szCs w:val="28"/>
        </w:rPr>
      </w:pPr>
      <w:r>
        <w:rPr>
          <w:rFonts w:hint="eastAsia"/>
          <w:sz w:val="28"/>
          <w:szCs w:val="28"/>
        </w:rPr>
        <w:t>统一社会信用代码：</w:t>
      </w:r>
      <w:r>
        <w:rPr>
          <w:rFonts w:hint="eastAsia"/>
          <w:sz w:val="28"/>
          <w:szCs w:val="28"/>
          <w:lang w:val="en-US" w:eastAsia="zh-CN"/>
        </w:rPr>
        <w:t>12431300447162073W</w:t>
      </w:r>
      <w:r>
        <w:rPr>
          <w:sz w:val="28"/>
          <w:szCs w:val="28"/>
        </w:rPr>
        <w:t xml:space="preserve">                      </w:t>
      </w:r>
    </w:p>
    <w:p w14:paraId="5EE6F7A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b/>
          <w:bCs/>
          <w:sz w:val="28"/>
          <w:szCs w:val="28"/>
          <w:lang w:val="en-US" w:eastAsia="zh-CN"/>
        </w:rPr>
      </w:pPr>
    </w:p>
    <w:p w14:paraId="7D64850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8"/>
          <w:szCs w:val="28"/>
        </w:rPr>
      </w:pPr>
      <w:r>
        <w:rPr>
          <w:rFonts w:hint="eastAsia"/>
          <w:b/>
          <w:bCs/>
          <w:sz w:val="28"/>
          <w:szCs w:val="28"/>
          <w:lang w:val="en-US" w:eastAsia="zh-CN"/>
        </w:rPr>
        <w:t>乙方：</w:t>
      </w:r>
    </w:p>
    <w:p w14:paraId="0EEE520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sz w:val="28"/>
          <w:szCs w:val="28"/>
        </w:rPr>
      </w:pPr>
      <w:r>
        <w:rPr>
          <w:rFonts w:hint="eastAsia"/>
          <w:sz w:val="28"/>
          <w:szCs w:val="28"/>
        </w:rPr>
        <w:t>统一社会信用代码：</w:t>
      </w:r>
    </w:p>
    <w:p w14:paraId="670DB5AB">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sz w:val="28"/>
          <w:szCs w:val="28"/>
        </w:rPr>
      </w:pPr>
    </w:p>
    <w:p w14:paraId="755F79F6">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sz w:val="28"/>
          <w:szCs w:val="28"/>
        </w:rPr>
        <w:t>甲方因临时性、辅助性或替代性的工作岗位需以劳务派遣方式用工，通过院内公开招标方式选定乙方作为劳务派遣单位，双方根据《中华人民共和国劳动法》、《中华人民共和国劳动合同法》、《劳务派遣暂行规定》等相关法律法规规定，在平等自愿、友好协商基础上，就劳务派遣相关事项充分协商，达成本协议条款，以资共同遵守。</w:t>
      </w:r>
    </w:p>
    <w:p w14:paraId="0C3FF4B0">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b/>
          <w:bCs/>
          <w:color w:val="000000"/>
          <w:sz w:val="28"/>
          <w:szCs w:val="28"/>
        </w:rPr>
      </w:pPr>
      <w:r>
        <w:rPr>
          <w:rFonts w:hint="eastAsia"/>
          <w:b/>
          <w:bCs/>
          <w:sz w:val="28"/>
          <w:szCs w:val="28"/>
        </w:rPr>
        <w:t xml:space="preserve">第一条 </w:t>
      </w:r>
      <w:r>
        <w:rPr>
          <w:b/>
          <w:bCs/>
          <w:sz w:val="28"/>
          <w:szCs w:val="28"/>
        </w:rPr>
        <w:t>劳务派遣</w:t>
      </w:r>
      <w:r>
        <w:rPr>
          <w:rFonts w:hint="eastAsia"/>
          <w:b/>
          <w:bCs/>
          <w:sz w:val="28"/>
          <w:szCs w:val="28"/>
        </w:rPr>
        <w:t>的岗位名称、岗位性质、人员数量、派遣期限</w:t>
      </w:r>
    </w:p>
    <w:p w14:paraId="628B7818">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bCs/>
          <w:sz w:val="28"/>
          <w:szCs w:val="28"/>
        </w:rPr>
      </w:pPr>
      <w:r>
        <w:rPr>
          <w:rFonts w:hint="eastAsia"/>
          <w:sz w:val="28"/>
          <w:szCs w:val="28"/>
        </w:rPr>
        <w:t>乙方派遣劳动者到甲方工作的</w:t>
      </w:r>
      <w:r>
        <w:rPr>
          <w:rFonts w:hint="eastAsia"/>
          <w:bCs/>
          <w:sz w:val="28"/>
          <w:szCs w:val="28"/>
        </w:rPr>
        <w:t>岗位名称、岗位性质、人员数量及对应的派遣期限，</w:t>
      </w:r>
      <w:r>
        <w:rPr>
          <w:rFonts w:hint="eastAsia" w:ascii="宋体" w:hAnsi="宋体" w:cs="楷体"/>
          <w:sz w:val="28"/>
          <w:szCs w:val="28"/>
        </w:rPr>
        <w:t>以甲方制作</w:t>
      </w:r>
      <w:r>
        <w:rPr>
          <w:rFonts w:hint="eastAsia" w:ascii="宋体" w:hAnsi="宋体" w:cs="楷体"/>
          <w:sz w:val="28"/>
          <w:szCs w:val="28"/>
          <w:lang w:val="en-US" w:eastAsia="zh-CN"/>
        </w:rPr>
        <w:t>用工明细表</w:t>
      </w:r>
      <w:r>
        <w:rPr>
          <w:rFonts w:hint="eastAsia" w:ascii="宋体" w:hAnsi="宋体" w:cs="楷体"/>
          <w:sz w:val="28"/>
          <w:szCs w:val="28"/>
        </w:rPr>
        <w:t>并经双方确认的</w:t>
      </w:r>
      <w:r>
        <w:rPr>
          <w:rFonts w:hint="eastAsia"/>
          <w:bCs/>
          <w:sz w:val="28"/>
          <w:szCs w:val="28"/>
        </w:rPr>
        <w:t>为准</w:t>
      </w:r>
      <w:r>
        <w:rPr>
          <w:rFonts w:hint="eastAsia" w:ascii="宋体" w:hAnsi="宋体" w:cs="楷体"/>
          <w:sz w:val="28"/>
          <w:szCs w:val="28"/>
        </w:rPr>
        <w:t>。</w:t>
      </w:r>
    </w:p>
    <w:p w14:paraId="4F6B06B8">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b/>
          <w:bCs/>
          <w:color w:val="000000"/>
          <w:sz w:val="28"/>
          <w:szCs w:val="28"/>
        </w:rPr>
      </w:pPr>
      <w:r>
        <w:rPr>
          <w:rFonts w:hint="eastAsia"/>
          <w:b/>
          <w:bCs/>
          <w:color w:val="000000"/>
          <w:sz w:val="28"/>
          <w:szCs w:val="28"/>
        </w:rPr>
        <w:t>第二条 被派遣劳动者的条件</w:t>
      </w:r>
    </w:p>
    <w:p w14:paraId="6FE22631">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color w:val="000000"/>
          <w:sz w:val="28"/>
          <w:szCs w:val="28"/>
        </w:rPr>
      </w:pPr>
      <w:r>
        <w:rPr>
          <w:rFonts w:hint="eastAsia"/>
          <w:color w:val="000000"/>
          <w:sz w:val="28"/>
          <w:szCs w:val="28"/>
        </w:rPr>
        <w:t>被派遣劳动者的年龄、性别、健康状况、学历等条件，由甲方根据岗位要求书面通知乙方。</w:t>
      </w:r>
    </w:p>
    <w:p w14:paraId="61D65278">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b/>
          <w:bCs/>
          <w:sz w:val="28"/>
          <w:szCs w:val="28"/>
        </w:rPr>
      </w:pPr>
      <w:r>
        <w:rPr>
          <w:rFonts w:hint="eastAsia"/>
          <w:b/>
          <w:bCs/>
          <w:sz w:val="28"/>
          <w:szCs w:val="28"/>
        </w:rPr>
        <w:t xml:space="preserve">第三条 </w:t>
      </w:r>
      <w:r>
        <w:rPr>
          <w:b/>
          <w:bCs/>
          <w:color w:val="000000"/>
          <w:sz w:val="28"/>
          <w:szCs w:val="28"/>
        </w:rPr>
        <w:t>劳务派遣协议</w:t>
      </w:r>
      <w:r>
        <w:rPr>
          <w:rFonts w:hint="eastAsia"/>
          <w:b/>
          <w:bCs/>
          <w:color w:val="000000"/>
          <w:sz w:val="28"/>
          <w:szCs w:val="28"/>
        </w:rPr>
        <w:t>期限</w:t>
      </w:r>
    </w:p>
    <w:p w14:paraId="5AFFCD5F">
      <w:pPr>
        <w:pStyle w:val="8"/>
        <w:keepNext w:val="0"/>
        <w:keepLines w:val="0"/>
        <w:pageBreakBefore w:val="0"/>
        <w:widowControl w:val="0"/>
        <w:kinsoku/>
        <w:wordWrap w:val="0"/>
        <w:overflowPunct/>
        <w:topLinePunct/>
        <w:autoSpaceDE/>
        <w:autoSpaceDN/>
        <w:bidi w:val="0"/>
        <w:adjustRightInd/>
        <w:snapToGrid/>
        <w:spacing w:after="0" w:line="460" w:lineRule="exact"/>
        <w:ind w:firstLine="560" w:firstLineChars="200"/>
        <w:textAlignment w:val="auto"/>
        <w:rPr>
          <w:rFonts w:hint="eastAsia" w:ascii="Times New Roman" w:hAnsi="Times New Roman" w:eastAsia="宋体" w:cs="Times New Roman"/>
          <w:kern w:val="2"/>
          <w:sz w:val="28"/>
          <w:szCs w:val="28"/>
          <w:lang w:val="en-US" w:eastAsia="zh-CN" w:bidi="ar-SA"/>
        </w:rPr>
      </w:pPr>
      <w:r>
        <w:rPr>
          <w:bCs/>
          <w:color w:val="FF0000"/>
          <w:sz w:val="28"/>
          <w:szCs w:val="28"/>
        </w:rPr>
        <w:t>劳务派遣协议</w:t>
      </w:r>
      <w:r>
        <w:rPr>
          <w:rFonts w:hint="eastAsia"/>
          <w:bCs/>
          <w:color w:val="FF0000"/>
          <w:sz w:val="28"/>
          <w:szCs w:val="28"/>
        </w:rPr>
        <w:t>期限</w:t>
      </w:r>
      <w:r>
        <w:rPr>
          <w:rFonts w:hint="eastAsia"/>
          <w:color w:val="FF0000"/>
          <w:sz w:val="28"/>
          <w:szCs w:val="28"/>
        </w:rPr>
        <w:t>为</w:t>
      </w:r>
      <w:r>
        <w:rPr>
          <w:rFonts w:hint="eastAsia"/>
          <w:color w:val="FF0000"/>
          <w:sz w:val="28"/>
          <w:szCs w:val="28"/>
          <w:u w:val="none"/>
          <w:lang w:val="en-US" w:eastAsia="zh-CN"/>
        </w:rPr>
        <w:t>1</w:t>
      </w:r>
      <w:r>
        <w:rPr>
          <w:rFonts w:hint="eastAsia"/>
          <w:color w:val="FF0000"/>
          <w:sz w:val="28"/>
          <w:szCs w:val="28"/>
        </w:rPr>
        <w:t>年，</w:t>
      </w:r>
      <w:r>
        <w:rPr>
          <w:rFonts w:hint="eastAsia"/>
          <w:color w:val="FF0000"/>
          <w:sz w:val="28"/>
          <w:szCs w:val="28"/>
          <w:lang w:val="en-US" w:eastAsia="zh-CN"/>
        </w:rPr>
        <w:t>自</w:t>
      </w:r>
      <w:r>
        <w:rPr>
          <w:rFonts w:hint="eastAsia"/>
          <w:color w:val="FF0000"/>
          <w:sz w:val="28"/>
          <w:szCs w:val="28"/>
          <w:u w:val="single"/>
          <w:lang w:val="en-US" w:eastAsia="zh-CN"/>
        </w:rPr>
        <w:t xml:space="preserve">   </w:t>
      </w:r>
      <w:r>
        <w:rPr>
          <w:rFonts w:hint="eastAsia"/>
          <w:color w:val="FF0000"/>
          <w:sz w:val="28"/>
          <w:szCs w:val="28"/>
          <w:u w:val="single"/>
        </w:rPr>
        <w:t xml:space="preserve"> </w:t>
      </w:r>
      <w:r>
        <w:rPr>
          <w:rFonts w:hint="eastAsia"/>
          <w:color w:val="FF0000"/>
          <w:sz w:val="28"/>
          <w:szCs w:val="28"/>
        </w:rPr>
        <w:t>年</w:t>
      </w:r>
      <w:r>
        <w:rPr>
          <w:rFonts w:hint="eastAsia"/>
          <w:color w:val="FF0000"/>
          <w:sz w:val="28"/>
          <w:szCs w:val="28"/>
          <w:u w:val="single"/>
          <w:lang w:val="en-US" w:eastAsia="zh-CN"/>
        </w:rPr>
        <w:t xml:space="preserve">  </w:t>
      </w:r>
      <w:r>
        <w:rPr>
          <w:rFonts w:hint="eastAsia"/>
          <w:color w:val="FF0000"/>
          <w:sz w:val="28"/>
          <w:szCs w:val="28"/>
        </w:rPr>
        <w:t>月</w:t>
      </w:r>
      <w:r>
        <w:rPr>
          <w:rFonts w:hint="eastAsia"/>
          <w:color w:val="FF0000"/>
          <w:sz w:val="28"/>
          <w:szCs w:val="28"/>
          <w:u w:val="single"/>
          <w:lang w:val="en-US" w:eastAsia="zh-CN"/>
        </w:rPr>
        <w:t xml:space="preserve">  </w:t>
      </w:r>
      <w:r>
        <w:rPr>
          <w:rFonts w:hint="eastAsia"/>
          <w:color w:val="FF0000"/>
          <w:sz w:val="28"/>
          <w:szCs w:val="28"/>
        </w:rPr>
        <w:t>日至</w:t>
      </w:r>
      <w:r>
        <w:rPr>
          <w:rFonts w:hint="eastAsia"/>
          <w:color w:val="FF0000"/>
          <w:sz w:val="28"/>
          <w:szCs w:val="28"/>
          <w:u w:val="single"/>
          <w:lang w:val="en-US" w:eastAsia="zh-CN"/>
        </w:rPr>
        <w:t xml:space="preserve">    </w:t>
      </w:r>
      <w:r>
        <w:rPr>
          <w:rFonts w:hint="eastAsia"/>
          <w:color w:val="FF0000"/>
          <w:sz w:val="28"/>
          <w:szCs w:val="28"/>
        </w:rPr>
        <w:t>年</w:t>
      </w:r>
      <w:r>
        <w:rPr>
          <w:rFonts w:hint="eastAsia"/>
          <w:color w:val="FF0000"/>
          <w:sz w:val="28"/>
          <w:szCs w:val="28"/>
          <w:u w:val="single"/>
          <w:lang w:val="en-US" w:eastAsia="zh-CN"/>
        </w:rPr>
        <w:t xml:space="preserve">  </w:t>
      </w:r>
      <w:r>
        <w:rPr>
          <w:rFonts w:hint="eastAsia"/>
          <w:color w:val="FF0000"/>
          <w:sz w:val="28"/>
          <w:szCs w:val="28"/>
        </w:rPr>
        <w:t>月</w:t>
      </w:r>
      <w:r>
        <w:rPr>
          <w:rFonts w:hint="eastAsia"/>
          <w:color w:val="FF0000"/>
          <w:sz w:val="28"/>
          <w:szCs w:val="28"/>
          <w:u w:val="single"/>
          <w:lang w:val="en-US" w:eastAsia="zh-CN"/>
        </w:rPr>
        <w:t xml:space="preserve">  </w:t>
      </w:r>
      <w:r>
        <w:rPr>
          <w:rFonts w:hint="eastAsia"/>
          <w:color w:val="FF0000"/>
          <w:sz w:val="28"/>
          <w:szCs w:val="28"/>
        </w:rPr>
        <w:t>日</w:t>
      </w:r>
      <w:r>
        <w:rPr>
          <w:rFonts w:hint="eastAsia"/>
          <w:color w:val="FF0000"/>
          <w:sz w:val="28"/>
          <w:szCs w:val="28"/>
          <w:lang w:eastAsia="zh-CN"/>
        </w:rPr>
        <w:t>。</w:t>
      </w:r>
      <w:r>
        <w:rPr>
          <w:rFonts w:hint="eastAsia" w:ascii="Times New Roman" w:hAnsi="Times New Roman" w:eastAsia="宋体" w:cs="Times New Roman"/>
          <w:color w:val="0000FF"/>
          <w:kern w:val="2"/>
          <w:sz w:val="28"/>
          <w:szCs w:val="28"/>
          <w:lang w:val="en-US" w:eastAsia="zh-CN" w:bidi="ar-SA"/>
        </w:rPr>
        <w:t>本合同期限届满时，如乙方经甲方考核合格，合同期限可顺延，每次顺延期限以壹年为限，顺延次数以贰次为限；每次顺延，甲乙双方须另行签订</w:t>
      </w:r>
      <w:r>
        <w:rPr>
          <w:bCs/>
          <w:color w:val="0000FF"/>
          <w:sz w:val="28"/>
          <w:szCs w:val="28"/>
        </w:rPr>
        <w:t>劳务派遣协议</w:t>
      </w:r>
      <w:r>
        <w:rPr>
          <w:rFonts w:hint="eastAsia" w:ascii="Times New Roman" w:hAnsi="Times New Roman" w:eastAsia="宋体" w:cs="Times New Roman"/>
          <w:color w:val="0000FF"/>
          <w:kern w:val="2"/>
          <w:sz w:val="28"/>
          <w:szCs w:val="28"/>
          <w:lang w:val="en-US" w:eastAsia="zh-CN" w:bidi="ar-SA"/>
        </w:rPr>
        <w:t>。</w:t>
      </w:r>
    </w:p>
    <w:p w14:paraId="3DFAE6B4">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sz w:val="28"/>
          <w:szCs w:val="28"/>
        </w:rPr>
      </w:pPr>
      <w:r>
        <w:rPr>
          <w:rFonts w:hint="eastAsia"/>
          <w:b/>
          <w:bCs/>
          <w:sz w:val="28"/>
          <w:szCs w:val="28"/>
        </w:rPr>
        <w:t>第四条 劳动报酬等费</w:t>
      </w:r>
      <w:r>
        <w:rPr>
          <w:b/>
          <w:bCs/>
          <w:sz w:val="28"/>
          <w:szCs w:val="28"/>
        </w:rPr>
        <w:t>用标准</w:t>
      </w:r>
      <w:r>
        <w:rPr>
          <w:rFonts w:hint="eastAsia"/>
          <w:b/>
          <w:bCs/>
          <w:sz w:val="28"/>
          <w:szCs w:val="28"/>
        </w:rPr>
        <w:t>、结算、支付方式和时间</w:t>
      </w:r>
    </w:p>
    <w:p w14:paraId="34A21D7A">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color w:val="000000"/>
          <w:sz w:val="28"/>
          <w:szCs w:val="28"/>
        </w:rPr>
      </w:pPr>
      <w:r>
        <w:rPr>
          <w:rFonts w:hint="eastAsia" w:ascii="宋体" w:hAnsi="宋体" w:cs="楷体"/>
          <w:sz w:val="28"/>
          <w:szCs w:val="28"/>
        </w:rPr>
        <w:t>一、被派遣劳动者在甲方的劳动报</w:t>
      </w:r>
      <w:r>
        <w:rPr>
          <w:rFonts w:hint="eastAsia" w:ascii="宋体" w:hAnsi="宋体" w:cs="楷体"/>
          <w:color w:val="000000"/>
          <w:sz w:val="28"/>
          <w:szCs w:val="28"/>
        </w:rPr>
        <w:t>酬</w:t>
      </w:r>
      <w:r>
        <w:rPr>
          <w:rFonts w:hint="eastAsia" w:ascii="宋体" w:hAnsi="宋体" w:cs="楷体"/>
          <w:color w:val="000000"/>
          <w:sz w:val="28"/>
          <w:szCs w:val="28"/>
          <w:lang w:eastAsia="zh-CN"/>
        </w:rPr>
        <w:t>（</w:t>
      </w:r>
      <w:r>
        <w:rPr>
          <w:rFonts w:hint="eastAsia" w:ascii="宋体" w:hAnsi="宋体" w:cs="楷体"/>
          <w:color w:val="000000"/>
          <w:sz w:val="28"/>
          <w:szCs w:val="28"/>
          <w:lang w:val="en-US" w:eastAsia="zh-CN"/>
        </w:rPr>
        <w:t>含基本工资、绩效奖金、晚夜班费、加班费，下同</w:t>
      </w:r>
      <w:r>
        <w:rPr>
          <w:rFonts w:hint="eastAsia" w:ascii="宋体" w:hAnsi="宋体" w:cs="楷体"/>
          <w:color w:val="000000"/>
          <w:sz w:val="28"/>
          <w:szCs w:val="28"/>
          <w:lang w:eastAsia="zh-CN"/>
        </w:rPr>
        <w:t>）</w:t>
      </w:r>
      <w:r>
        <w:rPr>
          <w:rFonts w:hint="eastAsia" w:ascii="宋体" w:hAnsi="宋体" w:cs="楷体"/>
          <w:color w:val="000000"/>
          <w:sz w:val="28"/>
          <w:szCs w:val="28"/>
        </w:rPr>
        <w:t>和</w:t>
      </w:r>
      <w:r>
        <w:rPr>
          <w:rFonts w:hint="eastAsia" w:ascii="宋体" w:hAnsi="宋体" w:cs="楷体"/>
          <w:color w:val="000000"/>
          <w:sz w:val="28"/>
          <w:szCs w:val="28"/>
          <w:lang w:val="en-US" w:eastAsia="zh-CN"/>
        </w:rPr>
        <w:t>福利</w:t>
      </w:r>
      <w:r>
        <w:rPr>
          <w:rFonts w:hint="eastAsia" w:ascii="宋体" w:hAnsi="宋体" w:cs="楷体"/>
          <w:color w:val="000000"/>
          <w:sz w:val="28"/>
          <w:szCs w:val="28"/>
        </w:rPr>
        <w:t>待遇标准</w:t>
      </w:r>
    </w:p>
    <w:p w14:paraId="723D5A1A">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default" w:ascii="宋体" w:hAnsi="宋体" w:eastAsia="宋体" w:cs="楷体"/>
          <w:color w:val="000000"/>
          <w:sz w:val="28"/>
          <w:szCs w:val="28"/>
          <w:lang w:val="en-US" w:eastAsia="zh-CN"/>
        </w:rPr>
      </w:pPr>
      <w:r>
        <w:rPr>
          <w:rFonts w:hint="eastAsia" w:ascii="宋体" w:hAnsi="宋体" w:cs="楷体"/>
          <w:color w:val="000000"/>
          <w:sz w:val="28"/>
          <w:szCs w:val="28"/>
        </w:rPr>
        <w:t>（一）被派遣劳动者基本工资</w:t>
      </w:r>
      <w:r>
        <w:rPr>
          <w:rFonts w:hint="eastAsia" w:ascii="宋体" w:hAnsi="宋体" w:cs="楷体"/>
          <w:color w:val="FF0000"/>
          <w:sz w:val="28"/>
          <w:szCs w:val="28"/>
          <w:lang w:val="en-US" w:eastAsia="zh-CN"/>
        </w:rPr>
        <w:t>根据不同岗位据实结算</w:t>
      </w:r>
      <w:r>
        <w:rPr>
          <w:rFonts w:hint="eastAsia" w:ascii="宋体" w:hAnsi="宋体" w:cs="楷体"/>
          <w:color w:val="000000"/>
          <w:sz w:val="28"/>
          <w:szCs w:val="28"/>
        </w:rPr>
        <w:t>（</w:t>
      </w:r>
      <w:r>
        <w:rPr>
          <w:rFonts w:hint="eastAsia" w:ascii="宋体" w:hAnsi="宋体" w:cs="楷体"/>
          <w:color w:val="FF0000"/>
          <w:sz w:val="28"/>
          <w:szCs w:val="28"/>
          <w:lang w:val="en-US" w:eastAsia="zh-CN"/>
        </w:rPr>
        <w:t>不低于娄底市最低工资标准，</w:t>
      </w:r>
      <w:r>
        <w:rPr>
          <w:rFonts w:hint="eastAsia" w:ascii="宋体" w:hAnsi="宋体" w:cs="楷体"/>
          <w:color w:val="000000"/>
          <w:sz w:val="28"/>
          <w:szCs w:val="28"/>
        </w:rPr>
        <w:t>包含个人需承担的</w:t>
      </w:r>
      <w:r>
        <w:rPr>
          <w:rFonts w:hint="eastAsia" w:ascii="宋体" w:hAnsi="宋体" w:cs="楷体"/>
          <w:color w:val="000000"/>
          <w:sz w:val="28"/>
          <w:szCs w:val="28"/>
          <w:lang w:val="en-US" w:eastAsia="zh-CN"/>
        </w:rPr>
        <w:t>社会保险</w:t>
      </w:r>
      <w:r>
        <w:rPr>
          <w:rFonts w:hint="eastAsia" w:ascii="宋体" w:hAnsi="宋体" w:cs="楷体"/>
          <w:color w:val="000000"/>
          <w:sz w:val="28"/>
          <w:szCs w:val="28"/>
        </w:rPr>
        <w:t>）</w:t>
      </w:r>
      <w:r>
        <w:rPr>
          <w:rFonts w:hint="eastAsia" w:ascii="宋体" w:hAnsi="宋体" w:cs="楷体"/>
          <w:color w:val="000000"/>
          <w:sz w:val="28"/>
          <w:szCs w:val="28"/>
          <w:lang w:val="en-US" w:eastAsia="zh-CN"/>
        </w:rPr>
        <w:t>；前述标准不因社会保险费缴费基数调整而调整。</w:t>
      </w:r>
    </w:p>
    <w:p w14:paraId="2E1BCC17">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ascii="宋体" w:hAnsi="宋体" w:cs="楷体"/>
          <w:color w:val="000000"/>
          <w:sz w:val="28"/>
          <w:szCs w:val="28"/>
          <w:lang w:val="en-US" w:eastAsia="zh-CN"/>
        </w:rPr>
      </w:pPr>
      <w:r>
        <w:rPr>
          <w:rFonts w:hint="eastAsia" w:ascii="宋体" w:hAnsi="宋体" w:cs="楷体"/>
          <w:color w:val="000000"/>
          <w:sz w:val="28"/>
          <w:szCs w:val="28"/>
          <w:lang w:val="en-US" w:eastAsia="zh-CN"/>
        </w:rPr>
        <w:t>（二）被派遣劳动者</w:t>
      </w:r>
      <w:r>
        <w:rPr>
          <w:rFonts w:hint="eastAsia" w:ascii="宋体" w:hAnsi="宋体" w:cs="楷体"/>
          <w:color w:val="000000"/>
          <w:sz w:val="28"/>
          <w:szCs w:val="28"/>
        </w:rPr>
        <w:t>绩效</w:t>
      </w:r>
      <w:r>
        <w:rPr>
          <w:rFonts w:hint="eastAsia" w:ascii="宋体" w:hAnsi="宋体" w:cs="楷体"/>
          <w:color w:val="000000"/>
          <w:sz w:val="28"/>
          <w:szCs w:val="28"/>
          <w:lang w:val="en-US" w:eastAsia="zh-CN"/>
        </w:rPr>
        <w:t>奖金、晚夜班费、加班费由甲方按照同工同酬的原则据实核算；</w:t>
      </w:r>
    </w:p>
    <w:p w14:paraId="39F0257C">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color w:val="000000"/>
          <w:sz w:val="28"/>
          <w:szCs w:val="28"/>
        </w:rPr>
      </w:pPr>
      <w:r>
        <w:rPr>
          <w:rFonts w:hint="eastAsia" w:ascii="宋体" w:hAnsi="宋体" w:cs="楷体"/>
          <w:color w:val="000000"/>
          <w:sz w:val="28"/>
          <w:szCs w:val="28"/>
        </w:rPr>
        <w:t>（</w:t>
      </w:r>
      <w:r>
        <w:rPr>
          <w:rFonts w:hint="eastAsia" w:ascii="宋体" w:hAnsi="宋体" w:cs="楷体"/>
          <w:color w:val="000000"/>
          <w:sz w:val="28"/>
          <w:szCs w:val="28"/>
          <w:lang w:val="en-US" w:eastAsia="zh-CN"/>
        </w:rPr>
        <w:t>三</w:t>
      </w:r>
      <w:r>
        <w:rPr>
          <w:rFonts w:hint="eastAsia" w:ascii="宋体" w:hAnsi="宋体" w:cs="楷体"/>
          <w:color w:val="000000"/>
          <w:sz w:val="28"/>
          <w:szCs w:val="28"/>
        </w:rPr>
        <w:t>）</w:t>
      </w:r>
      <w:r>
        <w:rPr>
          <w:rFonts w:hint="eastAsia" w:ascii="宋体" w:hAnsi="宋体" w:cs="楷体"/>
          <w:color w:val="000000"/>
          <w:sz w:val="28"/>
          <w:szCs w:val="28"/>
          <w:lang w:val="en-US" w:eastAsia="zh-CN"/>
        </w:rPr>
        <w:t>节假日福利待遇</w:t>
      </w:r>
      <w:r>
        <w:rPr>
          <w:rFonts w:hint="eastAsia" w:ascii="宋体" w:hAnsi="宋体" w:cs="楷体"/>
          <w:color w:val="000000"/>
          <w:sz w:val="28"/>
          <w:szCs w:val="28"/>
        </w:rPr>
        <w:t>，</w:t>
      </w:r>
      <w:r>
        <w:rPr>
          <w:rFonts w:hint="eastAsia" w:ascii="宋体" w:hAnsi="宋体" w:cs="楷体"/>
          <w:color w:val="000000"/>
          <w:sz w:val="28"/>
          <w:szCs w:val="28"/>
          <w:lang w:val="en-US" w:eastAsia="zh-CN"/>
        </w:rPr>
        <w:t>由</w:t>
      </w:r>
      <w:r>
        <w:rPr>
          <w:rFonts w:hint="eastAsia" w:ascii="宋体" w:hAnsi="宋体" w:cs="楷体"/>
          <w:color w:val="000000"/>
          <w:sz w:val="28"/>
          <w:szCs w:val="28"/>
        </w:rPr>
        <w:t>甲方</w:t>
      </w:r>
      <w:r>
        <w:rPr>
          <w:rFonts w:hint="eastAsia" w:ascii="宋体" w:hAnsi="宋体" w:cs="楷体"/>
          <w:color w:val="000000"/>
          <w:sz w:val="28"/>
          <w:szCs w:val="28"/>
          <w:lang w:val="en-US" w:eastAsia="zh-CN"/>
        </w:rPr>
        <w:t>按同工同酬原则直接</w:t>
      </w:r>
      <w:r>
        <w:rPr>
          <w:rFonts w:hint="eastAsia" w:ascii="宋体" w:hAnsi="宋体" w:cs="楷体"/>
          <w:color w:val="000000"/>
          <w:sz w:val="28"/>
          <w:szCs w:val="28"/>
        </w:rPr>
        <w:t>支付给被派遣劳动者。</w:t>
      </w:r>
    </w:p>
    <w:p w14:paraId="1F021CBB">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color w:val="000000"/>
          <w:sz w:val="28"/>
          <w:szCs w:val="28"/>
          <w:lang w:eastAsia="zh-CN"/>
        </w:rPr>
        <w:t>（</w:t>
      </w:r>
      <w:r>
        <w:rPr>
          <w:rFonts w:hint="eastAsia" w:ascii="宋体" w:hAnsi="宋体" w:cs="楷体"/>
          <w:color w:val="000000"/>
          <w:sz w:val="28"/>
          <w:szCs w:val="28"/>
          <w:lang w:val="en-US" w:eastAsia="zh-CN"/>
        </w:rPr>
        <w:t>四</w:t>
      </w:r>
      <w:r>
        <w:rPr>
          <w:rFonts w:hint="eastAsia" w:ascii="宋体" w:hAnsi="宋体" w:cs="楷体"/>
          <w:color w:val="000000"/>
          <w:sz w:val="28"/>
          <w:szCs w:val="28"/>
          <w:lang w:eastAsia="zh-CN"/>
        </w:rPr>
        <w:t>）</w:t>
      </w:r>
      <w:r>
        <w:rPr>
          <w:rFonts w:hint="eastAsia" w:ascii="宋体" w:hAnsi="宋体" w:cs="楷体"/>
          <w:color w:val="000000"/>
          <w:sz w:val="28"/>
          <w:szCs w:val="28"/>
        </w:rPr>
        <w:t>被派遣劳动者在甲方工作期间的</w:t>
      </w:r>
      <w:r>
        <w:rPr>
          <w:rFonts w:hint="eastAsia" w:ascii="宋体" w:hAnsi="宋体" w:cs="楷体"/>
          <w:color w:val="000000"/>
          <w:sz w:val="28"/>
          <w:szCs w:val="28"/>
          <w:highlight w:val="none"/>
          <w:lang w:val="en-US" w:eastAsia="zh-CN"/>
        </w:rPr>
        <w:t>社会保险</w:t>
      </w:r>
      <w:r>
        <w:rPr>
          <w:rFonts w:hint="eastAsia" w:ascii="宋体" w:hAnsi="宋体" w:cs="楷体"/>
          <w:sz w:val="28"/>
          <w:szCs w:val="28"/>
          <w:highlight w:val="none"/>
        </w:rPr>
        <w:t>，</w:t>
      </w:r>
      <w:r>
        <w:rPr>
          <w:rFonts w:hint="eastAsia" w:ascii="宋体" w:hAnsi="宋体" w:cs="楷体"/>
          <w:sz w:val="28"/>
          <w:szCs w:val="28"/>
        </w:rPr>
        <w:t>由乙方按湖南省、娄底市的相关规定缴纳和承担。</w:t>
      </w:r>
    </w:p>
    <w:p w14:paraId="643D500E">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二、劳务派遣服务费标准</w:t>
      </w:r>
    </w:p>
    <w:p w14:paraId="00F9FB57">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劳务派遣服务费标准为</w:t>
      </w:r>
      <w:r>
        <w:rPr>
          <w:rFonts w:hint="eastAsia" w:ascii="宋体" w:hAnsi="宋体" w:cs="楷体"/>
          <w:sz w:val="28"/>
          <w:szCs w:val="28"/>
          <w:u w:val="single"/>
          <w:lang w:val="en-US" w:eastAsia="zh-CN"/>
        </w:rPr>
        <w:t xml:space="preserve">      </w:t>
      </w:r>
      <w:r>
        <w:rPr>
          <w:rFonts w:hint="eastAsia" w:ascii="宋体" w:hAnsi="宋体" w:cs="楷体"/>
          <w:sz w:val="28"/>
          <w:szCs w:val="28"/>
        </w:rPr>
        <w:t>元/人/月（该标准包含了税费）。</w:t>
      </w:r>
    </w:p>
    <w:p w14:paraId="3DB0E49D">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三、劳动报酬等费用结算及支付时间、方式</w:t>
      </w:r>
    </w:p>
    <w:p w14:paraId="7D6EA2A1">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（一）甲方应在每月</w:t>
      </w:r>
      <w:r>
        <w:rPr>
          <w:rFonts w:hint="eastAsia" w:ascii="宋体" w:hAnsi="宋体" w:cs="楷体"/>
          <w:sz w:val="28"/>
          <w:szCs w:val="28"/>
          <w:u w:val="single"/>
          <w:lang w:val="en-US" w:eastAsia="zh-CN"/>
        </w:rPr>
        <w:t>10</w:t>
      </w:r>
      <w:r>
        <w:rPr>
          <w:rFonts w:hint="eastAsia" w:ascii="宋体" w:hAnsi="宋体" w:cs="楷体"/>
          <w:sz w:val="28"/>
          <w:szCs w:val="28"/>
        </w:rPr>
        <w:t>日前与乙方就上个月劳动报酬、劳务派遣服务费等费用进行结算。乙方在结算完成之日起</w:t>
      </w:r>
      <w:r>
        <w:rPr>
          <w:rFonts w:hint="eastAsia" w:ascii="宋体" w:hAnsi="宋体" w:cs="楷体"/>
          <w:sz w:val="28"/>
          <w:szCs w:val="28"/>
          <w:u w:val="single"/>
          <w:lang w:val="en-US" w:eastAsia="zh-CN"/>
        </w:rPr>
        <w:t>3</w:t>
      </w:r>
      <w:r>
        <w:rPr>
          <w:rFonts w:hint="eastAsia" w:ascii="宋体" w:hAnsi="宋体" w:cs="楷体"/>
          <w:sz w:val="28"/>
          <w:szCs w:val="28"/>
        </w:rPr>
        <w:t>个工作日内向甲方提供劳动报酬部分的收款收据及乙方为被派遗劳动者缴纳上个月的社会保险费的凭证，向甲方提供以其自己名义开具的</w:t>
      </w:r>
      <w:r>
        <w:rPr>
          <w:rFonts w:hint="eastAsia" w:ascii="宋体" w:hAnsi="宋体" w:cs="楷体"/>
          <w:sz w:val="28"/>
          <w:szCs w:val="28"/>
          <w:lang w:val="en-US" w:eastAsia="zh-CN"/>
        </w:rPr>
        <w:t>价税合计金额与该月</w:t>
      </w:r>
      <w:r>
        <w:rPr>
          <w:rFonts w:hint="eastAsia" w:ascii="宋体" w:hAnsi="宋体" w:cs="楷体"/>
          <w:sz w:val="28"/>
          <w:szCs w:val="28"/>
        </w:rPr>
        <w:t>劳务派遣服务费</w:t>
      </w:r>
      <w:r>
        <w:rPr>
          <w:rFonts w:hint="eastAsia" w:ascii="宋体" w:hAnsi="宋体" w:cs="楷体"/>
          <w:sz w:val="28"/>
          <w:szCs w:val="28"/>
          <w:lang w:val="en-US" w:eastAsia="zh-CN"/>
        </w:rPr>
        <w:t>等额</w:t>
      </w:r>
      <w:r>
        <w:rPr>
          <w:rFonts w:hint="eastAsia" w:ascii="宋体" w:hAnsi="宋体" w:cs="楷体"/>
          <w:sz w:val="28"/>
          <w:szCs w:val="28"/>
        </w:rPr>
        <w:t>的增值税普通发票；甲方在收到前述收款收据、社会保险费缴费凭证及发票之日起</w:t>
      </w:r>
      <w:r>
        <w:rPr>
          <w:rFonts w:hint="eastAsia" w:ascii="宋体" w:hAnsi="宋体" w:cs="楷体"/>
          <w:sz w:val="28"/>
          <w:szCs w:val="28"/>
          <w:u w:val="single"/>
          <w:lang w:val="en-US" w:eastAsia="zh-CN"/>
        </w:rPr>
        <w:t>10</w:t>
      </w:r>
      <w:r>
        <w:rPr>
          <w:rFonts w:hint="eastAsia" w:ascii="宋体" w:hAnsi="宋体" w:cs="楷体"/>
          <w:sz w:val="28"/>
          <w:szCs w:val="28"/>
        </w:rPr>
        <w:t>个工作内将劳动报酬、劳务派遣服务费通过银行转账方式</w:t>
      </w:r>
      <w:r>
        <w:rPr>
          <w:rFonts w:hint="eastAsia" w:ascii="宋体" w:hAnsi="宋体" w:cs="楷体"/>
          <w:sz w:val="28"/>
          <w:szCs w:val="28"/>
          <w:lang w:val="en-US" w:eastAsia="zh-CN"/>
        </w:rPr>
        <w:t>分别</w:t>
      </w:r>
      <w:r>
        <w:rPr>
          <w:rFonts w:hint="eastAsia" w:ascii="宋体" w:hAnsi="宋体" w:cs="楷体"/>
          <w:sz w:val="28"/>
          <w:szCs w:val="28"/>
        </w:rPr>
        <w:t>支付给乙方。</w:t>
      </w:r>
    </w:p>
    <w:p w14:paraId="53C0F200">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（二）乙方指定收取款项的银行账户开户行</w:t>
      </w:r>
      <w:r>
        <w:rPr>
          <w:rFonts w:hint="eastAsia" w:ascii="宋体" w:hAnsi="宋体" w:cs="楷体"/>
          <w:sz w:val="28"/>
          <w:szCs w:val="28"/>
          <w:u w:val="single"/>
        </w:rPr>
        <w:t xml:space="preserve">        </w:t>
      </w:r>
      <w:r>
        <w:rPr>
          <w:rFonts w:hint="eastAsia" w:ascii="宋体" w:hAnsi="宋体" w:cs="楷体"/>
          <w:sz w:val="28"/>
          <w:szCs w:val="28"/>
        </w:rPr>
        <w:t>户名：</w:t>
      </w:r>
      <w:r>
        <w:rPr>
          <w:rFonts w:hint="eastAsia" w:ascii="宋体" w:hAnsi="宋体" w:cs="楷体"/>
          <w:sz w:val="28"/>
          <w:szCs w:val="28"/>
          <w:u w:val="single"/>
        </w:rPr>
        <w:t xml:space="preserve">              </w:t>
      </w:r>
      <w:r>
        <w:rPr>
          <w:rFonts w:hint="eastAsia" w:ascii="宋体" w:hAnsi="宋体" w:cs="楷体"/>
          <w:sz w:val="28"/>
          <w:szCs w:val="28"/>
        </w:rPr>
        <w:t xml:space="preserve"> 账号:</w:t>
      </w:r>
      <w:r>
        <w:rPr>
          <w:rFonts w:hint="eastAsia" w:ascii="宋体" w:hAnsi="宋体" w:cs="楷体"/>
          <w:sz w:val="28"/>
          <w:szCs w:val="28"/>
          <w:u w:val="single"/>
        </w:rPr>
        <w:t xml:space="preserve">                </w:t>
      </w:r>
      <w:r>
        <w:rPr>
          <w:rFonts w:hint="eastAsia" w:ascii="宋体" w:hAnsi="宋体" w:cs="楷体"/>
          <w:sz w:val="28"/>
          <w:szCs w:val="28"/>
        </w:rPr>
        <w:t>。</w:t>
      </w:r>
    </w:p>
    <w:p w14:paraId="4364FE58">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b/>
          <w:bCs/>
          <w:sz w:val="28"/>
          <w:szCs w:val="28"/>
        </w:rPr>
      </w:pPr>
      <w:r>
        <w:rPr>
          <w:rFonts w:hint="eastAsia"/>
          <w:b/>
          <w:bCs/>
          <w:sz w:val="28"/>
          <w:szCs w:val="28"/>
        </w:rPr>
        <w:t xml:space="preserve">第五条 </w:t>
      </w:r>
      <w:r>
        <w:rPr>
          <w:b/>
          <w:bCs/>
          <w:sz w:val="28"/>
          <w:szCs w:val="28"/>
        </w:rPr>
        <w:t>甲方</w:t>
      </w:r>
      <w:r>
        <w:rPr>
          <w:rFonts w:hint="eastAsia"/>
          <w:b/>
          <w:bCs/>
          <w:sz w:val="28"/>
          <w:szCs w:val="28"/>
        </w:rPr>
        <w:t>其他</w:t>
      </w:r>
      <w:r>
        <w:rPr>
          <w:b/>
          <w:bCs/>
          <w:sz w:val="28"/>
          <w:szCs w:val="28"/>
        </w:rPr>
        <w:t>权利义务</w:t>
      </w:r>
    </w:p>
    <w:p w14:paraId="143689D1">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一、要求被派遣劳动者遵守甲方的各项规章制度和劳动纪律，对特殊工作岗位人员，要求持证上岗，并根据规章制度及考核指标对乙方及被派遣劳动者提供的服务内容和质量进行考核。</w:t>
      </w:r>
    </w:p>
    <w:p w14:paraId="5DE03608">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color w:val="auto"/>
          <w:sz w:val="28"/>
          <w:szCs w:val="28"/>
        </w:rPr>
      </w:pPr>
      <w:r>
        <w:rPr>
          <w:color w:val="auto"/>
          <w:sz w:val="28"/>
          <w:szCs w:val="28"/>
        </w:rPr>
        <w:t>二、有权查询乙方发放被派遣劳动者的劳动报酬和缴纳社会保险费等情况。</w:t>
      </w:r>
    </w:p>
    <w:p w14:paraId="43E947AC">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color w:val="auto"/>
          <w:sz w:val="28"/>
          <w:szCs w:val="28"/>
        </w:rPr>
      </w:pPr>
      <w:r>
        <w:rPr>
          <w:rFonts w:hint="eastAsia"/>
          <w:color w:val="auto"/>
          <w:sz w:val="28"/>
          <w:szCs w:val="28"/>
          <w:lang w:eastAsia="zh-CN"/>
        </w:rPr>
        <w:t>甲方</w:t>
      </w:r>
      <w:r>
        <w:rPr>
          <w:color w:val="auto"/>
          <w:sz w:val="28"/>
          <w:szCs w:val="28"/>
        </w:rPr>
        <w:t>发现乙方克扣被派遣劳动者报酬，</w:t>
      </w:r>
      <w:r>
        <w:rPr>
          <w:rFonts w:hint="eastAsia"/>
          <w:color w:val="auto"/>
          <w:sz w:val="28"/>
          <w:szCs w:val="28"/>
          <w:lang w:eastAsia="zh-CN"/>
        </w:rPr>
        <w:t>有权</w:t>
      </w:r>
      <w:r>
        <w:rPr>
          <w:color w:val="auto"/>
          <w:sz w:val="28"/>
          <w:szCs w:val="28"/>
        </w:rPr>
        <w:t>要求乙方限期纠正。乙方逾期未纠正的，甲方有权依据生效的法律文书或劳动监察部门的书面处理决定，将相应劳动报酬直接支付至劳动者本人或劳动监察部门指定账户。支付劳动报酬所需费用，甲方有权从应付乙方的劳务派遣服务费中扣除补足。</w:t>
      </w:r>
    </w:p>
    <w:p w14:paraId="65BF937A">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eastAsia="宋体"/>
          <w:color w:val="auto"/>
          <w:sz w:val="28"/>
          <w:szCs w:val="28"/>
          <w:lang w:eastAsia="zh-CN"/>
        </w:rPr>
      </w:pPr>
      <w:r>
        <w:rPr>
          <w:rFonts w:hint="eastAsia"/>
          <w:color w:val="auto"/>
          <w:sz w:val="28"/>
          <w:szCs w:val="28"/>
          <w:lang w:eastAsia="zh-CN"/>
        </w:rPr>
        <w:t>甲方</w:t>
      </w:r>
      <w:r>
        <w:rPr>
          <w:color w:val="auto"/>
          <w:sz w:val="28"/>
          <w:szCs w:val="28"/>
        </w:rPr>
        <w:t>发现乙方未为被派遣劳动者缴纳社会保险费用，有权向社保部门举报</w:t>
      </w:r>
      <w:r>
        <w:rPr>
          <w:rFonts w:hint="eastAsia"/>
          <w:color w:val="auto"/>
          <w:sz w:val="28"/>
          <w:szCs w:val="28"/>
          <w:lang w:eastAsia="zh-CN"/>
        </w:rPr>
        <w:t>。</w:t>
      </w:r>
    </w:p>
    <w:p w14:paraId="6297C5BE">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sz w:val="28"/>
          <w:szCs w:val="28"/>
        </w:rPr>
        <w:t>三、</w:t>
      </w:r>
      <w:r>
        <w:rPr>
          <w:sz w:val="28"/>
          <w:szCs w:val="28"/>
        </w:rPr>
        <w:t>甲方不得将</w:t>
      </w:r>
      <w:r>
        <w:rPr>
          <w:rFonts w:hint="eastAsia"/>
          <w:sz w:val="28"/>
          <w:szCs w:val="28"/>
        </w:rPr>
        <w:t>被派遣劳动者</w:t>
      </w:r>
      <w:r>
        <w:rPr>
          <w:sz w:val="28"/>
          <w:szCs w:val="28"/>
        </w:rPr>
        <w:t>再派遣到其他用人单位</w:t>
      </w:r>
      <w:r>
        <w:rPr>
          <w:rFonts w:hint="eastAsia"/>
          <w:sz w:val="28"/>
          <w:szCs w:val="28"/>
        </w:rPr>
        <w:t>。</w:t>
      </w:r>
    </w:p>
    <w:p w14:paraId="037523AF">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四、因被派遣劳动者严重违反甲方规章制度造成甲方财产损失的，乙方应与被派遣劳动者承担连带赔偿责任，甲方有权从乙方的劳务派遣服务费中扣除。</w:t>
      </w:r>
    </w:p>
    <w:p w14:paraId="595AD279">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五、审定乙方制订的与被派遣劳动者有关的规章制度，并检查、监督乙方对规章制度的执行情况。</w:t>
      </w:r>
    </w:p>
    <w:p w14:paraId="390C7453">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六、因业务工作范围或管理项目增加或减少，与乙方协商确定有关费用。</w:t>
      </w:r>
    </w:p>
    <w:p w14:paraId="0D003D13">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七、不得要求被派遣劳动者从事违法工作；如有违反，造成乙方或被派遣劳动者损害的，由此而产生的经济损失及相关法律后果由甲方承担。</w:t>
      </w:r>
    </w:p>
    <w:p w14:paraId="34985D11">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八、被派遣劳动者发生工伤事故时，甲方应协助乙方驻场管理员及时送伤者就医治疗，医疗费用由乙方承担</w:t>
      </w:r>
      <w:r>
        <w:rPr>
          <w:rFonts w:hint="eastAsia" w:ascii="宋体" w:hAnsi="宋体" w:cs="楷体"/>
          <w:sz w:val="28"/>
          <w:szCs w:val="28"/>
          <w:highlight w:val="none"/>
        </w:rPr>
        <w:t>；若</w:t>
      </w:r>
      <w:r>
        <w:rPr>
          <w:rFonts w:hint="eastAsia" w:ascii="宋体" w:hAnsi="宋体" w:cs="楷体"/>
          <w:sz w:val="28"/>
          <w:szCs w:val="28"/>
        </w:rPr>
        <w:t>甲方垫付了医疗费用，乙方应在甲方垫付之日起</w:t>
      </w:r>
      <w:r>
        <w:rPr>
          <w:rFonts w:hint="eastAsia" w:ascii="宋体" w:hAnsi="宋体" w:cs="楷体"/>
          <w:sz w:val="28"/>
          <w:szCs w:val="28"/>
          <w:u w:val="single"/>
          <w:lang w:val="en-US" w:eastAsia="zh-CN"/>
        </w:rPr>
        <w:t>5</w:t>
      </w:r>
      <w:r>
        <w:rPr>
          <w:rFonts w:hint="eastAsia" w:ascii="宋体" w:hAnsi="宋体" w:cs="楷体"/>
          <w:sz w:val="28"/>
          <w:szCs w:val="28"/>
        </w:rPr>
        <w:t>个工作日内返还给甲方。若未及时返还，甲方有权从应付的派遣服务费中扣除。</w:t>
      </w:r>
    </w:p>
    <w:p w14:paraId="40AF97A7">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sz w:val="28"/>
          <w:szCs w:val="28"/>
        </w:rPr>
      </w:pPr>
      <w:r>
        <w:rPr>
          <w:rFonts w:hint="eastAsia"/>
          <w:sz w:val="28"/>
          <w:szCs w:val="28"/>
        </w:rPr>
        <w:t>九、</w:t>
      </w:r>
      <w:r>
        <w:rPr>
          <w:rFonts w:hint="eastAsia" w:ascii="宋体" w:hAnsi="宋体" w:cs="楷体"/>
          <w:sz w:val="28"/>
          <w:szCs w:val="28"/>
        </w:rPr>
        <w:t>告知被派遣劳动者所从事岗位的职业危害、安全生产状况、工作条件、</w:t>
      </w:r>
      <w:r>
        <w:rPr>
          <w:sz w:val="28"/>
          <w:szCs w:val="28"/>
        </w:rPr>
        <w:t>工作要求和劳动报酬</w:t>
      </w:r>
      <w:r>
        <w:rPr>
          <w:rFonts w:hint="eastAsia"/>
          <w:sz w:val="28"/>
          <w:szCs w:val="28"/>
        </w:rPr>
        <w:t>。</w:t>
      </w:r>
    </w:p>
    <w:p w14:paraId="36521BDE">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default"/>
          <w:color w:val="FF0000"/>
          <w:sz w:val="28"/>
          <w:szCs w:val="28"/>
          <w:u w:val="single"/>
          <w:lang w:val="en-US" w:eastAsia="zh-CN"/>
        </w:rPr>
      </w:pPr>
      <w:r>
        <w:rPr>
          <w:rFonts w:hint="eastAsia"/>
          <w:sz w:val="28"/>
          <w:szCs w:val="28"/>
          <w:lang w:val="en-US" w:eastAsia="zh-CN"/>
        </w:rPr>
        <w:t>十、</w:t>
      </w:r>
      <w:r>
        <w:rPr>
          <w:rFonts w:hint="eastAsia"/>
          <w:color w:val="FF0000"/>
          <w:sz w:val="28"/>
          <w:szCs w:val="28"/>
          <w:lang w:val="en-US" w:eastAsia="zh-CN"/>
        </w:rPr>
        <w:t>甲方每月根据以下标准对乙方进行考核，未达成以下任一标准，甲方有权要求乙方承担相应违约责任：</w:t>
      </w:r>
    </w:p>
    <w:p w14:paraId="16F75FD6">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color w:val="FF0000"/>
          <w:sz w:val="28"/>
          <w:szCs w:val="28"/>
          <w:lang w:val="en-US" w:eastAsia="zh-CN"/>
        </w:rPr>
      </w:pPr>
      <w:r>
        <w:rPr>
          <w:rFonts w:hint="eastAsia"/>
          <w:color w:val="FF0000"/>
          <w:sz w:val="28"/>
          <w:szCs w:val="28"/>
          <w:lang w:val="en-US" w:eastAsia="zh-CN"/>
        </w:rPr>
        <w:t>1.服务质量：到岗率≥98%；更换及时率100%；投诉处理满意率≥95%。</w:t>
      </w:r>
    </w:p>
    <w:p w14:paraId="4624A833">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color w:val="FF0000"/>
          <w:sz w:val="28"/>
          <w:szCs w:val="28"/>
          <w:lang w:val="en-US" w:eastAsia="zh-CN"/>
        </w:rPr>
      </w:pPr>
      <w:r>
        <w:rPr>
          <w:rFonts w:hint="eastAsia"/>
          <w:color w:val="FF0000"/>
          <w:sz w:val="28"/>
          <w:szCs w:val="28"/>
          <w:lang w:val="en-US" w:eastAsia="zh-CN"/>
        </w:rPr>
        <w:t>2.合规性： 社保/工资发放准确率100%；劳动纠纷发生率≤1%。</w:t>
      </w:r>
    </w:p>
    <w:p w14:paraId="0CCB6F11">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color w:val="FF0000"/>
          <w:sz w:val="28"/>
          <w:szCs w:val="28"/>
          <w:lang w:val="en-US" w:eastAsia="zh-CN"/>
        </w:rPr>
      </w:pPr>
      <w:r>
        <w:rPr>
          <w:rFonts w:hint="eastAsia"/>
          <w:color w:val="FF0000"/>
          <w:sz w:val="28"/>
          <w:szCs w:val="28"/>
          <w:lang w:val="en-US" w:eastAsia="zh-CN"/>
        </w:rPr>
        <w:t>3.稳定性：人员流失率≤10%。</w:t>
      </w:r>
    </w:p>
    <w:p w14:paraId="58813090">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rFonts w:ascii="宋体" w:hAnsi="宋体" w:cs="楷体"/>
          <w:sz w:val="28"/>
          <w:szCs w:val="28"/>
        </w:rPr>
      </w:pPr>
      <w:r>
        <w:rPr>
          <w:rFonts w:hint="eastAsia"/>
          <w:b/>
          <w:bCs/>
          <w:sz w:val="28"/>
          <w:szCs w:val="28"/>
        </w:rPr>
        <w:t xml:space="preserve">第六条 </w:t>
      </w:r>
      <w:r>
        <w:rPr>
          <w:b/>
          <w:bCs/>
          <w:sz w:val="28"/>
          <w:szCs w:val="28"/>
        </w:rPr>
        <w:t>乙方</w:t>
      </w:r>
      <w:r>
        <w:rPr>
          <w:rFonts w:hint="eastAsia"/>
          <w:b/>
          <w:bCs/>
          <w:sz w:val="28"/>
          <w:szCs w:val="28"/>
        </w:rPr>
        <w:t>其他</w:t>
      </w:r>
      <w:r>
        <w:rPr>
          <w:b/>
          <w:bCs/>
          <w:sz w:val="28"/>
          <w:szCs w:val="28"/>
        </w:rPr>
        <w:t>权利义务</w:t>
      </w:r>
    </w:p>
    <w:p w14:paraId="7BDC296D">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color w:val="FF0000"/>
          <w:sz w:val="28"/>
          <w:szCs w:val="28"/>
        </w:rPr>
      </w:pPr>
      <w:r>
        <w:rPr>
          <w:rFonts w:hint="eastAsia" w:ascii="宋体" w:hAnsi="宋体" w:cs="楷体"/>
          <w:sz w:val="28"/>
          <w:szCs w:val="28"/>
        </w:rPr>
        <w:t>一、应按甲方用工计划和</w:t>
      </w:r>
      <w:r>
        <w:rPr>
          <w:rFonts w:hint="eastAsia"/>
          <w:color w:val="000000"/>
          <w:sz w:val="28"/>
          <w:szCs w:val="28"/>
        </w:rPr>
        <w:t>岗位需要</w:t>
      </w:r>
      <w:r>
        <w:rPr>
          <w:rFonts w:hint="eastAsia" w:ascii="宋体" w:hAnsi="宋体" w:cs="楷体"/>
          <w:color w:val="000000"/>
          <w:sz w:val="28"/>
          <w:szCs w:val="28"/>
        </w:rPr>
        <w:t>，在收到甲方通知之日起</w:t>
      </w:r>
      <w:r>
        <w:rPr>
          <w:rFonts w:hint="eastAsia" w:ascii="宋体" w:hAnsi="宋体" w:cs="楷体"/>
          <w:color w:val="000000"/>
          <w:sz w:val="28"/>
          <w:szCs w:val="28"/>
          <w:u w:val="single"/>
          <w:lang w:val="en-US" w:eastAsia="zh-CN"/>
        </w:rPr>
        <w:t>10个工作日</w:t>
      </w:r>
      <w:r>
        <w:rPr>
          <w:rFonts w:hint="eastAsia" w:ascii="宋体" w:hAnsi="宋体" w:cs="楷体"/>
          <w:color w:val="000000"/>
          <w:sz w:val="28"/>
          <w:szCs w:val="28"/>
        </w:rPr>
        <w:t>内完成招录，</w:t>
      </w:r>
      <w:r>
        <w:rPr>
          <w:rFonts w:hint="eastAsia"/>
          <w:color w:val="000000"/>
          <w:sz w:val="28"/>
          <w:szCs w:val="28"/>
        </w:rPr>
        <w:t>如有特殊岗位需持职业技能证书上岗的，乙方应提供被派遣劳动者相应职业技能岗位证书。</w:t>
      </w:r>
      <w:r>
        <w:rPr>
          <w:rFonts w:hint="eastAsia"/>
          <w:color w:val="FF0000"/>
          <w:sz w:val="28"/>
          <w:szCs w:val="28"/>
        </w:rPr>
        <w:t xml:space="preserve"> </w:t>
      </w:r>
    </w:p>
    <w:p w14:paraId="7CA2127A">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二、应按甲方各</w:t>
      </w:r>
      <w:r>
        <w:rPr>
          <w:rFonts w:hint="eastAsia" w:ascii="宋体" w:hAnsi="宋体" w:cs="楷体"/>
          <w:sz w:val="28"/>
          <w:szCs w:val="28"/>
          <w:lang w:val="en-US" w:eastAsia="zh-CN"/>
        </w:rPr>
        <w:t>临时性、替代性、</w:t>
      </w:r>
      <w:r>
        <w:rPr>
          <w:rFonts w:hint="eastAsia" w:ascii="宋体" w:hAnsi="宋体" w:cs="楷体"/>
          <w:sz w:val="28"/>
          <w:szCs w:val="28"/>
        </w:rPr>
        <w:t>辅助性岗位的工作要求、岗位职责、操作规程及有关规章制度，建立科学合理的招聘录用制度、岗前培训制度（不包括甲方科室业务类培训）、被派遣劳动者服务绩效考核汇总和反馈制度、保密制度等，并在本协议签订之日起</w:t>
      </w:r>
      <w:r>
        <w:rPr>
          <w:rFonts w:hint="eastAsia" w:ascii="宋体" w:hAnsi="宋体" w:cs="楷体"/>
          <w:sz w:val="28"/>
          <w:szCs w:val="28"/>
          <w:u w:val="single"/>
          <w:lang w:val="en-US" w:eastAsia="zh-CN"/>
        </w:rPr>
        <w:t>15个工作</w:t>
      </w:r>
      <w:r>
        <w:rPr>
          <w:rFonts w:hint="eastAsia" w:ascii="宋体" w:hAnsi="宋体" w:cs="楷体"/>
          <w:sz w:val="28"/>
          <w:szCs w:val="28"/>
        </w:rPr>
        <w:t>日内将与被派遣劳动者有关的管理制度及管理办法报甲方备案。</w:t>
      </w:r>
    </w:p>
    <w:p w14:paraId="156CE188">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default" w:ascii="宋体" w:hAnsi="宋体" w:cs="楷体"/>
          <w:sz w:val="28"/>
          <w:szCs w:val="28"/>
          <w:lang w:val="en-US"/>
        </w:rPr>
      </w:pPr>
      <w:r>
        <w:rPr>
          <w:rFonts w:hint="eastAsia" w:ascii="宋体" w:hAnsi="宋体" w:cs="楷体"/>
          <w:sz w:val="28"/>
          <w:szCs w:val="28"/>
        </w:rPr>
        <w:t>三、应与被派遣劳动者签订</w:t>
      </w:r>
      <w:r>
        <w:rPr>
          <w:rFonts w:hint="eastAsia" w:ascii="宋体" w:hAnsi="宋体" w:eastAsia="宋体" w:cs="楷体"/>
          <w:sz w:val="28"/>
          <w:szCs w:val="28"/>
          <w:u w:val="single"/>
          <w:lang w:val="en-US" w:eastAsia="zh-CN"/>
        </w:rPr>
        <w:t xml:space="preserve"> 二 年</w:t>
      </w:r>
      <w:r>
        <w:rPr>
          <w:rFonts w:hint="eastAsia" w:ascii="宋体" w:hAnsi="宋体" w:cs="楷体"/>
          <w:sz w:val="28"/>
          <w:szCs w:val="28"/>
        </w:rPr>
        <w:t>( 不少于</w:t>
      </w:r>
      <w:r>
        <w:rPr>
          <w:rFonts w:hint="eastAsia" w:ascii="宋体" w:hAnsi="宋体" w:cs="楷体"/>
          <w:color w:val="FF0000"/>
          <w:sz w:val="28"/>
          <w:szCs w:val="28"/>
          <w:lang w:val="en-US" w:eastAsia="zh-CN"/>
        </w:rPr>
        <w:t>二</w:t>
      </w:r>
      <w:r>
        <w:rPr>
          <w:rFonts w:hint="eastAsia" w:ascii="宋体" w:hAnsi="宋体" w:cs="楷体"/>
          <w:color w:val="FF0000"/>
          <w:sz w:val="28"/>
          <w:szCs w:val="28"/>
        </w:rPr>
        <w:t>年</w:t>
      </w:r>
      <w:r>
        <w:rPr>
          <w:rFonts w:hint="eastAsia" w:ascii="宋体" w:hAnsi="宋体" w:cs="楷体"/>
          <w:sz w:val="28"/>
          <w:szCs w:val="28"/>
        </w:rPr>
        <w:t>且应包含该被派劳动者对应的派遣期限)以上固定期限的劳动合同及相关保密协议，并到劳动行政主管部门办理劳动合同备案，将备案后的劳动合同、职工花名册复印件提交给甲方，原件供甲方核对。</w:t>
      </w:r>
    </w:p>
    <w:p w14:paraId="4FF6CE04">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default" w:ascii="宋体" w:hAnsi="宋体" w:eastAsia="宋体" w:cs="楷体"/>
          <w:color w:val="0000FF"/>
          <w:sz w:val="28"/>
          <w:szCs w:val="28"/>
          <w:lang w:val="en-US" w:eastAsia="zh-CN"/>
        </w:rPr>
      </w:pPr>
      <w:r>
        <w:rPr>
          <w:rFonts w:hint="eastAsia" w:ascii="宋体" w:hAnsi="宋体" w:cs="楷体"/>
          <w:color w:val="000000"/>
          <w:sz w:val="28"/>
          <w:szCs w:val="28"/>
        </w:rPr>
        <w:t>四、被派遣劳动者上岗前，对其进行背景调查、组织其到三甲医院进行体检；</w:t>
      </w:r>
      <w:r>
        <w:rPr>
          <w:rFonts w:hint="eastAsia"/>
          <w:color w:val="000000"/>
          <w:sz w:val="28"/>
          <w:szCs w:val="28"/>
        </w:rPr>
        <w:t>特殊岗位还应按该岗位要求提供对应的体检报告，</w:t>
      </w:r>
      <w:r>
        <w:rPr>
          <w:rFonts w:hint="eastAsia" w:ascii="宋体" w:hAnsi="宋体" w:cs="楷体"/>
          <w:color w:val="000000"/>
          <w:sz w:val="28"/>
          <w:szCs w:val="28"/>
        </w:rPr>
        <w:t>经甲方相关科室认可方可派遣到甲方上岗。</w:t>
      </w:r>
      <w:r>
        <w:rPr>
          <w:rFonts w:hint="eastAsia" w:ascii="宋体" w:hAnsi="宋体" w:cs="楷体"/>
          <w:color w:val="0000FF"/>
          <w:sz w:val="28"/>
          <w:szCs w:val="28"/>
          <w:lang w:val="en-US" w:eastAsia="zh-CN"/>
        </w:rPr>
        <w:t>每合同年度应开展不少于2次的岗前/在岗培训。</w:t>
      </w:r>
    </w:p>
    <w:p w14:paraId="2E0FF488">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olor w:val="000000"/>
          <w:sz w:val="28"/>
          <w:szCs w:val="28"/>
        </w:rPr>
      </w:pPr>
      <w:r>
        <w:rPr>
          <w:rFonts w:hint="eastAsia" w:ascii="宋体" w:hAnsi="宋体" w:cs="楷体"/>
          <w:color w:val="000000"/>
          <w:sz w:val="28"/>
          <w:szCs w:val="28"/>
        </w:rPr>
        <w:t>五、教育被派遣劳动者在工作中随时留意特殊情况，提高警惕性，如发现意外事件或安全隐患要及时报告。</w:t>
      </w:r>
    </w:p>
    <w:p w14:paraId="4CD5071B">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olor w:val="000000"/>
          <w:sz w:val="28"/>
          <w:szCs w:val="28"/>
        </w:rPr>
      </w:pPr>
      <w:r>
        <w:rPr>
          <w:rFonts w:hint="eastAsia" w:ascii="宋体" w:hAnsi="宋体" w:cs="楷体"/>
          <w:color w:val="000000"/>
          <w:sz w:val="28"/>
          <w:szCs w:val="28"/>
        </w:rPr>
        <w:t>六、</w:t>
      </w:r>
      <w:r>
        <w:rPr>
          <w:rFonts w:hint="eastAsia" w:ascii="宋体" w:hAnsi="宋体" w:cs="楷体"/>
          <w:color w:val="0000FF"/>
          <w:sz w:val="28"/>
          <w:szCs w:val="28"/>
          <w:lang w:val="en-US" w:eastAsia="zh-CN"/>
        </w:rPr>
        <w:t>应派驻专职项目经理</w:t>
      </w:r>
      <w:r>
        <w:rPr>
          <w:rFonts w:hint="eastAsia" w:ascii="宋体" w:hAnsi="宋体" w:cs="楷体"/>
          <w:color w:val="0000FF"/>
          <w:sz w:val="28"/>
          <w:szCs w:val="28"/>
          <w:u w:val="single"/>
          <w:lang w:val="en-US" w:eastAsia="zh-CN"/>
        </w:rPr>
        <w:t xml:space="preserve">     </w:t>
      </w:r>
      <w:r>
        <w:rPr>
          <w:rFonts w:hint="eastAsia" w:ascii="宋体" w:hAnsi="宋体" w:cs="楷体"/>
          <w:color w:val="0000FF"/>
          <w:sz w:val="28"/>
          <w:szCs w:val="28"/>
          <w:u w:val="none"/>
          <w:lang w:val="en-US" w:eastAsia="zh-CN"/>
        </w:rPr>
        <w:t>（联系电话：</w:t>
      </w:r>
      <w:r>
        <w:rPr>
          <w:rFonts w:hint="eastAsia" w:ascii="宋体" w:hAnsi="宋体" w:cs="楷体"/>
          <w:color w:val="0000FF"/>
          <w:sz w:val="28"/>
          <w:szCs w:val="28"/>
          <w:u w:val="single"/>
          <w:lang w:val="en-US" w:eastAsia="zh-CN"/>
        </w:rPr>
        <w:t xml:space="preserve">      </w:t>
      </w:r>
      <w:r>
        <w:rPr>
          <w:rFonts w:hint="eastAsia" w:ascii="宋体" w:hAnsi="宋体" w:cs="楷体"/>
          <w:color w:val="0000FF"/>
          <w:sz w:val="28"/>
          <w:szCs w:val="28"/>
          <w:u w:val="none"/>
          <w:lang w:val="en-US" w:eastAsia="zh-CN"/>
        </w:rPr>
        <w:t>），每月驻场时间应</w:t>
      </w:r>
      <w:r>
        <w:rPr>
          <w:rFonts w:hint="eastAsia" w:ascii="宋体" w:hAnsi="宋体" w:eastAsia="宋体" w:cs="楷体"/>
          <w:color w:val="0000FF"/>
          <w:sz w:val="28"/>
          <w:szCs w:val="28"/>
          <w:u w:val="none"/>
          <w:lang w:val="en-US" w:eastAsia="zh-CN"/>
        </w:rPr>
        <w:t>≥15天。</w:t>
      </w:r>
      <w:r>
        <w:rPr>
          <w:rFonts w:hint="eastAsia" w:ascii="宋体" w:hAnsi="宋体" w:cs="楷体"/>
          <w:color w:val="000000"/>
          <w:sz w:val="28"/>
          <w:szCs w:val="28"/>
        </w:rPr>
        <w:t>被派遣劳动者在工作过程中突发事件或与甲方发生争端时，乙方应派人第一时间赶到现场，启动应急预案，与甲方共同积极处理。</w:t>
      </w:r>
    </w:p>
    <w:p w14:paraId="76DA9346">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七、应在每月</w:t>
      </w:r>
      <w:r>
        <w:rPr>
          <w:rFonts w:hint="eastAsia" w:ascii="宋体" w:hAnsi="宋体" w:cs="楷体"/>
          <w:sz w:val="28"/>
          <w:szCs w:val="28"/>
          <w:u w:val="single"/>
          <w:lang w:val="en-US" w:eastAsia="zh-CN"/>
        </w:rPr>
        <w:t>25</w:t>
      </w:r>
      <w:r>
        <w:rPr>
          <w:rFonts w:hint="eastAsia" w:ascii="宋体" w:hAnsi="宋体" w:cs="楷体"/>
          <w:sz w:val="28"/>
          <w:szCs w:val="28"/>
        </w:rPr>
        <w:t>日前足额向被派遣劳动者支付劳动报酬和缴纳各项社会保险费。</w:t>
      </w:r>
    </w:p>
    <w:p w14:paraId="37C97599">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八、负责处理与被派遣</w:t>
      </w:r>
      <w:r>
        <w:rPr>
          <w:rFonts w:hint="eastAsia" w:ascii="宋体" w:hAnsi="宋体" w:cs="楷体"/>
          <w:color w:val="000000"/>
          <w:sz w:val="28"/>
          <w:szCs w:val="28"/>
        </w:rPr>
        <w:t>劳动者发生的</w:t>
      </w:r>
      <w:r>
        <w:rPr>
          <w:rFonts w:hint="eastAsia" w:ascii="宋体" w:hAnsi="宋体" w:cs="楷体"/>
          <w:sz w:val="28"/>
          <w:szCs w:val="28"/>
        </w:rPr>
        <w:t>劳动争议和承担相应法律责任。</w:t>
      </w:r>
    </w:p>
    <w:p w14:paraId="02715753">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九、被派遣劳动者因个人原因发生的治安和刑事案件，由乙方与被派遣劳动者共同负责处理并承担相关损失。</w:t>
      </w:r>
    </w:p>
    <w:p w14:paraId="056EF85E">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十、教育被派遣劳动者爱护甲方财产，未经甲方批准，不得随意使用、调配甲方财产或将财产借给任何个人或其他部门，不得私自占有甲方财产；如有违反，给甲方造成损失，由被派遣劳动者负责赔偿；乙方应配合甲方优先从其报酬中扣除。被派遣劳动者报酬无法扣除的，乙方需承担连带责任。</w:t>
      </w:r>
    </w:p>
    <w:p w14:paraId="023CEC0A">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十一、告知被派遣劳动者对甲方业务、工作流程、方式、管理制度、甲方患者个人信息以及其他商业秘密等保密信息予以严格保密，不得以任何方式泄露。因乙方或被派遣劳动者故意或过失泄露甲方保密信息给甲方造成的损失，乙方应与该被派遣劳动者承担连带赔偿责任。</w:t>
      </w:r>
    </w:p>
    <w:p w14:paraId="43264358">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color w:val="000000"/>
          <w:sz w:val="28"/>
          <w:szCs w:val="28"/>
        </w:rPr>
      </w:pPr>
      <w:r>
        <w:rPr>
          <w:rFonts w:hint="eastAsia" w:ascii="宋体" w:hAnsi="宋体" w:cs="楷体"/>
          <w:color w:val="000000"/>
          <w:sz w:val="28"/>
          <w:szCs w:val="28"/>
        </w:rPr>
        <w:t>十二、在本协议期限内，因被派遣劳动者故意或过失给自己或甲方或第三方造成损失的，由乙方及被派遣劳动者承担连带责任。</w:t>
      </w:r>
    </w:p>
    <w:p w14:paraId="02D1E59E">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十三、违反《劳动法》、《劳动合同法》等相关法律法规规定，给被派遣劳动者造成经济损失，由乙方承担赔偿责任。</w:t>
      </w:r>
    </w:p>
    <w:p w14:paraId="47E1B134">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ascii="宋体" w:hAnsi="宋体" w:eastAsia="宋体" w:cs="楷体"/>
          <w:color w:val="0000FF"/>
          <w:sz w:val="28"/>
          <w:szCs w:val="28"/>
          <w:lang w:val="en-US" w:eastAsia="zh-CN"/>
        </w:rPr>
      </w:pPr>
      <w:r>
        <w:rPr>
          <w:rFonts w:hint="eastAsia" w:ascii="宋体" w:hAnsi="宋体" w:cs="楷体"/>
          <w:sz w:val="28"/>
          <w:szCs w:val="28"/>
        </w:rPr>
        <w:t>十四、教育被派遣劳动者在法定节假期服从甲方安排，未经甲方同意不得离开工作岗位,具体实施根据甲方相关制度执行，</w:t>
      </w:r>
      <w:r>
        <w:rPr>
          <w:rFonts w:hint="eastAsia"/>
          <w:sz w:val="28"/>
          <w:szCs w:val="28"/>
        </w:rPr>
        <w:t>委派专人负责协助甲方对被派遣劳动者进行日常工作管理、岗位调动、考核，并</w:t>
      </w:r>
      <w:r>
        <w:rPr>
          <w:rFonts w:hint="eastAsia" w:ascii="宋体" w:hAnsi="宋体" w:cs="楷体"/>
          <w:sz w:val="28"/>
          <w:szCs w:val="28"/>
        </w:rPr>
        <w:t>自愿接受甲方考核结果。</w:t>
      </w:r>
    </w:p>
    <w:p w14:paraId="1A614265">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rFonts w:hint="eastAsia" w:ascii="宋体" w:hAnsi="宋体" w:cs="楷体"/>
          <w:b/>
          <w:sz w:val="28"/>
          <w:szCs w:val="28"/>
        </w:rPr>
      </w:pPr>
      <w:r>
        <w:rPr>
          <w:rFonts w:hint="eastAsia" w:ascii="宋体" w:hAnsi="宋体" w:cs="楷体"/>
          <w:b/>
          <w:sz w:val="28"/>
          <w:szCs w:val="28"/>
        </w:rPr>
        <w:t>第七条 被派遣劳动者工作时间和休息休假</w:t>
      </w:r>
    </w:p>
    <w:p w14:paraId="12C33432">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ascii="宋体" w:hAnsi="宋体" w:cs="楷体"/>
          <w:sz w:val="28"/>
          <w:szCs w:val="28"/>
        </w:rPr>
      </w:pPr>
      <w:r>
        <w:rPr>
          <w:rFonts w:hint="eastAsia" w:ascii="宋体" w:hAnsi="宋体" w:cs="楷体"/>
          <w:sz w:val="28"/>
          <w:szCs w:val="28"/>
        </w:rPr>
        <w:t>一、甲方应确保被派遣劳动者每周至少休息1天。</w:t>
      </w:r>
    </w:p>
    <w:p w14:paraId="2D673705">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二、被派遣劳动者休息、法定节假日、婚丧假、病事假、工伤假、年休假，孕产假等的休假事宜，由甲方各科室自行安排和进行考勤，乙方还应自行负责考勤和备案。</w:t>
      </w:r>
    </w:p>
    <w:p w14:paraId="09FD6C98">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rFonts w:ascii="宋体" w:hAnsi="宋体" w:cs="楷体"/>
          <w:b/>
          <w:sz w:val="28"/>
          <w:szCs w:val="28"/>
        </w:rPr>
      </w:pPr>
      <w:r>
        <w:rPr>
          <w:rFonts w:hint="eastAsia" w:ascii="宋体" w:hAnsi="宋体" w:cs="楷体"/>
          <w:b/>
          <w:sz w:val="28"/>
          <w:szCs w:val="28"/>
        </w:rPr>
        <w:t>第八条 被派遣劳动者工伤、生育或患病期间的相关待遇</w:t>
      </w:r>
    </w:p>
    <w:p w14:paraId="194FAC58">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ascii="宋体" w:hAnsi="宋体" w:cs="楷体"/>
          <w:color w:val="000000"/>
          <w:sz w:val="28"/>
          <w:szCs w:val="28"/>
          <w:lang w:val="en-US" w:eastAsia="zh-CN"/>
        </w:rPr>
      </w:pPr>
      <w:r>
        <w:rPr>
          <w:rFonts w:hint="eastAsia" w:ascii="宋体" w:hAnsi="宋体" w:cs="楷体"/>
          <w:sz w:val="28"/>
          <w:szCs w:val="28"/>
        </w:rPr>
        <w:t>一、被派遣劳动者如发生工伤事故，由乙方负责处理，并承担工伤保险责任和工伤保险待遇费用</w:t>
      </w:r>
      <w:r>
        <w:rPr>
          <w:rFonts w:hint="eastAsia" w:ascii="宋体" w:hAnsi="宋体" w:cs="楷体"/>
          <w:color w:val="000000"/>
          <w:sz w:val="28"/>
          <w:szCs w:val="28"/>
          <w:lang w:val="en-US" w:eastAsia="zh-CN"/>
        </w:rPr>
        <w:t>，甲方无需给予乙方任何补偿。</w:t>
      </w:r>
    </w:p>
    <w:p w14:paraId="6FF48BA8">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二、被派遣劳动者如因生育或患病需休假，依法应享受的生育津贴、病假薪酬等费用，均由乙方负责。</w:t>
      </w:r>
    </w:p>
    <w:p w14:paraId="2970ECE1">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rFonts w:ascii="宋体" w:hAnsi="宋体" w:cs="楷体"/>
          <w:b/>
          <w:sz w:val="28"/>
          <w:szCs w:val="28"/>
        </w:rPr>
      </w:pPr>
      <w:r>
        <w:rPr>
          <w:rFonts w:hint="eastAsia" w:ascii="宋体" w:hAnsi="宋体" w:cs="楷体"/>
          <w:b/>
          <w:sz w:val="28"/>
          <w:szCs w:val="28"/>
        </w:rPr>
        <w:t>第九条 劳动安全卫生及培训</w:t>
      </w:r>
    </w:p>
    <w:p w14:paraId="4701AA36">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ascii="宋体" w:hAnsi="宋体" w:cs="楷体"/>
          <w:sz w:val="28"/>
          <w:szCs w:val="28"/>
        </w:rPr>
        <w:t>一、甲方应确保被派遣劳动者的劳动安全，为被派遣劳动者提供合格的工作环境、必要的工作条件、安全的工作流程和设备设施，</w:t>
      </w:r>
      <w:r>
        <w:rPr>
          <w:sz w:val="28"/>
          <w:szCs w:val="28"/>
        </w:rPr>
        <w:t>对在岗</w:t>
      </w:r>
      <w:r>
        <w:rPr>
          <w:rFonts w:hint="eastAsia"/>
          <w:sz w:val="28"/>
          <w:szCs w:val="28"/>
        </w:rPr>
        <w:t>被派遣劳动者</w:t>
      </w:r>
      <w:r>
        <w:rPr>
          <w:sz w:val="28"/>
          <w:szCs w:val="28"/>
        </w:rPr>
        <w:t>进行工作岗位所必需的</w:t>
      </w:r>
      <w:r>
        <w:rPr>
          <w:rFonts w:hint="eastAsia"/>
          <w:sz w:val="28"/>
          <w:szCs w:val="28"/>
        </w:rPr>
        <w:t>业务</w:t>
      </w:r>
      <w:r>
        <w:rPr>
          <w:sz w:val="28"/>
          <w:szCs w:val="28"/>
        </w:rPr>
        <w:t>培训</w:t>
      </w:r>
      <w:r>
        <w:rPr>
          <w:rFonts w:hint="eastAsia"/>
          <w:sz w:val="28"/>
          <w:szCs w:val="28"/>
        </w:rPr>
        <w:t>。</w:t>
      </w:r>
    </w:p>
    <w:p w14:paraId="4DBA3F28">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二、甲方应为被派遣劳动者提供工作所需的工具、制服、劳保用品等物品。</w:t>
      </w:r>
    </w:p>
    <w:p w14:paraId="0C4D5D35">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color w:val="000000"/>
          <w:sz w:val="28"/>
          <w:szCs w:val="28"/>
        </w:rPr>
      </w:pPr>
      <w:r>
        <w:rPr>
          <w:rFonts w:hint="eastAsia" w:ascii="宋体" w:hAnsi="宋体" w:cs="楷体"/>
          <w:sz w:val="28"/>
          <w:szCs w:val="28"/>
        </w:rPr>
        <w:t>三、乙方应对被派遣劳动者进行上岗知识、劳动安全与职业卫生的教育和培训，</w:t>
      </w:r>
      <w:r>
        <w:rPr>
          <w:rFonts w:hint="eastAsia" w:ascii="宋体" w:hAnsi="宋体" w:cs="楷体"/>
          <w:color w:val="000000"/>
          <w:sz w:val="28"/>
          <w:szCs w:val="28"/>
        </w:rPr>
        <w:t>使被派遣劳动者熟悉工作岗位、提高安全意识，注意各项安全和禁止事项，做好防火防盗工作，消除工作场所安全隐患。</w:t>
      </w:r>
    </w:p>
    <w:p w14:paraId="7224B3FD">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color w:val="000000"/>
          <w:sz w:val="28"/>
          <w:szCs w:val="28"/>
        </w:rPr>
      </w:pPr>
      <w:r>
        <w:rPr>
          <w:rFonts w:hint="eastAsia" w:ascii="宋体" w:hAnsi="宋体" w:cs="楷体"/>
          <w:color w:val="000000"/>
          <w:sz w:val="28"/>
          <w:szCs w:val="28"/>
        </w:rPr>
        <w:t>四、乙方应教育被派遣劳动者正确使用甲方发放的劳动用品（如工作服、手套等）和各类电器及设施设备，预防一切事故及职业病的发生。</w:t>
      </w:r>
    </w:p>
    <w:p w14:paraId="3F43341D">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rFonts w:ascii="宋体" w:hAnsi="宋体" w:cs="楷体"/>
          <w:b/>
          <w:sz w:val="28"/>
          <w:szCs w:val="28"/>
        </w:rPr>
      </w:pPr>
      <w:r>
        <w:rPr>
          <w:rFonts w:hint="eastAsia" w:ascii="宋体" w:hAnsi="宋体" w:cs="楷体"/>
          <w:b/>
          <w:sz w:val="28"/>
          <w:szCs w:val="28"/>
        </w:rPr>
        <w:t>第十条 被派遣劳动者退回及更换</w:t>
      </w:r>
    </w:p>
    <w:p w14:paraId="1EC1316A">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一、被派遣劳动者有下列情形之一且甲方提供了相关依据时，甲方有权将被派遣劳动者退回给乙方，乙方应在收到甲方退回通知之日起</w:t>
      </w:r>
      <w:r>
        <w:rPr>
          <w:rFonts w:ascii="宋体" w:hAnsi="宋体" w:cs="楷体"/>
          <w:sz w:val="28"/>
          <w:szCs w:val="28"/>
        </w:rPr>
        <w:t>3</w:t>
      </w:r>
      <w:r>
        <w:rPr>
          <w:rFonts w:hint="eastAsia" w:ascii="宋体" w:hAnsi="宋体" w:cs="楷体"/>
          <w:sz w:val="28"/>
          <w:szCs w:val="28"/>
        </w:rPr>
        <w:t>个工作日内，为甲方更换符合岗位条件的劳动者：</w:t>
      </w:r>
      <w:r>
        <w:rPr>
          <w:rFonts w:ascii="宋体" w:hAnsi="宋体"/>
          <w:sz w:val="28"/>
          <w:szCs w:val="28"/>
        </w:rPr>
        <w:t xml:space="preserve"> </w:t>
      </w:r>
    </w:p>
    <w:p w14:paraId="6F832D27">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（一）在试用期内被证明不符合录用条件的；</w:t>
      </w:r>
    </w:p>
    <w:p w14:paraId="718F4E65">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sz w:val="28"/>
          <w:szCs w:val="28"/>
        </w:rPr>
        <w:t>（二）</w:t>
      </w:r>
      <w:r>
        <w:rPr>
          <w:rFonts w:hint="eastAsia"/>
          <w:sz w:val="28"/>
          <w:szCs w:val="28"/>
        </w:rPr>
        <w:t>不能胜任工作</w:t>
      </w:r>
      <w:r>
        <w:rPr>
          <w:rFonts w:hint="eastAsia" w:ascii="宋体" w:hAnsi="宋体" w:cs="楷体"/>
          <w:sz w:val="28"/>
          <w:szCs w:val="28"/>
        </w:rPr>
        <w:t>或不服从工作安排或工作责任心不强或工作失职给甲方造成不良影响；</w:t>
      </w:r>
    </w:p>
    <w:p w14:paraId="681DDC28">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（三）严重违反甲方依法制定</w:t>
      </w:r>
      <w:r>
        <w:rPr>
          <w:rFonts w:hint="eastAsia" w:ascii="宋体" w:hAnsi="宋体" w:cs="楷体"/>
          <w:sz w:val="28"/>
          <w:szCs w:val="28"/>
          <w:lang w:val="en-US" w:eastAsia="zh-CN"/>
        </w:rPr>
        <w:t>的</w:t>
      </w:r>
      <w:r>
        <w:rPr>
          <w:rFonts w:hint="eastAsia" w:ascii="宋体" w:hAnsi="宋体" w:cs="楷体"/>
          <w:sz w:val="28"/>
          <w:szCs w:val="28"/>
        </w:rPr>
        <w:t>规章制度或劳动纪律的；</w:t>
      </w:r>
    </w:p>
    <w:p w14:paraId="52BEF4E8">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(四）严重</w:t>
      </w:r>
      <w:r>
        <w:rPr>
          <w:rFonts w:hint="eastAsia" w:ascii="宋体" w:hAnsi="宋体" w:cs="楷体"/>
          <w:sz w:val="28"/>
          <w:szCs w:val="28"/>
          <w:lang w:val="en-US" w:eastAsia="zh-CN"/>
        </w:rPr>
        <w:t>违纪违规、</w:t>
      </w:r>
      <w:r>
        <w:rPr>
          <w:rFonts w:hint="eastAsia" w:ascii="宋体" w:hAnsi="宋体" w:cs="楷体"/>
          <w:sz w:val="28"/>
          <w:szCs w:val="28"/>
        </w:rPr>
        <w:t>失职、营私舞弊或泄露商业秘密，对甲方利益造成重大损害的；</w:t>
      </w:r>
    </w:p>
    <w:p w14:paraId="5E517996">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olor w:val="000000"/>
          <w:sz w:val="28"/>
          <w:szCs w:val="28"/>
        </w:rPr>
      </w:pPr>
      <w:r>
        <w:rPr>
          <w:rFonts w:hint="eastAsia" w:ascii="宋体" w:hAnsi="宋体" w:cs="楷体"/>
          <w:sz w:val="28"/>
          <w:szCs w:val="28"/>
        </w:rPr>
        <w:t>(五)与第三方同时建立劳动关系，影响了甲方工作，经</w:t>
      </w:r>
      <w:r>
        <w:rPr>
          <w:rFonts w:hint="eastAsia" w:ascii="宋体" w:hAnsi="宋体" w:cs="楷体"/>
          <w:color w:val="000000"/>
          <w:sz w:val="28"/>
          <w:szCs w:val="28"/>
          <w:lang w:val="en-US" w:eastAsia="zh-CN"/>
        </w:rPr>
        <w:t>甲</w:t>
      </w:r>
      <w:r>
        <w:rPr>
          <w:rFonts w:hint="eastAsia" w:ascii="宋体" w:hAnsi="宋体" w:cs="楷体"/>
          <w:color w:val="000000"/>
          <w:sz w:val="28"/>
          <w:szCs w:val="28"/>
        </w:rPr>
        <w:t>方提出，拒不改正的；</w:t>
      </w:r>
    </w:p>
    <w:p w14:paraId="07A516A0">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sz w:val="28"/>
          <w:szCs w:val="28"/>
        </w:rPr>
      </w:pPr>
      <w:r>
        <w:rPr>
          <w:rFonts w:hint="eastAsia" w:ascii="宋体" w:hAnsi="宋体" w:cs="楷体"/>
          <w:sz w:val="28"/>
          <w:szCs w:val="28"/>
        </w:rPr>
        <w:t>（六）依法被追究刑事责任的；</w:t>
      </w:r>
    </w:p>
    <w:p w14:paraId="1295A26B">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（七）提供的个人资料或相关证件不真实、不准确或存有误导性；</w:t>
      </w:r>
    </w:p>
    <w:p w14:paraId="42403B59">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二、如本协议订立时所依据的客观情况发生重大变化，甲方无需使用或需减少使用被派遣劳动者，甲方要求退回被派遣劳动者，应提前一个月告知乙方。如未提前一月告知乙方，甲方应向乙方支付该被派遣劳动者一个月的待岗工资。</w:t>
      </w:r>
    </w:p>
    <w:p w14:paraId="09A28453">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sz w:val="28"/>
          <w:szCs w:val="28"/>
        </w:rPr>
      </w:pPr>
      <w:r>
        <w:rPr>
          <w:rFonts w:hint="eastAsia" w:ascii="宋体" w:hAnsi="宋体" w:cs="楷体"/>
          <w:sz w:val="28"/>
          <w:szCs w:val="28"/>
        </w:rPr>
        <w:t>三、被派遣劳动者被退回</w:t>
      </w:r>
      <w:r>
        <w:rPr>
          <w:rFonts w:hint="eastAsia"/>
          <w:sz w:val="28"/>
          <w:szCs w:val="28"/>
        </w:rPr>
        <w:t>，由乙方负责安置。</w:t>
      </w:r>
    </w:p>
    <w:p w14:paraId="406990DD">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rFonts w:ascii="宋体" w:hAnsi="宋体" w:cs="楷体"/>
          <w:b/>
          <w:sz w:val="28"/>
          <w:szCs w:val="28"/>
        </w:rPr>
      </w:pPr>
      <w:r>
        <w:rPr>
          <w:rFonts w:hint="eastAsia" w:ascii="宋体" w:hAnsi="宋体" w:cs="楷体"/>
          <w:b/>
          <w:sz w:val="28"/>
          <w:szCs w:val="28"/>
        </w:rPr>
        <w:t>第十一条 被派遣劳动者劳动合同（关系）终止的经济补偿等</w:t>
      </w:r>
    </w:p>
    <w:p w14:paraId="19F50AC3">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楷体"/>
          <w:sz w:val="28"/>
          <w:szCs w:val="28"/>
        </w:rPr>
      </w:pPr>
      <w:r>
        <w:rPr>
          <w:rFonts w:hint="eastAsia" w:ascii="宋体" w:hAnsi="宋体" w:cs="楷体"/>
          <w:sz w:val="28"/>
          <w:szCs w:val="28"/>
        </w:rPr>
        <w:t>乙方与被派遣劳动者终止劳动合同（关系）时，依法应支付的经济补偿金或赔偿金等费用，均由乙方承担。</w:t>
      </w:r>
    </w:p>
    <w:p w14:paraId="0EF370A9">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b/>
          <w:color w:val="000000"/>
          <w:sz w:val="28"/>
          <w:szCs w:val="28"/>
        </w:rPr>
      </w:pPr>
      <w:r>
        <w:rPr>
          <w:rFonts w:hint="eastAsia"/>
          <w:b/>
          <w:color w:val="000000"/>
          <w:sz w:val="28"/>
          <w:szCs w:val="28"/>
        </w:rPr>
        <w:t>第十二条 通知与送达</w:t>
      </w:r>
    </w:p>
    <w:p w14:paraId="460E797C">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ascii="宋体" w:hAnsi="宋体" w:cs="宋体"/>
          <w:color w:val="000000"/>
          <w:sz w:val="28"/>
          <w:szCs w:val="28"/>
        </w:rPr>
      </w:pPr>
      <w:r>
        <w:rPr>
          <w:rFonts w:hint="eastAsia" w:ascii="宋体" w:hAnsi="宋体" w:cs="宋体"/>
          <w:color w:val="000000"/>
          <w:sz w:val="28"/>
          <w:szCs w:val="28"/>
        </w:rPr>
        <w:t>一、甲乙双方同意，与本</w:t>
      </w:r>
      <w:r>
        <w:rPr>
          <w:rFonts w:hint="eastAsia" w:ascii="宋体" w:hAnsi="宋体" w:cs="宋体"/>
          <w:color w:val="000000"/>
          <w:sz w:val="28"/>
          <w:szCs w:val="28"/>
          <w:lang w:val="en-US" w:eastAsia="zh-CN"/>
        </w:rPr>
        <w:t>协议</w:t>
      </w:r>
      <w:r>
        <w:rPr>
          <w:rFonts w:hint="eastAsia" w:ascii="宋体" w:hAnsi="宋体" w:cs="宋体"/>
          <w:color w:val="000000"/>
          <w:sz w:val="28"/>
          <w:szCs w:val="28"/>
        </w:rPr>
        <w:t>有关的任何文书，应以书面方式按照本合同约定发送，书面方式包括手机短信、书面函件、电子邮件等形式。。</w:t>
      </w:r>
    </w:p>
    <w:p w14:paraId="2DB09F92">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eastAsia="宋体"/>
          <w:color w:val="000000"/>
          <w:sz w:val="28"/>
          <w:szCs w:val="28"/>
          <w:lang w:eastAsia="zh-CN"/>
        </w:rPr>
      </w:pPr>
      <w:r>
        <w:rPr>
          <w:rFonts w:hint="eastAsia"/>
          <w:color w:val="000000"/>
          <w:sz w:val="28"/>
          <w:szCs w:val="28"/>
        </w:rPr>
        <w:t>二、双方确认的文书（包括法院或仲裁机构的法律文书）送达地址</w:t>
      </w:r>
      <w:r>
        <w:rPr>
          <w:rFonts w:hint="eastAsia"/>
          <w:color w:val="000000"/>
          <w:sz w:val="28"/>
          <w:szCs w:val="28"/>
          <w:lang w:eastAsia="zh-CN"/>
        </w:rPr>
        <w:t>：</w:t>
      </w:r>
    </w:p>
    <w:p w14:paraId="4BE3514F">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color w:val="000000"/>
          <w:sz w:val="28"/>
          <w:szCs w:val="28"/>
        </w:rPr>
      </w:pPr>
      <w:r>
        <w:rPr>
          <w:rFonts w:hint="eastAsia"/>
          <w:color w:val="000000"/>
          <w:sz w:val="28"/>
          <w:szCs w:val="28"/>
        </w:rPr>
        <w:t>（一）甲方的文书送达地址：</w:t>
      </w:r>
      <w:r>
        <w:rPr>
          <w:rFonts w:hint="eastAsia"/>
          <w:color w:val="000000"/>
          <w:sz w:val="28"/>
          <w:szCs w:val="28"/>
          <w:u w:val="single"/>
          <w:lang w:val="en-US" w:eastAsia="zh-CN"/>
        </w:rPr>
        <w:t>娄底市中心医院</w:t>
      </w:r>
      <w:r>
        <w:rPr>
          <w:rFonts w:hint="eastAsia"/>
          <w:color w:val="000000"/>
          <w:sz w:val="28"/>
          <w:szCs w:val="28"/>
        </w:rPr>
        <w:t xml:space="preserve"> 收件人：</w:t>
      </w:r>
      <w:r>
        <w:rPr>
          <w:rFonts w:hint="eastAsia"/>
          <w:color w:val="000000"/>
          <w:sz w:val="28"/>
          <w:szCs w:val="28"/>
          <w:u w:val="single"/>
          <w:lang w:val="en-US" w:eastAsia="zh-CN"/>
        </w:rPr>
        <w:t>成云飞</w:t>
      </w:r>
      <w:r>
        <w:rPr>
          <w:rFonts w:hint="eastAsia"/>
          <w:color w:val="000000"/>
          <w:sz w:val="28"/>
          <w:szCs w:val="28"/>
        </w:rPr>
        <w:t>联系电话：</w:t>
      </w:r>
      <w:r>
        <w:rPr>
          <w:rFonts w:hint="eastAsia"/>
          <w:color w:val="000000"/>
          <w:sz w:val="28"/>
          <w:szCs w:val="28"/>
          <w:u w:val="single"/>
          <w:lang w:val="en-US" w:eastAsia="zh-CN"/>
        </w:rPr>
        <w:t>17607385910</w:t>
      </w:r>
      <w:r>
        <w:rPr>
          <w:rFonts w:hint="eastAsia"/>
          <w:color w:val="000000"/>
          <w:sz w:val="28"/>
          <w:szCs w:val="28"/>
        </w:rPr>
        <w:t>，电子邮箱</w:t>
      </w:r>
      <w:r>
        <w:rPr>
          <w:rFonts w:hint="eastAsia"/>
          <w:color w:val="000000"/>
          <w:sz w:val="28"/>
          <w:szCs w:val="28"/>
          <w:u w:val="single"/>
          <w:lang w:val="en-US" w:eastAsia="zh-CN"/>
        </w:rPr>
        <w:t>/</w:t>
      </w:r>
      <w:r>
        <w:rPr>
          <w:rFonts w:hint="eastAsia"/>
          <w:color w:val="000000"/>
          <w:sz w:val="28"/>
          <w:szCs w:val="28"/>
        </w:rPr>
        <w:t>。</w:t>
      </w:r>
    </w:p>
    <w:p w14:paraId="6B11D5E5">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color w:val="000000"/>
          <w:sz w:val="28"/>
          <w:szCs w:val="28"/>
          <w:u w:val="single"/>
        </w:rPr>
      </w:pPr>
      <w:r>
        <w:rPr>
          <w:rFonts w:hint="eastAsia"/>
          <w:color w:val="000000"/>
          <w:sz w:val="28"/>
          <w:szCs w:val="28"/>
        </w:rPr>
        <w:t>（二）乙方的文书送达地址：</w:t>
      </w:r>
      <w:r>
        <w:rPr>
          <w:rFonts w:hint="eastAsia"/>
          <w:color w:val="000000"/>
          <w:sz w:val="28"/>
          <w:szCs w:val="28"/>
          <w:u w:val="single"/>
        </w:rPr>
        <w:t xml:space="preserve">       </w:t>
      </w:r>
      <w:r>
        <w:rPr>
          <w:rFonts w:hint="eastAsia"/>
          <w:color w:val="000000"/>
          <w:sz w:val="28"/>
          <w:szCs w:val="28"/>
        </w:rPr>
        <w:t xml:space="preserve"> 收件人：</w:t>
      </w:r>
      <w:r>
        <w:rPr>
          <w:rFonts w:hint="eastAsia"/>
          <w:color w:val="000000"/>
          <w:sz w:val="28"/>
          <w:szCs w:val="28"/>
          <w:u w:val="single"/>
        </w:rPr>
        <w:t xml:space="preserve">    </w:t>
      </w:r>
      <w:r>
        <w:rPr>
          <w:rFonts w:hint="eastAsia"/>
          <w:color w:val="000000"/>
          <w:sz w:val="28"/>
          <w:szCs w:val="28"/>
        </w:rPr>
        <w:t>联系电话：</w:t>
      </w:r>
      <w:r>
        <w:rPr>
          <w:rFonts w:hint="eastAsia"/>
          <w:color w:val="000000"/>
          <w:sz w:val="28"/>
          <w:szCs w:val="28"/>
          <w:u w:val="single"/>
        </w:rPr>
        <w:t xml:space="preserve">      </w:t>
      </w:r>
      <w:r>
        <w:rPr>
          <w:rFonts w:hint="eastAsia"/>
          <w:color w:val="000000"/>
          <w:sz w:val="28"/>
          <w:szCs w:val="28"/>
        </w:rPr>
        <w:t>，电子邮箱</w:t>
      </w:r>
      <w:r>
        <w:rPr>
          <w:rFonts w:hint="eastAsia"/>
          <w:color w:val="000000"/>
          <w:sz w:val="28"/>
          <w:szCs w:val="28"/>
          <w:u w:val="single"/>
        </w:rPr>
        <w:t xml:space="preserve">        </w:t>
      </w:r>
      <w:r>
        <w:rPr>
          <w:rFonts w:hint="eastAsia"/>
          <w:color w:val="000000"/>
          <w:sz w:val="28"/>
          <w:szCs w:val="28"/>
        </w:rPr>
        <w:t>。</w:t>
      </w:r>
    </w:p>
    <w:p w14:paraId="5C48812D">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color w:val="000000"/>
          <w:sz w:val="28"/>
          <w:szCs w:val="28"/>
        </w:rPr>
      </w:pPr>
      <w:r>
        <w:rPr>
          <w:rFonts w:hint="eastAsia"/>
          <w:color w:val="000000"/>
          <w:sz w:val="28"/>
          <w:szCs w:val="28"/>
        </w:rPr>
        <w:t>三、上述通知应被视为在下列时间送达：以快递或专人送达的，在收件人签收之日或拒收之日；以挂号邮件发出的，在发出之日起7个工作日；以电子邮件、短信方式发出的，在文件进入收件方电子邮箱服务器或手机端之日。</w:t>
      </w:r>
    </w:p>
    <w:p w14:paraId="6860604B">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color w:val="000000"/>
          <w:sz w:val="28"/>
          <w:szCs w:val="28"/>
        </w:rPr>
      </w:pPr>
      <w:r>
        <w:rPr>
          <w:rFonts w:hint="eastAsia"/>
          <w:color w:val="000000"/>
          <w:sz w:val="28"/>
          <w:szCs w:val="28"/>
          <w:lang w:val="en-US" w:eastAsia="zh-CN"/>
        </w:rPr>
        <w:t>四、</w:t>
      </w:r>
      <w:r>
        <w:rPr>
          <w:rFonts w:hint="eastAsia"/>
          <w:color w:val="000000"/>
          <w:sz w:val="28"/>
          <w:szCs w:val="28"/>
        </w:rPr>
        <w:t>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5101A1A">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b/>
          <w:bCs/>
          <w:sz w:val="28"/>
          <w:szCs w:val="28"/>
        </w:rPr>
      </w:pPr>
      <w:r>
        <w:rPr>
          <w:rFonts w:hint="eastAsia"/>
          <w:b/>
          <w:bCs/>
          <w:sz w:val="28"/>
          <w:szCs w:val="28"/>
        </w:rPr>
        <w:t>第十三条 协议的变更、</w:t>
      </w:r>
      <w:r>
        <w:rPr>
          <w:b/>
          <w:bCs/>
          <w:sz w:val="28"/>
          <w:szCs w:val="28"/>
        </w:rPr>
        <w:t>解除</w:t>
      </w:r>
    </w:p>
    <w:p w14:paraId="1C27EF72">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sz w:val="28"/>
          <w:szCs w:val="28"/>
        </w:rPr>
        <w:t>一、双方协商一致，可对本协议内容进行变更。</w:t>
      </w:r>
    </w:p>
    <w:p w14:paraId="60BDB68F">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sz w:val="28"/>
          <w:szCs w:val="28"/>
        </w:rPr>
        <w:t>二、如乙方出现以下情形时，甲方有权单方解除本协议：</w:t>
      </w:r>
    </w:p>
    <w:p w14:paraId="60769DB1">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sz w:val="28"/>
          <w:szCs w:val="28"/>
        </w:rPr>
        <w:t>（一）乙方派遣人数未达到本协议约定数额时，经甲方催告两次仍未达到时；</w:t>
      </w:r>
    </w:p>
    <w:p w14:paraId="36494191">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sz w:val="28"/>
          <w:szCs w:val="28"/>
          <w:lang w:eastAsia="zh-CN"/>
        </w:rPr>
      </w:pPr>
      <w:r>
        <w:rPr>
          <w:rFonts w:hint="eastAsia"/>
          <w:sz w:val="28"/>
          <w:szCs w:val="28"/>
        </w:rPr>
        <w:t>（二）乙方收到甲方支付的劳动报酬和劳务派遣服务费等款项后，未按月及时足额向被派遣劳动者支付劳动报酬或未为被派遣劳动者缴纳社会保险费用持续两个月时</w:t>
      </w:r>
      <w:r>
        <w:rPr>
          <w:rFonts w:hint="eastAsia"/>
          <w:sz w:val="28"/>
          <w:szCs w:val="28"/>
          <w:lang w:eastAsia="zh-CN"/>
        </w:rPr>
        <w:t>；</w:t>
      </w:r>
    </w:p>
    <w:p w14:paraId="1DD8BECD">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color w:val="0000FF"/>
          <w:sz w:val="28"/>
          <w:szCs w:val="28"/>
          <w:lang w:val="en-US" w:eastAsia="zh-CN"/>
        </w:rPr>
      </w:pPr>
      <w:r>
        <w:rPr>
          <w:rFonts w:hint="eastAsia"/>
          <w:color w:val="0000FF"/>
          <w:sz w:val="28"/>
          <w:szCs w:val="28"/>
          <w:lang w:eastAsia="zh-CN"/>
        </w:rPr>
        <w:t>（</w:t>
      </w:r>
      <w:r>
        <w:rPr>
          <w:rFonts w:hint="eastAsia"/>
          <w:color w:val="0000FF"/>
          <w:sz w:val="28"/>
          <w:szCs w:val="28"/>
          <w:lang w:val="en-US" w:eastAsia="zh-CN"/>
        </w:rPr>
        <w:t>三）因乙方造成重大劳动纠纷、安全事故、泄密事件的。</w:t>
      </w:r>
    </w:p>
    <w:p w14:paraId="638BC26B">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default"/>
          <w:color w:val="FF0000"/>
          <w:sz w:val="28"/>
          <w:szCs w:val="28"/>
          <w:lang w:val="en-US" w:eastAsia="zh-CN"/>
        </w:rPr>
      </w:pPr>
      <w:r>
        <w:rPr>
          <w:rFonts w:hint="eastAsia"/>
          <w:color w:val="0000FF"/>
          <w:sz w:val="28"/>
          <w:szCs w:val="28"/>
          <w:lang w:val="en-US" w:eastAsia="zh-CN"/>
        </w:rPr>
        <w:t>（四）</w:t>
      </w:r>
      <w:r>
        <w:rPr>
          <w:rFonts w:hint="eastAsia"/>
          <w:color w:val="FF0000"/>
          <w:sz w:val="28"/>
          <w:szCs w:val="28"/>
          <w:lang w:val="en-US" w:eastAsia="zh-CN"/>
        </w:rPr>
        <w:t>连续三月未达到本合同第五条十款要求的；</w:t>
      </w:r>
    </w:p>
    <w:p w14:paraId="40651ECD">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sz w:val="28"/>
          <w:szCs w:val="28"/>
        </w:rPr>
        <w:t>三、如甲方出现以下情形时，乙方有权单方解除本协议：</w:t>
      </w:r>
    </w:p>
    <w:p w14:paraId="33816C73">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sz w:val="28"/>
          <w:szCs w:val="28"/>
        </w:rPr>
        <w:t>（一）甲方未按本协议约定向乙方及时足额支付劳动报酬和劳务派遣服务费持续两个月时；</w:t>
      </w:r>
    </w:p>
    <w:p w14:paraId="017850B7">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sz w:val="28"/>
          <w:szCs w:val="28"/>
        </w:rPr>
      </w:pPr>
      <w:r>
        <w:rPr>
          <w:rFonts w:hint="eastAsia"/>
          <w:sz w:val="28"/>
          <w:szCs w:val="28"/>
        </w:rPr>
        <w:t>（二）甲方提供的劳动条件和劳动保护不符合国家劳动标准时，经乙方要求纠正仍未予以纠正时。</w:t>
      </w:r>
    </w:p>
    <w:p w14:paraId="20BE4AFC">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sz w:val="28"/>
          <w:szCs w:val="28"/>
        </w:rPr>
        <w:t>四、除双方协商一致和本协议约定情形外，任何一方不得单方解除本协议。</w:t>
      </w:r>
    </w:p>
    <w:p w14:paraId="12325CEB">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b/>
          <w:bCs/>
          <w:sz w:val="28"/>
          <w:szCs w:val="28"/>
        </w:rPr>
      </w:pPr>
      <w:r>
        <w:rPr>
          <w:rFonts w:hint="eastAsia"/>
          <w:b/>
          <w:bCs/>
          <w:sz w:val="28"/>
          <w:szCs w:val="28"/>
        </w:rPr>
        <w:t>第十四条 违约责任</w:t>
      </w:r>
    </w:p>
    <w:p w14:paraId="10BC755E">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color w:val="000000"/>
          <w:sz w:val="28"/>
          <w:szCs w:val="28"/>
        </w:rPr>
      </w:pPr>
      <w:r>
        <w:rPr>
          <w:rFonts w:hint="eastAsia"/>
          <w:color w:val="000000"/>
          <w:sz w:val="28"/>
          <w:szCs w:val="28"/>
        </w:rPr>
        <w:t>一、如甲方未按本协议约定向乙方支付劳动报酬和劳务派遣服务费，应按贷款市场报价利率（LPR）向乙方支付所欠款项的利息。</w:t>
      </w:r>
    </w:p>
    <w:p w14:paraId="4E80BF0C">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color w:val="000000"/>
          <w:sz w:val="28"/>
          <w:szCs w:val="28"/>
        </w:rPr>
      </w:pPr>
      <w:r>
        <w:rPr>
          <w:rFonts w:hint="eastAsia"/>
          <w:color w:val="000000"/>
          <w:sz w:val="28"/>
          <w:szCs w:val="28"/>
        </w:rPr>
        <w:t>二、如乙方未按本协议约定及时向被派遣劳动者支付劳动报酬或缴纳社会保险费的，每逾期一日，应按拖欠金额或未缴金额的日万之分二的标准向甲方支付违约金。</w:t>
      </w:r>
    </w:p>
    <w:p w14:paraId="259E16F1">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color w:val="000000"/>
          <w:sz w:val="28"/>
          <w:szCs w:val="28"/>
        </w:rPr>
      </w:pPr>
      <w:r>
        <w:rPr>
          <w:rFonts w:hint="eastAsia"/>
          <w:color w:val="000000"/>
          <w:sz w:val="28"/>
          <w:szCs w:val="28"/>
        </w:rPr>
        <w:t>三、如乙方及被派遣劳动者违反本协议保密约定，乙方除赔偿甲方由此造成的损失外，还应向甲方支付违约金</w:t>
      </w:r>
      <w:r>
        <w:rPr>
          <w:rFonts w:hint="eastAsia"/>
          <w:color w:val="000000"/>
          <w:sz w:val="28"/>
          <w:szCs w:val="28"/>
          <w:u w:val="single"/>
          <w:lang w:val="en-US" w:eastAsia="zh-CN"/>
        </w:rPr>
        <w:t>1000</w:t>
      </w:r>
      <w:r>
        <w:rPr>
          <w:rFonts w:hint="eastAsia"/>
          <w:color w:val="000000"/>
          <w:sz w:val="28"/>
          <w:szCs w:val="28"/>
        </w:rPr>
        <w:t>元。</w:t>
      </w:r>
    </w:p>
    <w:p w14:paraId="0D3E3DBB">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default"/>
          <w:color w:val="FF0000"/>
          <w:sz w:val="28"/>
          <w:szCs w:val="28"/>
          <w:u w:val="single"/>
          <w:lang w:val="en-US" w:eastAsia="zh-CN"/>
        </w:rPr>
      </w:pPr>
      <w:r>
        <w:rPr>
          <w:rFonts w:hint="eastAsia"/>
          <w:color w:val="000000"/>
          <w:sz w:val="28"/>
          <w:szCs w:val="28"/>
          <w:lang w:val="en-US" w:eastAsia="zh-CN"/>
        </w:rPr>
        <w:t>四、</w:t>
      </w:r>
      <w:r>
        <w:rPr>
          <w:rFonts w:hint="eastAsia" w:ascii="Times New Roman" w:hAnsi="Times New Roman" w:eastAsia="宋体" w:cs="Times New Roman"/>
          <w:color w:val="FF0000"/>
          <w:sz w:val="28"/>
          <w:szCs w:val="28"/>
          <w:lang w:val="en-US" w:eastAsia="zh-CN"/>
        </w:rPr>
        <w:t>乙方月度考核未达</w:t>
      </w:r>
      <w:r>
        <w:rPr>
          <w:rFonts w:hint="eastAsia"/>
          <w:color w:val="FF0000"/>
          <w:sz w:val="28"/>
          <w:szCs w:val="28"/>
          <w:lang w:val="en-US" w:eastAsia="zh-CN"/>
        </w:rPr>
        <w:t>到本合同第五条十款要求的，每次应向甲方支付违约金500元。</w:t>
      </w:r>
    </w:p>
    <w:p w14:paraId="492597FA">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color w:val="000000"/>
          <w:sz w:val="28"/>
          <w:szCs w:val="28"/>
        </w:rPr>
      </w:pPr>
      <w:r>
        <w:rPr>
          <w:rFonts w:hint="eastAsia"/>
          <w:color w:val="000000"/>
          <w:sz w:val="28"/>
          <w:szCs w:val="28"/>
          <w:lang w:val="en-US" w:eastAsia="zh-CN"/>
        </w:rPr>
        <w:t>五</w:t>
      </w:r>
      <w:r>
        <w:rPr>
          <w:rFonts w:hint="eastAsia"/>
          <w:color w:val="000000"/>
          <w:sz w:val="28"/>
          <w:szCs w:val="28"/>
        </w:rPr>
        <w:t>、任何一方擅自单方解除本协议，除赔偿对方由此造成的损失外，还应向对方支付违约金</w:t>
      </w:r>
      <w:r>
        <w:rPr>
          <w:rFonts w:hint="eastAsia"/>
          <w:color w:val="000000"/>
          <w:sz w:val="28"/>
          <w:szCs w:val="28"/>
          <w:u w:val="single"/>
          <w:lang w:val="en-US" w:eastAsia="zh-CN"/>
        </w:rPr>
        <w:t>10000</w:t>
      </w:r>
      <w:r>
        <w:rPr>
          <w:rFonts w:hint="eastAsia"/>
          <w:color w:val="000000"/>
          <w:sz w:val="28"/>
          <w:szCs w:val="28"/>
        </w:rPr>
        <w:t>元。</w:t>
      </w:r>
    </w:p>
    <w:p w14:paraId="5781AD31">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rFonts w:hint="eastAsia"/>
          <w:b/>
          <w:sz w:val="28"/>
          <w:szCs w:val="28"/>
        </w:rPr>
      </w:pPr>
      <w:r>
        <w:rPr>
          <w:rFonts w:hint="eastAsia"/>
          <w:b/>
          <w:sz w:val="28"/>
          <w:szCs w:val="28"/>
        </w:rPr>
        <w:t>第十五条 争议解决方式</w:t>
      </w:r>
    </w:p>
    <w:p w14:paraId="1F591C93">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rFonts w:hint="eastAsia"/>
          <w:sz w:val="28"/>
          <w:szCs w:val="28"/>
        </w:rPr>
      </w:pPr>
      <w:r>
        <w:rPr>
          <w:rFonts w:hint="eastAsia"/>
          <w:sz w:val="28"/>
          <w:szCs w:val="28"/>
        </w:rPr>
        <w:t>双方如在履行本协议过程中发生争议，应先行协商，协商不成时，均可向甲方住所地有管辖权的人民法院起诉。</w:t>
      </w:r>
    </w:p>
    <w:p w14:paraId="1A29420D">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rPr>
          <w:b/>
          <w:bCs/>
          <w:sz w:val="28"/>
          <w:szCs w:val="28"/>
        </w:rPr>
      </w:pPr>
      <w:r>
        <w:rPr>
          <w:rFonts w:hint="eastAsia"/>
          <w:b/>
          <w:bCs/>
          <w:sz w:val="28"/>
          <w:szCs w:val="28"/>
        </w:rPr>
        <w:t>第十六条 附则</w:t>
      </w:r>
    </w:p>
    <w:p w14:paraId="24B97A62">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sz w:val="28"/>
          <w:szCs w:val="28"/>
        </w:rPr>
        <w:t>一、</w:t>
      </w:r>
      <w:r>
        <w:rPr>
          <w:sz w:val="28"/>
          <w:szCs w:val="28"/>
        </w:rPr>
        <w:t>本协议未尽事宜</w:t>
      </w:r>
      <w:r>
        <w:rPr>
          <w:rFonts w:hint="eastAsia"/>
          <w:sz w:val="28"/>
          <w:szCs w:val="28"/>
        </w:rPr>
        <w:t>，</w:t>
      </w:r>
      <w:r>
        <w:rPr>
          <w:sz w:val="28"/>
          <w:szCs w:val="28"/>
        </w:rPr>
        <w:t>由甲乙双方协商一致</w:t>
      </w:r>
      <w:r>
        <w:rPr>
          <w:rFonts w:hint="eastAsia"/>
          <w:sz w:val="28"/>
          <w:szCs w:val="28"/>
        </w:rPr>
        <w:t>另行签订补充协议</w:t>
      </w:r>
      <w:r>
        <w:rPr>
          <w:sz w:val="28"/>
          <w:szCs w:val="28"/>
        </w:rPr>
        <w:t>。</w:t>
      </w:r>
    </w:p>
    <w:p w14:paraId="02C4FAA4">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sz w:val="28"/>
          <w:szCs w:val="28"/>
        </w:rPr>
        <w:t>二、乙方</w:t>
      </w:r>
      <w:r>
        <w:rPr>
          <w:sz w:val="28"/>
          <w:szCs w:val="28"/>
        </w:rPr>
        <w:t>营业执照</w:t>
      </w:r>
      <w:r>
        <w:rPr>
          <w:rFonts w:hint="eastAsia"/>
          <w:sz w:val="28"/>
          <w:szCs w:val="28"/>
        </w:rPr>
        <w:t>、</w:t>
      </w:r>
      <w:r>
        <w:rPr>
          <w:rFonts w:hint="eastAsia"/>
          <w:color w:val="000000"/>
          <w:sz w:val="28"/>
          <w:szCs w:val="28"/>
          <w:lang w:val="en-US" w:eastAsia="zh-CN"/>
        </w:rPr>
        <w:t>劳务派遗资质证书、</w:t>
      </w:r>
      <w:r>
        <w:rPr>
          <w:rFonts w:hint="eastAsia"/>
          <w:sz w:val="28"/>
          <w:szCs w:val="28"/>
        </w:rPr>
        <w:t>被派遣劳动者相应职业技能岗位证书、派</w:t>
      </w:r>
      <w:r>
        <w:rPr>
          <w:sz w:val="28"/>
          <w:szCs w:val="28"/>
        </w:rPr>
        <w:t>遣</w:t>
      </w:r>
      <w:r>
        <w:rPr>
          <w:rFonts w:hint="eastAsia"/>
          <w:sz w:val="28"/>
          <w:szCs w:val="28"/>
        </w:rPr>
        <w:t>人员体验合格证明等</w:t>
      </w:r>
      <w:r>
        <w:rPr>
          <w:sz w:val="28"/>
          <w:szCs w:val="28"/>
        </w:rPr>
        <w:t>作为本协议的附件</w:t>
      </w:r>
      <w:r>
        <w:rPr>
          <w:rFonts w:hint="eastAsia"/>
          <w:sz w:val="28"/>
          <w:szCs w:val="28"/>
        </w:rPr>
        <w:t>。</w:t>
      </w:r>
    </w:p>
    <w:p w14:paraId="4C746850">
      <w:pPr>
        <w:keepNext w:val="0"/>
        <w:keepLines w:val="0"/>
        <w:pageBreakBefore w:val="0"/>
        <w:widowControl w:val="0"/>
        <w:kinsoku/>
        <w:wordWrap w:val="0"/>
        <w:overflowPunct/>
        <w:topLinePunct/>
        <w:autoSpaceDE/>
        <w:autoSpaceDN/>
        <w:bidi w:val="0"/>
        <w:adjustRightInd/>
        <w:snapToGrid/>
        <w:spacing w:line="480" w:lineRule="exact"/>
        <w:ind w:firstLine="560" w:firstLineChars="200"/>
        <w:textAlignment w:val="auto"/>
        <w:rPr>
          <w:sz w:val="28"/>
          <w:szCs w:val="28"/>
        </w:rPr>
      </w:pPr>
      <w:r>
        <w:rPr>
          <w:rFonts w:hint="eastAsia"/>
          <w:sz w:val="28"/>
          <w:szCs w:val="28"/>
        </w:rPr>
        <w:t>三、</w:t>
      </w:r>
      <w:r>
        <w:rPr>
          <w:color w:val="auto"/>
          <w:sz w:val="28"/>
          <w:szCs w:val="28"/>
        </w:rPr>
        <w:t>本协议一式</w:t>
      </w:r>
      <w:r>
        <w:rPr>
          <w:rFonts w:hint="eastAsia"/>
          <w:color w:val="auto"/>
          <w:sz w:val="28"/>
          <w:szCs w:val="28"/>
          <w:lang w:eastAsia="zh-CN"/>
        </w:rPr>
        <w:t>肆</w:t>
      </w:r>
      <w:r>
        <w:rPr>
          <w:color w:val="auto"/>
          <w:sz w:val="28"/>
          <w:szCs w:val="28"/>
        </w:rPr>
        <w:t>份，甲方执</w:t>
      </w:r>
      <w:r>
        <w:rPr>
          <w:rFonts w:hint="eastAsia"/>
          <w:color w:val="auto"/>
          <w:sz w:val="28"/>
          <w:szCs w:val="28"/>
          <w:lang w:eastAsia="zh-CN"/>
        </w:rPr>
        <w:t>叁</w:t>
      </w:r>
      <w:r>
        <w:rPr>
          <w:color w:val="auto"/>
          <w:sz w:val="28"/>
          <w:szCs w:val="28"/>
        </w:rPr>
        <w:t>份</w:t>
      </w:r>
      <w:r>
        <w:rPr>
          <w:sz w:val="28"/>
          <w:szCs w:val="28"/>
        </w:rPr>
        <w:t>，</w:t>
      </w:r>
      <w:r>
        <w:rPr>
          <w:rFonts w:hint="eastAsia"/>
          <w:sz w:val="28"/>
          <w:szCs w:val="28"/>
          <w:lang w:eastAsia="zh-CN"/>
        </w:rPr>
        <w:t>乙方执壹份，</w:t>
      </w:r>
      <w:r>
        <w:rPr>
          <w:rFonts w:hint="eastAsia"/>
          <w:sz w:val="28"/>
          <w:szCs w:val="28"/>
        </w:rPr>
        <w:t>自</w:t>
      </w:r>
      <w:r>
        <w:rPr>
          <w:sz w:val="28"/>
          <w:szCs w:val="28"/>
        </w:rPr>
        <w:t>双方签字</w:t>
      </w:r>
      <w:r>
        <w:rPr>
          <w:rFonts w:hint="eastAsia"/>
          <w:sz w:val="28"/>
          <w:szCs w:val="28"/>
          <w:lang w:eastAsia="zh-CN"/>
        </w:rPr>
        <w:t>并</w:t>
      </w:r>
      <w:r>
        <w:rPr>
          <w:sz w:val="28"/>
          <w:szCs w:val="28"/>
        </w:rPr>
        <w:t>盖章</w:t>
      </w:r>
      <w:r>
        <w:rPr>
          <w:rFonts w:hint="eastAsia"/>
          <w:sz w:val="28"/>
          <w:szCs w:val="28"/>
          <w:lang w:eastAsia="zh-CN"/>
        </w:rPr>
        <w:t>之日起</w:t>
      </w:r>
      <w:r>
        <w:rPr>
          <w:sz w:val="28"/>
          <w:szCs w:val="28"/>
        </w:rPr>
        <w:t>生效。</w:t>
      </w:r>
    </w:p>
    <w:p w14:paraId="1FE54A0B">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sz w:val="28"/>
          <w:szCs w:val="28"/>
        </w:rPr>
      </w:pPr>
    </w:p>
    <w:p w14:paraId="5FA37E94">
      <w:pPr>
        <w:keepNext w:val="0"/>
        <w:keepLines w:val="0"/>
        <w:pageBreakBefore w:val="0"/>
        <w:widowControl w:val="0"/>
        <w:kinsoku/>
        <w:wordWrap/>
        <w:overflowPunct/>
        <w:topLinePunct w:val="0"/>
        <w:autoSpaceDE/>
        <w:autoSpaceDN/>
        <w:bidi w:val="0"/>
        <w:adjustRightInd/>
        <w:snapToGrid/>
        <w:spacing w:line="580" w:lineRule="exact"/>
        <w:textAlignment w:val="auto"/>
        <w:rPr>
          <w:sz w:val="28"/>
          <w:szCs w:val="28"/>
        </w:rPr>
      </w:pPr>
      <w:r>
        <w:rPr>
          <w:rFonts w:hint="eastAsia"/>
          <w:sz w:val="28"/>
          <w:szCs w:val="28"/>
        </w:rPr>
        <w:t>甲</w:t>
      </w:r>
      <w:r>
        <w:rPr>
          <w:sz w:val="28"/>
          <w:szCs w:val="28"/>
        </w:rPr>
        <w:t>方(盖章) ：</w:t>
      </w:r>
      <w:r>
        <w:rPr>
          <w:rFonts w:hint="eastAsia"/>
          <w:sz w:val="28"/>
          <w:szCs w:val="28"/>
          <w:lang w:val="en-US" w:eastAsia="zh-CN"/>
        </w:rPr>
        <w:t>娄底市中心医院</w:t>
      </w:r>
      <w:r>
        <w:rPr>
          <w:rFonts w:hint="eastAsia"/>
          <w:sz w:val="28"/>
          <w:szCs w:val="28"/>
        </w:rPr>
        <w:t xml:space="preserve">  </w:t>
      </w:r>
      <w:r>
        <w:rPr>
          <w:rFonts w:hint="eastAsia"/>
          <w:sz w:val="28"/>
          <w:szCs w:val="28"/>
          <w:lang w:val="en-US" w:eastAsia="zh-CN"/>
        </w:rPr>
        <w:t xml:space="preserve">      </w:t>
      </w:r>
      <w:r>
        <w:rPr>
          <w:rFonts w:hint="eastAsia"/>
          <w:sz w:val="28"/>
          <w:szCs w:val="28"/>
        </w:rPr>
        <w:t>乙</w:t>
      </w:r>
      <w:r>
        <w:rPr>
          <w:sz w:val="28"/>
          <w:szCs w:val="28"/>
        </w:rPr>
        <w:t>方(盖章)：</w:t>
      </w:r>
    </w:p>
    <w:p w14:paraId="34F84572">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sz w:val="28"/>
          <w:szCs w:val="28"/>
        </w:rPr>
      </w:pPr>
    </w:p>
    <w:p w14:paraId="317B7BC9">
      <w:pPr>
        <w:keepNext w:val="0"/>
        <w:keepLines w:val="0"/>
        <w:pageBreakBefore w:val="0"/>
        <w:widowControl w:val="0"/>
        <w:kinsoku/>
        <w:wordWrap/>
        <w:overflowPunct/>
        <w:topLinePunct w:val="0"/>
        <w:autoSpaceDE/>
        <w:autoSpaceDN/>
        <w:bidi w:val="0"/>
        <w:adjustRightInd/>
        <w:snapToGrid/>
        <w:spacing w:line="580" w:lineRule="exact"/>
        <w:textAlignment w:val="auto"/>
        <w:rPr>
          <w:sz w:val="28"/>
          <w:szCs w:val="28"/>
        </w:rPr>
      </w:pPr>
      <w:r>
        <w:rPr>
          <w:sz w:val="28"/>
          <w:szCs w:val="28"/>
        </w:rPr>
        <w:t>法定代表人</w:t>
      </w:r>
      <w:r>
        <w:rPr>
          <w:rFonts w:hint="eastAsia"/>
          <w:sz w:val="28"/>
          <w:szCs w:val="28"/>
        </w:rPr>
        <w:t xml:space="preserve">（签字）：         </w:t>
      </w:r>
      <w:r>
        <w:rPr>
          <w:rFonts w:hint="eastAsia"/>
          <w:sz w:val="28"/>
          <w:szCs w:val="28"/>
          <w:lang w:val="en-US" w:eastAsia="zh-CN"/>
        </w:rPr>
        <w:t xml:space="preserve">     </w:t>
      </w:r>
      <w:r>
        <w:rPr>
          <w:sz w:val="28"/>
          <w:szCs w:val="28"/>
        </w:rPr>
        <w:t>法定代表人</w:t>
      </w:r>
      <w:r>
        <w:rPr>
          <w:rFonts w:hint="eastAsia"/>
          <w:sz w:val="28"/>
          <w:szCs w:val="28"/>
        </w:rPr>
        <w:t>（签字）：</w:t>
      </w:r>
    </w:p>
    <w:p w14:paraId="4CAD784F">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sz w:val="28"/>
          <w:szCs w:val="28"/>
        </w:rPr>
      </w:pPr>
    </w:p>
    <w:p w14:paraId="2837A73A">
      <w:pPr>
        <w:keepNext w:val="0"/>
        <w:keepLines w:val="0"/>
        <w:pageBreakBefore w:val="0"/>
        <w:widowControl w:val="0"/>
        <w:kinsoku/>
        <w:wordWrap/>
        <w:overflowPunct/>
        <w:topLinePunct w:val="0"/>
        <w:autoSpaceDE/>
        <w:autoSpaceDN/>
        <w:bidi w:val="0"/>
        <w:adjustRightInd/>
        <w:snapToGrid/>
        <w:spacing w:line="580" w:lineRule="exact"/>
        <w:textAlignment w:val="auto"/>
        <w:rPr>
          <w:sz w:val="28"/>
          <w:szCs w:val="28"/>
        </w:rPr>
      </w:pPr>
      <w:r>
        <w:rPr>
          <w:rFonts w:hint="eastAsia"/>
          <w:sz w:val="28"/>
          <w:szCs w:val="28"/>
        </w:rPr>
        <w:t>或</w:t>
      </w:r>
      <w:r>
        <w:rPr>
          <w:sz w:val="28"/>
          <w:szCs w:val="28"/>
        </w:rPr>
        <w:t>委托代理人(签</w:t>
      </w:r>
      <w:r>
        <w:rPr>
          <w:rFonts w:hint="eastAsia"/>
          <w:sz w:val="28"/>
          <w:szCs w:val="28"/>
        </w:rPr>
        <w:t>字</w:t>
      </w:r>
      <w:r>
        <w:rPr>
          <w:sz w:val="28"/>
          <w:szCs w:val="28"/>
        </w:rPr>
        <w:t>)</w:t>
      </w:r>
      <w:r>
        <w:rPr>
          <w:rFonts w:hint="eastAsia"/>
          <w:sz w:val="28"/>
          <w:szCs w:val="28"/>
        </w:rPr>
        <w:t xml:space="preserve">：          </w:t>
      </w:r>
      <w:r>
        <w:rPr>
          <w:rFonts w:hint="eastAsia"/>
          <w:sz w:val="28"/>
          <w:szCs w:val="28"/>
          <w:lang w:val="en-US" w:eastAsia="zh-CN"/>
        </w:rPr>
        <w:t xml:space="preserve">     </w:t>
      </w:r>
      <w:r>
        <w:rPr>
          <w:rFonts w:hint="eastAsia"/>
          <w:sz w:val="28"/>
          <w:szCs w:val="28"/>
        </w:rPr>
        <w:t>或</w:t>
      </w:r>
      <w:r>
        <w:rPr>
          <w:sz w:val="28"/>
          <w:szCs w:val="28"/>
        </w:rPr>
        <w:t>委托代理人</w:t>
      </w:r>
      <w:r>
        <w:rPr>
          <w:rFonts w:hint="eastAsia"/>
          <w:sz w:val="28"/>
          <w:szCs w:val="28"/>
        </w:rPr>
        <w:t>（签字）：</w:t>
      </w:r>
    </w:p>
    <w:p w14:paraId="5CD492F3">
      <w:pPr>
        <w:keepNext w:val="0"/>
        <w:keepLines w:val="0"/>
        <w:pageBreakBefore w:val="0"/>
        <w:widowControl w:val="0"/>
        <w:kinsoku/>
        <w:wordWrap/>
        <w:overflowPunct/>
        <w:topLinePunct w:val="0"/>
        <w:autoSpaceDE/>
        <w:autoSpaceDN/>
        <w:bidi w:val="0"/>
        <w:adjustRightInd/>
        <w:snapToGrid/>
        <w:spacing w:line="580" w:lineRule="exact"/>
        <w:ind w:right="480" w:firstLine="560" w:firstLineChars="200"/>
        <w:jc w:val="both"/>
        <w:textAlignment w:val="auto"/>
        <w:rPr>
          <w:rFonts w:hint="eastAsia"/>
          <w:sz w:val="28"/>
          <w:szCs w:val="28"/>
        </w:rPr>
      </w:pPr>
    </w:p>
    <w:p w14:paraId="2B1472F1">
      <w:pPr>
        <w:keepNext w:val="0"/>
        <w:keepLines w:val="0"/>
        <w:pageBreakBefore w:val="0"/>
        <w:widowControl w:val="0"/>
        <w:kinsoku/>
        <w:wordWrap/>
        <w:overflowPunct/>
        <w:topLinePunct w:val="0"/>
        <w:autoSpaceDE/>
        <w:autoSpaceDN/>
        <w:bidi w:val="0"/>
        <w:adjustRightInd/>
        <w:snapToGrid/>
        <w:spacing w:line="580" w:lineRule="exact"/>
        <w:ind w:right="480"/>
        <w:jc w:val="both"/>
        <w:textAlignment w:val="auto"/>
      </w:pPr>
      <w:r>
        <w:rPr>
          <w:rFonts w:hint="eastAsia"/>
          <w:sz w:val="28"/>
          <w:szCs w:val="28"/>
        </w:rPr>
        <w:t xml:space="preserve">协议签订地：娄底市娄星区     </w:t>
      </w:r>
      <w:r>
        <w:rPr>
          <w:rFonts w:hint="eastAsia"/>
          <w:sz w:val="28"/>
          <w:szCs w:val="28"/>
          <w:lang w:val="en-US" w:eastAsia="zh-CN"/>
        </w:rPr>
        <w:t xml:space="preserve">    </w:t>
      </w:r>
      <w:r>
        <w:rPr>
          <w:rFonts w:hint="eastAsia"/>
          <w:sz w:val="28"/>
          <w:szCs w:val="28"/>
        </w:rPr>
        <w:t xml:space="preserve">签订时间： </w:t>
      </w:r>
      <w:r>
        <w:rPr>
          <w:rFonts w:hint="eastAsia"/>
          <w:sz w:val="28"/>
          <w:szCs w:val="28"/>
          <w:lang w:val="en-US" w:eastAsia="zh-CN"/>
        </w:rPr>
        <w:t xml:space="preserve">   </w:t>
      </w:r>
      <w:r>
        <w:rPr>
          <w:sz w:val="28"/>
          <w:szCs w:val="28"/>
        </w:rPr>
        <w:t>年  月</w:t>
      </w:r>
      <w:r>
        <w:rPr>
          <w:rFonts w:hint="eastAsia"/>
          <w:sz w:val="28"/>
          <w:szCs w:val="28"/>
        </w:rPr>
        <w:t xml:space="preserve"> </w:t>
      </w:r>
      <w:r>
        <w:rPr>
          <w:rFonts w:hint="eastAsia"/>
          <w:sz w:val="28"/>
          <w:szCs w:val="28"/>
          <w:lang w:val="en-US" w:eastAsia="zh-CN"/>
        </w:rPr>
        <w:t xml:space="preserve"> </w:t>
      </w:r>
      <w:r>
        <w:rPr>
          <w:sz w:val="28"/>
          <w:szCs w:val="28"/>
        </w:rPr>
        <w:t>日</w:t>
      </w:r>
    </w:p>
    <w:p w14:paraId="797EEC0B">
      <w:pPr>
        <w:spacing w:line="520" w:lineRule="exact"/>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1B9634B3">
      <w:pPr>
        <w:keepNext w:val="0"/>
        <w:keepLines w:val="0"/>
        <w:pageBreakBefore w:val="0"/>
        <w:widowControl w:val="0"/>
        <w:kinsoku/>
        <w:wordWrap/>
        <w:overflowPunct/>
        <w:topLinePunct w:val="0"/>
        <w:autoSpaceDE/>
        <w:autoSpaceDN/>
        <w:bidi w:val="0"/>
        <w:adjustRightInd/>
        <w:snapToGrid/>
        <w:spacing w:line="580" w:lineRule="exact"/>
        <w:ind w:right="480"/>
        <w:jc w:val="both"/>
        <w:textAlignment w:val="auto"/>
        <w:rPr>
          <w:rFonts w:hint="eastAsia" w:asciiTheme="minorEastAsia" w:hAnsiTheme="minorEastAsia" w:eastAsiaTheme="minorEastAsia" w:cstheme="minorEastAsia"/>
          <w:sz w:val="24"/>
          <w:szCs w:val="24"/>
        </w:rPr>
      </w:pPr>
    </w:p>
    <w:p w14:paraId="6AF94582">
      <w:pPr>
        <w:keepNext w:val="0"/>
        <w:keepLines w:val="0"/>
        <w:pageBreakBefore w:val="0"/>
        <w:widowControl w:val="0"/>
        <w:kinsoku/>
        <w:wordWrap/>
        <w:overflowPunct/>
        <w:topLinePunct w:val="0"/>
        <w:autoSpaceDE/>
        <w:bidi w:val="0"/>
        <w:adjustRightInd/>
        <w:snapToGrid/>
        <w:spacing w:line="480" w:lineRule="exact"/>
        <w:ind w:right="0" w:rightChars="0" w:firstLine="480" w:firstLineChars="200"/>
        <w:textAlignment w:val="auto"/>
        <w:rPr>
          <w:rFonts w:hint="eastAsia" w:asciiTheme="minorEastAsia" w:hAnsiTheme="minorEastAsia" w:eastAsiaTheme="minorEastAsia" w:cstheme="minorEastAsia"/>
          <w:color w:val="auto"/>
          <w:sz w:val="24"/>
          <w:szCs w:val="24"/>
        </w:rPr>
      </w:pPr>
    </w:p>
    <w:p w14:paraId="2658157B">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7BCC3E47">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3A9CDB27">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eastAsia="宋体" w:cs="宋体"/>
          <w:color w:val="000000" w:themeColor="text1"/>
          <w:sz w:val="24"/>
          <w:highlight w:val="none"/>
          <w14:textFill>
            <w14:solidFill>
              <w14:schemeClr w14:val="tx1"/>
            </w14:solidFill>
          </w14:textFill>
        </w:rPr>
      </w:pPr>
    </w:p>
    <w:p w14:paraId="0080E8F3">
      <w:pPr>
        <w:rPr>
          <w:rFonts w:hint="eastAsia" w:ascii="黑体" w:hAnsi="黑体" w:eastAsia="黑体" w:cs="黑体"/>
          <w:sz w:val="32"/>
          <w:szCs w:val="32"/>
          <w:lang w:val="en-US" w:eastAsia="zh-CN"/>
        </w:rPr>
      </w:pPr>
    </w:p>
    <w:p w14:paraId="2D8BA7C8">
      <w:pPr>
        <w:rPr>
          <w:rFonts w:hint="default" w:ascii="宋体" w:hAnsi="宋体" w:eastAsia="宋体" w:cs="宋体"/>
          <w:color w:val="auto"/>
          <w:sz w:val="24"/>
          <w:szCs w:val="24"/>
          <w:lang w:val="en-US" w:eastAsia="zh-CN"/>
        </w:rPr>
      </w:pPr>
      <w:r>
        <w:rPr>
          <w:rFonts w:hint="eastAsia" w:ascii="黑体" w:hAnsi="黑体" w:eastAsia="黑体" w:cs="黑体"/>
          <w:sz w:val="32"/>
          <w:szCs w:val="32"/>
          <w:lang w:val="en-US" w:eastAsia="zh-CN"/>
        </w:rPr>
        <w:br w:type="page"/>
      </w:r>
    </w:p>
    <w:p w14:paraId="2CC2C481">
      <w:pPr>
        <w:rPr>
          <w:rFonts w:hint="default" w:ascii="宋体" w:hAnsi="宋体" w:eastAsia="宋体" w:cs="宋体"/>
          <w:color w:val="auto"/>
          <w:sz w:val="24"/>
          <w:szCs w:val="24"/>
          <w:lang w:val="en-US" w:eastAsia="zh-CN"/>
        </w:rPr>
      </w:pPr>
    </w:p>
    <w:p w14:paraId="7F7089C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14:paraId="548EAA27">
      <w:pPr>
        <w:jc w:val="center"/>
        <w:rPr>
          <w:rFonts w:hint="eastAsia" w:ascii="仿宋" w:hAnsi="仿宋" w:eastAsia="仿宋" w:cs="仿宋"/>
          <w:sz w:val="24"/>
          <w:szCs w:val="24"/>
        </w:rPr>
      </w:pPr>
    </w:p>
    <w:tbl>
      <w:tblPr>
        <w:tblStyle w:val="12"/>
        <w:tblW w:w="977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04"/>
        <w:gridCol w:w="795"/>
        <w:gridCol w:w="1023"/>
        <w:gridCol w:w="7023"/>
        <w:gridCol w:w="533"/>
      </w:tblGrid>
      <w:tr w14:paraId="26F469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0" w:hRule="atLeast"/>
          <w:jc w:val="center"/>
        </w:trPr>
        <w:tc>
          <w:tcPr>
            <w:tcW w:w="404" w:type="dxa"/>
            <w:vAlign w:val="center"/>
          </w:tcPr>
          <w:p w14:paraId="4728B709">
            <w:pPr>
              <w:shd w:val="clear"/>
              <w:spacing w:line="280" w:lineRule="exact"/>
              <w:jc w:val="center"/>
              <w:rPr>
                <w:rFonts w:ascii="仿宋_GB2312" w:eastAsia="仿宋_GB2312"/>
                <w:color w:val="auto"/>
                <w:sz w:val="24"/>
                <w:szCs w:val="24"/>
              </w:rPr>
            </w:pPr>
            <w:r>
              <w:rPr>
                <w:rFonts w:hint="eastAsia" w:ascii="仿宋_GB2312" w:eastAsia="仿宋_GB2312"/>
                <w:color w:val="auto"/>
                <w:sz w:val="24"/>
                <w:szCs w:val="24"/>
              </w:rPr>
              <w:t>序号</w:t>
            </w:r>
          </w:p>
        </w:tc>
        <w:tc>
          <w:tcPr>
            <w:tcW w:w="1818" w:type="dxa"/>
            <w:gridSpan w:val="2"/>
            <w:vAlign w:val="center"/>
          </w:tcPr>
          <w:p w14:paraId="749B68DD">
            <w:pPr>
              <w:shd w:val="clear"/>
              <w:spacing w:line="280" w:lineRule="exact"/>
              <w:jc w:val="center"/>
              <w:rPr>
                <w:rFonts w:ascii="仿宋_GB2312" w:eastAsia="仿宋_GB2312"/>
                <w:color w:val="auto"/>
                <w:sz w:val="24"/>
                <w:szCs w:val="24"/>
              </w:rPr>
            </w:pPr>
            <w:r>
              <w:rPr>
                <w:rFonts w:hint="eastAsia" w:ascii="仿宋_GB2312" w:eastAsia="仿宋_GB2312"/>
                <w:color w:val="auto"/>
                <w:sz w:val="24"/>
                <w:szCs w:val="24"/>
              </w:rPr>
              <w:t>评审项目</w:t>
            </w:r>
          </w:p>
        </w:tc>
        <w:tc>
          <w:tcPr>
            <w:tcW w:w="7023" w:type="dxa"/>
            <w:vAlign w:val="center"/>
          </w:tcPr>
          <w:p w14:paraId="217623DC">
            <w:pPr>
              <w:shd w:val="clear"/>
              <w:spacing w:line="280" w:lineRule="exact"/>
              <w:ind w:left="480"/>
              <w:jc w:val="center"/>
              <w:rPr>
                <w:rFonts w:ascii="仿宋_GB2312" w:eastAsia="仿宋_GB2312"/>
                <w:color w:val="auto"/>
                <w:sz w:val="24"/>
                <w:szCs w:val="24"/>
              </w:rPr>
            </w:pPr>
            <w:r>
              <w:rPr>
                <w:rFonts w:hint="eastAsia" w:ascii="仿宋_GB2312" w:eastAsia="仿宋_GB2312"/>
                <w:color w:val="auto"/>
                <w:sz w:val="24"/>
                <w:szCs w:val="24"/>
              </w:rPr>
              <w:t>评审标准</w:t>
            </w:r>
          </w:p>
        </w:tc>
        <w:tc>
          <w:tcPr>
            <w:tcW w:w="533" w:type="dxa"/>
            <w:vAlign w:val="center"/>
          </w:tcPr>
          <w:p w14:paraId="6B1E1CC3">
            <w:pPr>
              <w:shd w:val="clear"/>
              <w:spacing w:line="280" w:lineRule="exact"/>
              <w:jc w:val="center"/>
              <w:rPr>
                <w:rFonts w:ascii="仿宋_GB2312" w:eastAsia="仿宋_GB2312"/>
                <w:color w:val="auto"/>
                <w:sz w:val="24"/>
                <w:szCs w:val="24"/>
              </w:rPr>
            </w:pPr>
            <w:r>
              <w:rPr>
                <w:rFonts w:hint="eastAsia" w:ascii="仿宋_GB2312" w:eastAsia="仿宋_GB2312"/>
                <w:color w:val="auto"/>
                <w:sz w:val="24"/>
                <w:szCs w:val="24"/>
              </w:rPr>
              <w:t>分值</w:t>
            </w:r>
          </w:p>
        </w:tc>
      </w:tr>
      <w:tr w14:paraId="16E176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404" w:type="dxa"/>
            <w:vAlign w:val="center"/>
          </w:tcPr>
          <w:p w14:paraId="6EB52295">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1</w:t>
            </w:r>
          </w:p>
        </w:tc>
        <w:tc>
          <w:tcPr>
            <w:tcW w:w="795" w:type="dxa"/>
            <w:vAlign w:val="center"/>
          </w:tcPr>
          <w:p w14:paraId="299EE775">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价格</w:t>
            </w:r>
          </w:p>
          <w:p w14:paraId="6E90FA57">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30分</w:t>
            </w:r>
          </w:p>
        </w:tc>
        <w:tc>
          <w:tcPr>
            <w:tcW w:w="1023" w:type="dxa"/>
            <w:vAlign w:val="center"/>
          </w:tcPr>
          <w:p w14:paraId="7FD9879A">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rPr>
            </w:pPr>
            <w:r>
              <w:rPr>
                <w:rFonts w:hint="eastAsia" w:ascii="仿宋_GB2312" w:eastAsia="仿宋_GB2312"/>
                <w:color w:val="auto"/>
                <w:sz w:val="24"/>
                <w:szCs w:val="24"/>
              </w:rPr>
              <w:t>投标</w:t>
            </w:r>
          </w:p>
          <w:p w14:paraId="3AA531E9">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报价</w:t>
            </w:r>
          </w:p>
        </w:tc>
        <w:tc>
          <w:tcPr>
            <w:tcW w:w="7023" w:type="dxa"/>
            <w:vAlign w:val="center"/>
          </w:tcPr>
          <w:p w14:paraId="28BDB55D">
            <w:pPr>
              <w:keepNext w:val="0"/>
              <w:keepLines w:val="0"/>
              <w:pageBreakBefore w:val="0"/>
              <w:widowControl w:val="0"/>
              <w:shd w:val="clear"/>
              <w:kinsoku/>
              <w:wordWrap/>
              <w:overflowPunct/>
              <w:topLinePunct w:val="0"/>
              <w:autoSpaceDE/>
              <w:autoSpaceDN/>
              <w:bidi w:val="0"/>
              <w:adjustRightInd/>
              <w:snapToGrid/>
              <w:spacing w:line="280" w:lineRule="exact"/>
              <w:textAlignment w:val="auto"/>
              <w:rPr>
                <w:rFonts w:hint="default" w:ascii="仿宋_GB2312" w:eastAsia="仿宋_GB2312"/>
                <w:color w:val="auto"/>
                <w:sz w:val="24"/>
                <w:szCs w:val="24"/>
                <w:lang w:val="en-US" w:eastAsia="zh-CN"/>
              </w:rPr>
            </w:pPr>
            <w:r>
              <w:rPr>
                <w:rFonts w:hint="eastAsia" w:ascii="仿宋_GB2312" w:eastAsia="仿宋_GB2312"/>
                <w:color w:val="auto"/>
                <w:kern w:val="0"/>
                <w:sz w:val="24"/>
                <w:szCs w:val="24"/>
                <w:lang w:val="en-US" w:eastAsia="zh-CN"/>
              </w:rPr>
              <w:t>1、评标基准价=（通过初步评审的有效最高投标报价+有效最低投标报价）</w:t>
            </w:r>
            <w:r>
              <w:rPr>
                <w:rFonts w:hint="default" w:ascii="Arial" w:hAnsi="Arial" w:eastAsia="仿宋_GB2312" w:cs="Arial"/>
                <w:color w:val="auto"/>
                <w:kern w:val="0"/>
                <w:sz w:val="24"/>
                <w:szCs w:val="24"/>
                <w:lang w:val="en-US" w:eastAsia="zh-CN"/>
              </w:rPr>
              <w:t>÷</w:t>
            </w:r>
            <w:r>
              <w:rPr>
                <w:rFonts w:hint="eastAsia" w:ascii="仿宋_GB2312" w:eastAsia="仿宋_GB2312"/>
                <w:color w:val="auto"/>
                <w:kern w:val="0"/>
                <w:sz w:val="24"/>
                <w:szCs w:val="24"/>
                <w:lang w:val="en-US" w:eastAsia="zh-CN"/>
              </w:rPr>
              <w:t>2；2、投标报价得分=报价满分分值</w:t>
            </w:r>
            <w:r>
              <w:rPr>
                <w:rFonts w:hint="default" w:ascii="仿宋_GB2312" w:eastAsia="仿宋_GB2312"/>
                <w:color w:val="auto"/>
                <w:kern w:val="0"/>
                <w:sz w:val="24"/>
                <w:szCs w:val="24"/>
                <w:lang w:val="en-US" w:eastAsia="zh-CN"/>
              </w:rPr>
              <w:t>×</w:t>
            </w:r>
            <w:r>
              <w:rPr>
                <w:rFonts w:hint="eastAsia" w:ascii="仿宋_GB2312" w:eastAsia="仿宋_GB2312"/>
                <w:color w:val="auto"/>
                <w:kern w:val="0"/>
                <w:sz w:val="24"/>
                <w:szCs w:val="24"/>
                <w:lang w:val="en-US" w:eastAsia="zh-CN"/>
              </w:rPr>
              <w:t>［1-｜投标报价-评标基准价｜</w:t>
            </w:r>
            <w:r>
              <w:rPr>
                <w:rFonts w:hint="default" w:ascii="仿宋_GB2312" w:eastAsia="仿宋_GB2312"/>
                <w:color w:val="auto"/>
                <w:kern w:val="0"/>
                <w:sz w:val="24"/>
                <w:szCs w:val="24"/>
                <w:lang w:val="en-US" w:eastAsia="zh-CN"/>
              </w:rPr>
              <w:t>÷</w:t>
            </w:r>
            <w:r>
              <w:rPr>
                <w:rFonts w:hint="eastAsia" w:ascii="仿宋_GB2312" w:eastAsia="仿宋_GB2312"/>
                <w:color w:val="auto"/>
                <w:kern w:val="0"/>
                <w:sz w:val="24"/>
                <w:szCs w:val="24"/>
                <w:lang w:val="en-US" w:eastAsia="zh-CN"/>
              </w:rPr>
              <w:t>评标基准价］，（“｜｜”为绝对值）；3、报价得分最低为0分。</w:t>
            </w:r>
          </w:p>
        </w:tc>
        <w:tc>
          <w:tcPr>
            <w:tcW w:w="533" w:type="dxa"/>
            <w:vAlign w:val="center"/>
          </w:tcPr>
          <w:p w14:paraId="64F73A4E">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30</w:t>
            </w:r>
          </w:p>
        </w:tc>
      </w:tr>
      <w:tr w14:paraId="2B6DAF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6" w:hRule="atLeast"/>
          <w:jc w:val="center"/>
        </w:trPr>
        <w:tc>
          <w:tcPr>
            <w:tcW w:w="404" w:type="dxa"/>
            <w:vMerge w:val="restart"/>
            <w:tcBorders>
              <w:top w:val="single" w:color="auto" w:sz="4" w:space="0"/>
            </w:tcBorders>
            <w:shd w:val="clear" w:color="auto" w:fill="auto"/>
            <w:vAlign w:val="center"/>
          </w:tcPr>
          <w:p w14:paraId="281BF463">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hAnsiTheme="minorHAnsi" w:cstheme="minorBidi"/>
                <w:color w:val="auto"/>
                <w:kern w:val="2"/>
                <w:sz w:val="24"/>
                <w:szCs w:val="24"/>
                <w:lang w:val="en-US" w:eastAsia="zh-CN" w:bidi="ar-SA"/>
              </w:rPr>
            </w:pPr>
            <w:r>
              <w:rPr>
                <w:rFonts w:hint="eastAsia" w:ascii="仿宋_GB2312" w:eastAsia="仿宋_GB2312"/>
                <w:color w:val="auto"/>
                <w:sz w:val="24"/>
                <w:szCs w:val="24"/>
              </w:rPr>
              <w:t>2</w:t>
            </w:r>
          </w:p>
        </w:tc>
        <w:tc>
          <w:tcPr>
            <w:tcW w:w="795" w:type="dxa"/>
            <w:vMerge w:val="restart"/>
            <w:tcBorders>
              <w:top w:val="single" w:color="auto" w:sz="4" w:space="0"/>
            </w:tcBorders>
            <w:shd w:val="clear" w:color="auto" w:fill="auto"/>
            <w:vAlign w:val="center"/>
          </w:tcPr>
          <w:p w14:paraId="1A195FCF">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业绩</w:t>
            </w:r>
          </w:p>
          <w:p w14:paraId="19C7CA96">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实力</w:t>
            </w:r>
          </w:p>
          <w:p w14:paraId="5C9A00F4">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hAnsiTheme="minorHAnsi" w:cstheme="minorBidi"/>
                <w:color w:val="auto"/>
                <w:kern w:val="2"/>
                <w:sz w:val="24"/>
                <w:szCs w:val="24"/>
                <w:lang w:val="en-US" w:eastAsia="zh-CN" w:bidi="ar-SA"/>
              </w:rPr>
            </w:pPr>
            <w:r>
              <w:rPr>
                <w:rFonts w:hint="eastAsia" w:ascii="仿宋_GB2312" w:eastAsia="仿宋_GB2312"/>
                <w:color w:val="auto"/>
                <w:sz w:val="24"/>
                <w:szCs w:val="24"/>
              </w:rPr>
              <w:t>35分</w:t>
            </w:r>
          </w:p>
        </w:tc>
        <w:tc>
          <w:tcPr>
            <w:tcW w:w="1023" w:type="dxa"/>
            <w:vAlign w:val="center"/>
          </w:tcPr>
          <w:p w14:paraId="50162763">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企业</w:t>
            </w:r>
          </w:p>
          <w:p w14:paraId="6882619C">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default" w:ascii="仿宋_GB2312" w:eastAsia="仿宋_GB2312"/>
                <w:color w:val="auto"/>
                <w:sz w:val="24"/>
                <w:szCs w:val="24"/>
                <w:lang w:val="en-US" w:eastAsia="zh-CN"/>
              </w:rPr>
            </w:pPr>
            <w:r>
              <w:rPr>
                <w:rFonts w:hint="eastAsia" w:ascii="仿宋_GB2312" w:eastAsia="仿宋_GB2312"/>
                <w:color w:val="auto"/>
                <w:sz w:val="24"/>
                <w:szCs w:val="24"/>
                <w:lang w:val="en-US" w:eastAsia="zh-CN"/>
              </w:rPr>
              <w:t>实力</w:t>
            </w:r>
          </w:p>
        </w:tc>
        <w:tc>
          <w:tcPr>
            <w:tcW w:w="7023" w:type="dxa"/>
            <w:vAlign w:val="center"/>
          </w:tcPr>
          <w:p w14:paraId="18596042">
            <w:pPr>
              <w:keepNext w:val="0"/>
              <w:keepLines w:val="0"/>
              <w:pageBreakBefore w:val="0"/>
              <w:widowControl w:val="0"/>
              <w:shd w:val="clear"/>
              <w:kinsoku/>
              <w:wordWrap/>
              <w:overflowPunct/>
              <w:topLinePunct w:val="0"/>
              <w:autoSpaceDE/>
              <w:autoSpaceDN/>
              <w:bidi w:val="0"/>
              <w:adjustRightInd/>
              <w:snapToGrid/>
              <w:spacing w:line="280" w:lineRule="exact"/>
              <w:textAlignment w:val="auto"/>
              <w:rPr>
                <w:rFonts w:hint="default" w:ascii="仿宋_GB2312" w:eastAsia="仿宋_GB2312"/>
                <w:color w:val="000000" w:themeColor="text1"/>
                <w:sz w:val="24"/>
                <w:szCs w:val="24"/>
                <w:lang w:val="en-US" w:eastAsia="zh-CN"/>
                <w14:textFill>
                  <w14:solidFill>
                    <w14:schemeClr w14:val="tx1"/>
                  </w14:solidFill>
                </w14:textFill>
              </w:rPr>
            </w:pPr>
            <w:r>
              <w:rPr>
                <w:rFonts w:hint="eastAsia" w:ascii="仿宋_GB2312" w:eastAsia="仿宋_GB2312"/>
                <w:color w:val="000000" w:themeColor="text1"/>
                <w:sz w:val="24"/>
                <w:szCs w:val="24"/>
                <w:lang w:val="en-US" w:eastAsia="zh-CN"/>
                <w14:textFill>
                  <w14:solidFill>
                    <w14:schemeClr w14:val="tx1"/>
                  </w14:solidFill>
                </w14:textFill>
              </w:rPr>
              <w:t>企业管理劳务派遣人员规模，300人及以下得2分，301人-500人得4分，501人-800人得6分，801人-1000人得8分，1001人以上得12分，需提供近六个月社保缴纳明细或社保缴费证明。</w:t>
            </w:r>
          </w:p>
        </w:tc>
        <w:tc>
          <w:tcPr>
            <w:tcW w:w="533" w:type="dxa"/>
            <w:vAlign w:val="center"/>
          </w:tcPr>
          <w:p w14:paraId="6D2AB848">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default" w:ascii="仿宋_GB2312" w:eastAsia="仿宋_GB2312"/>
                <w:color w:val="auto"/>
                <w:sz w:val="24"/>
                <w:szCs w:val="24"/>
                <w:lang w:val="en-US" w:eastAsia="zh-CN"/>
              </w:rPr>
            </w:pPr>
            <w:r>
              <w:rPr>
                <w:rFonts w:hint="eastAsia" w:ascii="仿宋_GB2312" w:eastAsia="仿宋_GB2312"/>
                <w:color w:val="auto"/>
                <w:sz w:val="24"/>
                <w:szCs w:val="24"/>
                <w:lang w:val="en-US" w:eastAsia="zh-CN"/>
              </w:rPr>
              <w:t>12</w:t>
            </w:r>
          </w:p>
        </w:tc>
      </w:tr>
      <w:tr w14:paraId="0AC4F9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404" w:type="dxa"/>
            <w:vMerge w:val="continue"/>
            <w:vAlign w:val="center"/>
          </w:tcPr>
          <w:p w14:paraId="47F77631">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795" w:type="dxa"/>
            <w:vMerge w:val="continue"/>
            <w:vAlign w:val="center"/>
          </w:tcPr>
          <w:p w14:paraId="6CFC319A">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1023" w:type="dxa"/>
            <w:vAlign w:val="center"/>
          </w:tcPr>
          <w:p w14:paraId="25FE688D">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同类</w:t>
            </w:r>
          </w:p>
          <w:p w14:paraId="188465B1">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业绩</w:t>
            </w:r>
          </w:p>
        </w:tc>
        <w:tc>
          <w:tcPr>
            <w:tcW w:w="7023" w:type="dxa"/>
            <w:vAlign w:val="center"/>
          </w:tcPr>
          <w:p w14:paraId="2402E223">
            <w:pPr>
              <w:keepNext w:val="0"/>
              <w:keepLines w:val="0"/>
              <w:pageBreakBefore w:val="0"/>
              <w:widowControl w:val="0"/>
              <w:shd w:val="clear"/>
              <w:kinsoku/>
              <w:wordWrap/>
              <w:overflowPunct/>
              <w:topLinePunct w:val="0"/>
              <w:autoSpaceDE/>
              <w:autoSpaceDN/>
              <w:bidi w:val="0"/>
              <w:adjustRightInd/>
              <w:snapToGrid/>
              <w:spacing w:line="280" w:lineRule="exact"/>
              <w:textAlignment w:val="auto"/>
              <w:rPr>
                <w:rFonts w:hint="default" w:ascii="仿宋_GB2312" w:eastAsia="仿宋_GB2312"/>
                <w:color w:val="auto"/>
                <w:sz w:val="24"/>
                <w:szCs w:val="24"/>
                <w:lang w:val="en-US" w:eastAsia="zh-CN"/>
              </w:rPr>
            </w:pPr>
            <w:r>
              <w:rPr>
                <w:rFonts w:hint="eastAsia" w:ascii="仿宋_GB2312" w:eastAsia="仿宋_GB2312"/>
                <w:color w:val="000000" w:themeColor="text1"/>
                <w:sz w:val="24"/>
                <w:szCs w:val="24"/>
                <w:lang w:val="en-US" w:eastAsia="zh-CN"/>
                <w14:textFill>
                  <w14:solidFill>
                    <w14:schemeClr w14:val="tx1"/>
                  </w14:solidFill>
                </w14:textFill>
              </w:rPr>
              <w:t>在公告发布日起三年内，投标人每提供一个类似劳务派遣服务项目业绩的，计1分，本项最高得7分。其中，为医疗机构提供劳务派遣服务的业绩，每个另加1分，累计加分不超过7分</w:t>
            </w:r>
            <w:r>
              <w:rPr>
                <w:rFonts w:hint="default" w:ascii="仿宋_GB2312" w:eastAsia="仿宋_GB2312"/>
                <w:color w:val="000000" w:themeColor="text1"/>
                <w:sz w:val="24"/>
                <w:szCs w:val="24"/>
                <w:lang w:val="en-US" w:eastAsia="zh-CN"/>
                <w14:textFill>
                  <w14:solidFill>
                    <w14:schemeClr w14:val="tx1"/>
                  </w14:solidFill>
                </w14:textFill>
              </w:rPr>
              <w:t>。</w:t>
            </w:r>
            <w:r>
              <w:rPr>
                <w:rFonts w:hint="eastAsia" w:ascii="仿宋_GB2312" w:eastAsia="仿宋_GB2312"/>
                <w:color w:val="000000" w:themeColor="text1"/>
                <w:sz w:val="24"/>
                <w:szCs w:val="24"/>
                <w:lang w:val="en-US" w:eastAsia="zh-CN"/>
                <w14:textFill>
                  <w14:solidFill>
                    <w14:schemeClr w14:val="tx1"/>
                  </w14:solidFill>
                </w14:textFill>
              </w:rPr>
              <w:t>需提供合同或中标通知书。</w:t>
            </w:r>
          </w:p>
        </w:tc>
        <w:tc>
          <w:tcPr>
            <w:tcW w:w="533" w:type="dxa"/>
            <w:vAlign w:val="center"/>
          </w:tcPr>
          <w:p w14:paraId="26C07B9A">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default" w:ascii="仿宋_GB2312" w:eastAsia="仿宋_GB2312"/>
                <w:color w:val="auto"/>
                <w:sz w:val="24"/>
                <w:szCs w:val="24"/>
                <w:lang w:val="en-US" w:eastAsia="zh-CN"/>
              </w:rPr>
            </w:pPr>
            <w:r>
              <w:rPr>
                <w:rFonts w:hint="eastAsia" w:ascii="仿宋_GB2312" w:eastAsia="仿宋_GB2312"/>
                <w:color w:val="auto"/>
                <w:sz w:val="24"/>
                <w:szCs w:val="24"/>
                <w:lang w:val="en-US" w:eastAsia="zh-CN"/>
              </w:rPr>
              <w:t>14</w:t>
            </w:r>
          </w:p>
        </w:tc>
      </w:tr>
      <w:tr w14:paraId="292F7D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00" w:hRule="atLeast"/>
          <w:jc w:val="center"/>
        </w:trPr>
        <w:tc>
          <w:tcPr>
            <w:tcW w:w="404" w:type="dxa"/>
            <w:vMerge w:val="continue"/>
            <w:vAlign w:val="center"/>
          </w:tcPr>
          <w:p w14:paraId="393FD7A6">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795" w:type="dxa"/>
            <w:vMerge w:val="continue"/>
            <w:vAlign w:val="center"/>
          </w:tcPr>
          <w:p w14:paraId="547ACE4D">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1023" w:type="dxa"/>
            <w:vAlign w:val="center"/>
          </w:tcPr>
          <w:p w14:paraId="681FD826">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认证</w:t>
            </w:r>
          </w:p>
          <w:p w14:paraId="08BD9709">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default" w:ascii="仿宋_GB2312" w:eastAsia="仿宋_GB2312"/>
                <w:color w:val="auto"/>
                <w:sz w:val="24"/>
                <w:szCs w:val="24"/>
                <w:lang w:val="en-US" w:eastAsia="zh-CN"/>
              </w:rPr>
            </w:pPr>
            <w:r>
              <w:rPr>
                <w:rFonts w:hint="eastAsia" w:ascii="仿宋_GB2312" w:eastAsia="仿宋_GB2312"/>
                <w:color w:val="auto"/>
                <w:sz w:val="24"/>
                <w:szCs w:val="24"/>
                <w:lang w:val="en-US" w:eastAsia="zh-CN"/>
              </w:rPr>
              <w:t>体系</w:t>
            </w:r>
          </w:p>
        </w:tc>
        <w:tc>
          <w:tcPr>
            <w:tcW w:w="7023" w:type="dxa"/>
            <w:vAlign w:val="center"/>
          </w:tcPr>
          <w:p w14:paraId="1D88E78B">
            <w:pPr>
              <w:keepNext w:val="0"/>
              <w:keepLines w:val="0"/>
              <w:pageBreakBefore w:val="0"/>
              <w:widowControl w:val="0"/>
              <w:shd w:val="clear"/>
              <w:kinsoku/>
              <w:wordWrap/>
              <w:overflowPunct/>
              <w:topLinePunct w:val="0"/>
              <w:autoSpaceDE/>
              <w:autoSpaceDN/>
              <w:bidi w:val="0"/>
              <w:adjustRightInd/>
              <w:snapToGrid/>
              <w:spacing w:line="280" w:lineRule="exact"/>
              <w:textAlignment w:val="auto"/>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投标人通过质量管理体系认证（GB/T19001-2016/ISO9001:2015标准）、环境管理体系认证（GB/T24001-2016/ISO14001:2015标准）、职业健康安全管理体系认证（GB/T45001-2020/ISO45001:2018标准）的每个计3分，满分为9分，没有不计分。</w:t>
            </w:r>
          </w:p>
        </w:tc>
        <w:tc>
          <w:tcPr>
            <w:tcW w:w="533" w:type="dxa"/>
            <w:vAlign w:val="center"/>
          </w:tcPr>
          <w:p w14:paraId="456EACEC">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eastAsia="zh-CN"/>
              </w:rPr>
            </w:pPr>
            <w:r>
              <w:rPr>
                <w:rFonts w:hint="eastAsia" w:ascii="仿宋_GB2312" w:eastAsia="仿宋_GB2312"/>
                <w:color w:val="auto"/>
                <w:sz w:val="24"/>
                <w:szCs w:val="24"/>
                <w:lang w:val="en-US" w:eastAsia="zh-CN"/>
              </w:rPr>
              <w:t>9</w:t>
            </w:r>
          </w:p>
        </w:tc>
      </w:tr>
      <w:tr w14:paraId="6364CE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6" w:hRule="atLeast"/>
          <w:jc w:val="center"/>
        </w:trPr>
        <w:tc>
          <w:tcPr>
            <w:tcW w:w="404" w:type="dxa"/>
            <w:vMerge w:val="restart"/>
            <w:vAlign w:val="center"/>
          </w:tcPr>
          <w:p w14:paraId="0C71050E">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3</w:t>
            </w:r>
          </w:p>
        </w:tc>
        <w:tc>
          <w:tcPr>
            <w:tcW w:w="795" w:type="dxa"/>
            <w:vMerge w:val="restart"/>
            <w:vAlign w:val="center"/>
          </w:tcPr>
          <w:p w14:paraId="3016E4DE">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rPr>
            </w:pPr>
            <w:r>
              <w:rPr>
                <w:rFonts w:hint="eastAsia" w:ascii="仿宋_GB2312" w:eastAsia="仿宋_GB2312"/>
                <w:color w:val="auto"/>
                <w:sz w:val="24"/>
                <w:szCs w:val="24"/>
              </w:rPr>
              <w:t>技术</w:t>
            </w:r>
          </w:p>
          <w:p w14:paraId="6D97FD84">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服务</w:t>
            </w:r>
          </w:p>
          <w:p w14:paraId="316BE9BB">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35分</w:t>
            </w:r>
          </w:p>
        </w:tc>
        <w:tc>
          <w:tcPr>
            <w:tcW w:w="1023" w:type="dxa"/>
            <w:tcBorders>
              <w:bottom w:val="single" w:color="auto" w:sz="4" w:space="0"/>
            </w:tcBorders>
            <w:vAlign w:val="center"/>
          </w:tcPr>
          <w:p w14:paraId="379100F2">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整体</w:t>
            </w:r>
          </w:p>
          <w:p w14:paraId="604CD21D">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方案</w:t>
            </w:r>
          </w:p>
        </w:tc>
        <w:tc>
          <w:tcPr>
            <w:tcW w:w="7023" w:type="dxa"/>
            <w:vAlign w:val="center"/>
          </w:tcPr>
          <w:p w14:paraId="20F5E74F">
            <w:pPr>
              <w:keepNext w:val="0"/>
              <w:keepLines w:val="0"/>
              <w:pageBreakBefore w:val="0"/>
              <w:widowControl w:val="0"/>
              <w:shd w:val="clear"/>
              <w:kinsoku/>
              <w:wordWrap/>
              <w:overflowPunct/>
              <w:topLinePunct w:val="0"/>
              <w:autoSpaceDE/>
              <w:autoSpaceDN/>
              <w:bidi w:val="0"/>
              <w:adjustRightInd/>
              <w:snapToGrid/>
              <w:spacing w:before="100" w:beforeAutospacing="1" w:after="100" w:afterAutospacing="1" w:line="280" w:lineRule="exact"/>
              <w:textAlignment w:val="auto"/>
              <w:rPr>
                <w:rFonts w:ascii="仿宋_GB2312" w:eastAsia="仿宋_GB2312"/>
                <w:color w:val="auto"/>
                <w:sz w:val="24"/>
                <w:szCs w:val="24"/>
              </w:rPr>
            </w:pPr>
            <w:r>
              <w:rPr>
                <w:rFonts w:hint="eastAsia" w:ascii="仿宋_GB2312" w:eastAsia="仿宋_GB2312"/>
                <w:color w:val="auto"/>
                <w:sz w:val="24"/>
                <w:szCs w:val="24"/>
              </w:rPr>
              <w:t>方案中有针对人员档案、薪资管理、客户服务及关系维护详细方案（含劳动争议处理、风险防范、增值服务等）等内容。根据方案内容计分：优的计</w:t>
            </w:r>
            <w:r>
              <w:rPr>
                <w:rFonts w:hint="eastAsia" w:ascii="仿宋_GB2312" w:eastAsia="仿宋_GB2312"/>
                <w:color w:val="auto"/>
                <w:sz w:val="24"/>
                <w:szCs w:val="24"/>
                <w:lang w:val="en-US" w:eastAsia="zh-CN"/>
              </w:rPr>
              <w:t>6</w:t>
            </w:r>
            <w:r>
              <w:rPr>
                <w:rFonts w:hint="eastAsia" w:ascii="仿宋_GB2312" w:eastAsia="仿宋_GB2312"/>
                <w:color w:val="auto"/>
                <w:sz w:val="24"/>
                <w:szCs w:val="24"/>
              </w:rPr>
              <w:t>分，良的计</w:t>
            </w:r>
            <w:r>
              <w:rPr>
                <w:rFonts w:hint="eastAsia" w:ascii="仿宋_GB2312" w:eastAsia="仿宋_GB2312"/>
                <w:color w:val="auto"/>
                <w:sz w:val="24"/>
                <w:szCs w:val="24"/>
                <w:lang w:val="en-US" w:eastAsia="zh-CN"/>
              </w:rPr>
              <w:t>4</w:t>
            </w:r>
            <w:r>
              <w:rPr>
                <w:rFonts w:hint="eastAsia" w:ascii="仿宋_GB2312" w:eastAsia="仿宋_GB2312"/>
                <w:color w:val="auto"/>
                <w:sz w:val="24"/>
                <w:szCs w:val="24"/>
              </w:rPr>
              <w:t>分，一般的计2分。</w:t>
            </w:r>
          </w:p>
        </w:tc>
        <w:tc>
          <w:tcPr>
            <w:tcW w:w="533" w:type="dxa"/>
            <w:vAlign w:val="center"/>
          </w:tcPr>
          <w:p w14:paraId="482C40E4">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eastAsia="zh-CN"/>
              </w:rPr>
            </w:pPr>
            <w:r>
              <w:rPr>
                <w:rFonts w:hint="eastAsia" w:ascii="仿宋_GB2312" w:eastAsia="仿宋_GB2312"/>
                <w:color w:val="auto"/>
                <w:sz w:val="24"/>
                <w:szCs w:val="24"/>
                <w:lang w:val="en-US" w:eastAsia="zh-CN"/>
              </w:rPr>
              <w:t>6</w:t>
            </w:r>
          </w:p>
        </w:tc>
      </w:tr>
      <w:tr w14:paraId="7AE51E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557" w:hRule="atLeast"/>
          <w:jc w:val="center"/>
        </w:trPr>
        <w:tc>
          <w:tcPr>
            <w:tcW w:w="404" w:type="dxa"/>
            <w:vMerge w:val="continue"/>
            <w:vAlign w:val="center"/>
          </w:tcPr>
          <w:p w14:paraId="3894B55C">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rPr>
            </w:pPr>
          </w:p>
        </w:tc>
        <w:tc>
          <w:tcPr>
            <w:tcW w:w="795" w:type="dxa"/>
            <w:vMerge w:val="continue"/>
            <w:vAlign w:val="center"/>
          </w:tcPr>
          <w:p w14:paraId="485A8A5B">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rPr>
            </w:pPr>
          </w:p>
        </w:tc>
        <w:tc>
          <w:tcPr>
            <w:tcW w:w="1023" w:type="dxa"/>
            <w:tcBorders>
              <w:top w:val="single" w:color="auto" w:sz="4" w:space="0"/>
              <w:bottom w:val="single" w:color="auto" w:sz="4" w:space="0"/>
            </w:tcBorders>
            <w:vAlign w:val="center"/>
          </w:tcPr>
          <w:p w14:paraId="0B737FE5">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人员</w:t>
            </w:r>
          </w:p>
          <w:p w14:paraId="5BDB71E7">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default" w:ascii="仿宋_GB2312" w:eastAsia="仿宋_GB2312"/>
                <w:color w:val="auto"/>
                <w:sz w:val="24"/>
                <w:szCs w:val="24"/>
                <w:lang w:val="en-US" w:eastAsia="zh-CN"/>
              </w:rPr>
            </w:pPr>
            <w:r>
              <w:rPr>
                <w:rFonts w:hint="eastAsia" w:ascii="仿宋_GB2312" w:eastAsia="仿宋_GB2312"/>
                <w:color w:val="auto"/>
                <w:sz w:val="24"/>
                <w:szCs w:val="24"/>
                <w:lang w:val="en-US" w:eastAsia="zh-CN"/>
              </w:rPr>
              <w:t>培训</w:t>
            </w:r>
          </w:p>
        </w:tc>
        <w:tc>
          <w:tcPr>
            <w:tcW w:w="7023" w:type="dxa"/>
            <w:vAlign w:val="center"/>
          </w:tcPr>
          <w:p w14:paraId="04397CB2">
            <w:pPr>
              <w:keepNext w:val="0"/>
              <w:keepLines w:val="0"/>
              <w:pageBreakBefore w:val="0"/>
              <w:widowControl w:val="0"/>
              <w:shd w:val="clear"/>
              <w:kinsoku/>
              <w:wordWrap/>
              <w:overflowPunct/>
              <w:topLinePunct w:val="0"/>
              <w:autoSpaceDE/>
              <w:autoSpaceDN/>
              <w:bidi w:val="0"/>
              <w:adjustRightInd/>
              <w:snapToGrid/>
              <w:spacing w:line="280" w:lineRule="exact"/>
              <w:jc w:val="left"/>
              <w:textAlignment w:val="auto"/>
              <w:rPr>
                <w:rFonts w:hint="default" w:ascii="仿宋_GB2312" w:eastAsia="仿宋_GB2312"/>
                <w:color w:val="auto"/>
                <w:sz w:val="24"/>
                <w:szCs w:val="24"/>
                <w:lang w:val="en-US" w:eastAsia="zh-CN"/>
              </w:rPr>
            </w:pPr>
            <w:r>
              <w:rPr>
                <w:rFonts w:hint="eastAsia" w:ascii="仿宋_GB2312" w:eastAsia="仿宋_GB2312"/>
                <w:color w:val="auto"/>
                <w:sz w:val="24"/>
                <w:szCs w:val="24"/>
                <w:lang w:val="en-US" w:eastAsia="zh-CN"/>
              </w:rPr>
              <w:t>1.根据医疗行业特点及医院用工需求，制定针对性培训方案，涵盖职业道德、院感防控、安全生产、患者隐私保护、岗位操作规范等内容，方案科学完整得2分，不完善不得分；2. 具备规范的培训实施、签到、考核、归档管理制度，能够提供完整培训记录得2分，不完善不得分；3. 针对新上岗、转岗、考核不合格人员制定再培训及淘汰更换机制，措施有效得2分，不完善不得分。</w:t>
            </w:r>
          </w:p>
        </w:tc>
        <w:tc>
          <w:tcPr>
            <w:tcW w:w="533" w:type="dxa"/>
            <w:vAlign w:val="center"/>
          </w:tcPr>
          <w:p w14:paraId="4623AAC3">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default" w:ascii="仿宋_GB2312" w:eastAsia="仿宋_GB2312"/>
                <w:color w:val="auto"/>
                <w:sz w:val="24"/>
                <w:szCs w:val="24"/>
                <w:lang w:val="en-US" w:eastAsia="zh-CN"/>
              </w:rPr>
            </w:pPr>
            <w:r>
              <w:rPr>
                <w:rFonts w:hint="eastAsia" w:ascii="仿宋_GB2312" w:eastAsia="仿宋_GB2312"/>
                <w:color w:val="auto"/>
                <w:sz w:val="24"/>
                <w:szCs w:val="24"/>
                <w:lang w:val="en-US" w:eastAsia="zh-CN"/>
              </w:rPr>
              <w:t>6</w:t>
            </w:r>
          </w:p>
        </w:tc>
      </w:tr>
      <w:tr w14:paraId="55D861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86" w:hRule="atLeast"/>
          <w:jc w:val="center"/>
        </w:trPr>
        <w:tc>
          <w:tcPr>
            <w:tcW w:w="404" w:type="dxa"/>
            <w:vMerge w:val="continue"/>
            <w:vAlign w:val="center"/>
          </w:tcPr>
          <w:p w14:paraId="68ABBCEB">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795" w:type="dxa"/>
            <w:vMerge w:val="continue"/>
            <w:vAlign w:val="center"/>
          </w:tcPr>
          <w:p w14:paraId="556DDD6C">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1023" w:type="dxa"/>
            <w:tcBorders>
              <w:top w:val="single" w:color="auto" w:sz="4" w:space="0"/>
              <w:bottom w:val="single" w:color="auto" w:sz="4" w:space="0"/>
            </w:tcBorders>
            <w:vAlign w:val="center"/>
          </w:tcPr>
          <w:p w14:paraId="7B5FA22C">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人员</w:t>
            </w:r>
          </w:p>
          <w:p w14:paraId="36B08D6C">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招聘</w:t>
            </w:r>
          </w:p>
        </w:tc>
        <w:tc>
          <w:tcPr>
            <w:tcW w:w="7023" w:type="dxa"/>
            <w:vAlign w:val="center"/>
          </w:tcPr>
          <w:p w14:paraId="5F946F09">
            <w:pPr>
              <w:keepNext w:val="0"/>
              <w:keepLines w:val="0"/>
              <w:pageBreakBefore w:val="0"/>
              <w:widowControl w:val="0"/>
              <w:shd w:val="clear"/>
              <w:kinsoku/>
              <w:wordWrap/>
              <w:overflowPunct/>
              <w:topLinePunct w:val="0"/>
              <w:autoSpaceDE/>
              <w:autoSpaceDN/>
              <w:bidi w:val="0"/>
              <w:adjustRightInd/>
              <w:snapToGrid/>
              <w:spacing w:before="100" w:beforeAutospacing="1" w:after="100" w:afterAutospacing="1" w:line="280" w:lineRule="exact"/>
              <w:textAlignment w:val="auto"/>
              <w:rPr>
                <w:rFonts w:ascii="仿宋_GB2312" w:eastAsia="仿宋_GB2312"/>
                <w:color w:val="auto"/>
                <w:sz w:val="24"/>
                <w:szCs w:val="24"/>
              </w:rPr>
            </w:pPr>
            <w:r>
              <w:rPr>
                <w:rFonts w:hint="eastAsia" w:ascii="仿宋_GB2312" w:eastAsia="仿宋_GB2312"/>
                <w:color w:val="auto"/>
                <w:sz w:val="24"/>
                <w:szCs w:val="24"/>
              </w:rPr>
              <w:t>方案中有针对本项目的人员招聘</w:t>
            </w:r>
            <w:r>
              <w:rPr>
                <w:rFonts w:hint="eastAsia" w:ascii="仿宋_GB2312" w:eastAsia="仿宋_GB2312"/>
                <w:color w:val="auto"/>
                <w:sz w:val="24"/>
                <w:szCs w:val="24"/>
                <w:lang w:eastAsia="zh-CN"/>
              </w:rPr>
              <w:t>：</w:t>
            </w:r>
            <w:r>
              <w:rPr>
                <w:rFonts w:hint="eastAsia" w:ascii="仿宋_GB2312" w:eastAsia="仿宋_GB2312"/>
                <w:color w:val="auto"/>
                <w:sz w:val="24"/>
                <w:szCs w:val="24"/>
                <w:lang w:val="en-US" w:eastAsia="zh-CN"/>
              </w:rPr>
              <w:t>招聘渠道、筛选标准、体检与背景核查、应急补岗机制完善</w:t>
            </w:r>
            <w:r>
              <w:rPr>
                <w:rFonts w:hint="eastAsia" w:ascii="仿宋_GB2312" w:eastAsia="仿宋_GB2312"/>
                <w:color w:val="auto"/>
                <w:sz w:val="24"/>
                <w:szCs w:val="24"/>
              </w:rPr>
              <w:t>，根据投标方案设计的周全与合理程度计分：优的计</w:t>
            </w:r>
            <w:r>
              <w:rPr>
                <w:rFonts w:hint="eastAsia" w:ascii="仿宋_GB2312" w:eastAsia="仿宋_GB2312"/>
                <w:color w:val="auto"/>
                <w:sz w:val="24"/>
                <w:szCs w:val="24"/>
                <w:lang w:val="en-US" w:eastAsia="zh-CN"/>
              </w:rPr>
              <w:t>6</w:t>
            </w:r>
            <w:r>
              <w:rPr>
                <w:rFonts w:hint="eastAsia" w:ascii="仿宋_GB2312" w:eastAsia="仿宋_GB2312"/>
                <w:color w:val="auto"/>
                <w:sz w:val="24"/>
                <w:szCs w:val="24"/>
              </w:rPr>
              <w:t>分，良的计4分，一般的计2分。</w:t>
            </w:r>
          </w:p>
        </w:tc>
        <w:tc>
          <w:tcPr>
            <w:tcW w:w="533" w:type="dxa"/>
            <w:vAlign w:val="center"/>
          </w:tcPr>
          <w:p w14:paraId="759AB003">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val="en-US" w:eastAsia="zh-CN"/>
              </w:rPr>
            </w:pPr>
            <w:r>
              <w:rPr>
                <w:rFonts w:hint="eastAsia" w:ascii="仿宋_GB2312" w:eastAsia="仿宋_GB2312"/>
                <w:color w:val="auto"/>
                <w:sz w:val="24"/>
                <w:szCs w:val="24"/>
                <w:lang w:val="en-US" w:eastAsia="zh-CN"/>
              </w:rPr>
              <w:t>6</w:t>
            </w:r>
          </w:p>
        </w:tc>
      </w:tr>
      <w:tr w14:paraId="2C4A86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43" w:hRule="atLeast"/>
          <w:jc w:val="center"/>
        </w:trPr>
        <w:tc>
          <w:tcPr>
            <w:tcW w:w="404" w:type="dxa"/>
            <w:vMerge w:val="continue"/>
            <w:vAlign w:val="center"/>
          </w:tcPr>
          <w:p w14:paraId="6245CD72">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795" w:type="dxa"/>
            <w:vMerge w:val="continue"/>
            <w:vAlign w:val="center"/>
          </w:tcPr>
          <w:p w14:paraId="3E7DC01C">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1023" w:type="dxa"/>
            <w:tcBorders>
              <w:top w:val="single" w:color="auto" w:sz="4" w:space="0"/>
              <w:bottom w:val="single" w:color="auto" w:sz="4" w:space="0"/>
            </w:tcBorders>
            <w:vAlign w:val="center"/>
          </w:tcPr>
          <w:p w14:paraId="745D3AC2">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default" w:ascii="仿宋_GB2312" w:eastAsia="仿宋_GB2312"/>
                <w:color w:val="auto"/>
                <w:sz w:val="24"/>
                <w:szCs w:val="24"/>
                <w:lang w:val="en-US" w:eastAsia="zh-CN"/>
              </w:rPr>
            </w:pPr>
            <w:r>
              <w:rPr>
                <w:rFonts w:hint="eastAsia" w:ascii="仿宋_GB2312" w:eastAsia="仿宋_GB2312"/>
                <w:color w:val="auto"/>
                <w:sz w:val="24"/>
                <w:szCs w:val="24"/>
                <w:lang w:val="en-US" w:eastAsia="zh-CN"/>
              </w:rPr>
              <w:t>考核与质量管理</w:t>
            </w:r>
          </w:p>
        </w:tc>
        <w:tc>
          <w:tcPr>
            <w:tcW w:w="7023" w:type="dxa"/>
            <w:tcBorders>
              <w:bottom w:val="single" w:color="auto" w:sz="6" w:space="0"/>
            </w:tcBorders>
            <w:vAlign w:val="center"/>
          </w:tcPr>
          <w:p w14:paraId="5903F2C9">
            <w:pPr>
              <w:keepNext w:val="0"/>
              <w:keepLines w:val="0"/>
              <w:pageBreakBefore w:val="0"/>
              <w:widowControl w:val="0"/>
              <w:shd w:val="clear"/>
              <w:kinsoku/>
              <w:wordWrap/>
              <w:overflowPunct/>
              <w:topLinePunct w:val="0"/>
              <w:autoSpaceDE/>
              <w:autoSpaceDN/>
              <w:bidi w:val="0"/>
              <w:adjustRightInd/>
              <w:snapToGrid/>
              <w:spacing w:before="100" w:beforeAutospacing="1" w:after="100" w:afterAutospacing="1" w:line="280" w:lineRule="exact"/>
              <w:textAlignment w:val="auto"/>
              <w:rPr>
                <w:rFonts w:ascii="仿宋_GB2312" w:eastAsia="仿宋_GB2312"/>
                <w:color w:val="auto"/>
                <w:sz w:val="24"/>
                <w:szCs w:val="24"/>
              </w:rPr>
            </w:pPr>
            <w:r>
              <w:rPr>
                <w:rFonts w:hint="eastAsia" w:ascii="仿宋_GB2312" w:eastAsia="仿宋_GB2312"/>
                <w:color w:val="auto"/>
                <w:sz w:val="24"/>
                <w:szCs w:val="24"/>
              </w:rPr>
              <w:t>完整的服务质量管理方案和项目考核方案：包含服务质量检查</w:t>
            </w:r>
            <w:r>
              <w:rPr>
                <w:rFonts w:hint="eastAsia" w:ascii="仿宋_GB2312" w:eastAsia="仿宋_GB2312"/>
                <w:color w:val="auto"/>
                <w:sz w:val="24"/>
                <w:szCs w:val="24"/>
                <w:lang w:eastAsia="zh-CN"/>
              </w:rPr>
              <w:t>、</w:t>
            </w:r>
            <w:r>
              <w:rPr>
                <w:rFonts w:hint="eastAsia" w:ascii="仿宋_GB2312" w:eastAsia="仿宋_GB2312"/>
                <w:color w:val="auto"/>
                <w:sz w:val="24"/>
                <w:szCs w:val="24"/>
              </w:rPr>
              <w:t>控制流程</w:t>
            </w:r>
            <w:r>
              <w:rPr>
                <w:rFonts w:hint="eastAsia" w:ascii="仿宋_GB2312" w:eastAsia="仿宋_GB2312"/>
                <w:color w:val="auto"/>
                <w:sz w:val="24"/>
                <w:szCs w:val="24"/>
                <w:lang w:eastAsia="zh-CN"/>
              </w:rPr>
              <w:t>、</w:t>
            </w:r>
            <w:r>
              <w:rPr>
                <w:rFonts w:hint="eastAsia" w:ascii="仿宋_GB2312" w:eastAsia="仿宋_GB2312"/>
                <w:color w:val="auto"/>
                <w:sz w:val="24"/>
                <w:szCs w:val="24"/>
              </w:rPr>
              <w:t>考核管理办法</w:t>
            </w:r>
            <w:r>
              <w:rPr>
                <w:rFonts w:hint="eastAsia" w:ascii="仿宋_GB2312" w:eastAsia="仿宋_GB2312"/>
                <w:color w:val="auto"/>
                <w:sz w:val="24"/>
                <w:szCs w:val="24"/>
                <w:lang w:eastAsia="zh-CN"/>
              </w:rPr>
              <w:t>、</w:t>
            </w:r>
            <w:r>
              <w:rPr>
                <w:rFonts w:hint="eastAsia" w:ascii="仿宋_GB2312" w:eastAsia="仿宋_GB2312"/>
                <w:color w:val="auto"/>
                <w:sz w:val="24"/>
                <w:szCs w:val="24"/>
                <w:lang w:val="en-US" w:eastAsia="zh-CN"/>
              </w:rPr>
              <w:t>奖惩机制、质量监控、持续改进闭环</w:t>
            </w:r>
            <w:r>
              <w:rPr>
                <w:rFonts w:hint="eastAsia" w:ascii="仿宋_GB2312" w:eastAsia="仿宋_GB2312"/>
                <w:color w:val="auto"/>
                <w:sz w:val="24"/>
                <w:szCs w:val="24"/>
              </w:rPr>
              <w:t>。根据方案内容计分：优的计</w:t>
            </w:r>
            <w:r>
              <w:rPr>
                <w:rFonts w:hint="eastAsia" w:ascii="仿宋_GB2312" w:eastAsia="仿宋_GB2312"/>
                <w:color w:val="auto"/>
                <w:sz w:val="24"/>
                <w:szCs w:val="24"/>
                <w:lang w:val="en-US" w:eastAsia="zh-CN"/>
              </w:rPr>
              <w:t>6</w:t>
            </w:r>
            <w:r>
              <w:rPr>
                <w:rFonts w:hint="eastAsia" w:ascii="仿宋_GB2312" w:eastAsia="仿宋_GB2312"/>
                <w:color w:val="auto"/>
                <w:sz w:val="24"/>
                <w:szCs w:val="24"/>
              </w:rPr>
              <w:t>分，良的计</w:t>
            </w:r>
            <w:r>
              <w:rPr>
                <w:rFonts w:hint="eastAsia" w:ascii="仿宋_GB2312" w:eastAsia="仿宋_GB2312"/>
                <w:color w:val="auto"/>
                <w:sz w:val="24"/>
                <w:szCs w:val="24"/>
                <w:lang w:val="en-US" w:eastAsia="zh-CN"/>
              </w:rPr>
              <w:t>4</w:t>
            </w:r>
            <w:r>
              <w:rPr>
                <w:rFonts w:hint="eastAsia" w:ascii="仿宋_GB2312" w:eastAsia="仿宋_GB2312"/>
                <w:color w:val="auto"/>
                <w:sz w:val="24"/>
                <w:szCs w:val="24"/>
              </w:rPr>
              <w:t>分，一般的计2分。</w:t>
            </w:r>
          </w:p>
        </w:tc>
        <w:tc>
          <w:tcPr>
            <w:tcW w:w="533" w:type="dxa"/>
            <w:tcBorders>
              <w:bottom w:val="single" w:color="auto" w:sz="6" w:space="0"/>
            </w:tcBorders>
            <w:vAlign w:val="center"/>
          </w:tcPr>
          <w:p w14:paraId="18117DF0">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eastAsia="zh-CN"/>
              </w:rPr>
            </w:pPr>
            <w:r>
              <w:rPr>
                <w:rFonts w:hint="eastAsia" w:ascii="仿宋_GB2312" w:eastAsia="仿宋_GB2312"/>
                <w:color w:val="auto"/>
                <w:sz w:val="24"/>
                <w:szCs w:val="24"/>
                <w:lang w:val="en-US" w:eastAsia="zh-CN"/>
              </w:rPr>
              <w:t>6</w:t>
            </w:r>
          </w:p>
        </w:tc>
      </w:tr>
      <w:tr w14:paraId="4B4F34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00" w:hRule="atLeast"/>
          <w:jc w:val="center"/>
        </w:trPr>
        <w:tc>
          <w:tcPr>
            <w:tcW w:w="404" w:type="dxa"/>
            <w:vMerge w:val="continue"/>
            <w:vAlign w:val="center"/>
          </w:tcPr>
          <w:p w14:paraId="3E2A83C6">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795" w:type="dxa"/>
            <w:vMerge w:val="continue"/>
            <w:vAlign w:val="center"/>
          </w:tcPr>
          <w:p w14:paraId="3C21FF08">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1023" w:type="dxa"/>
            <w:tcBorders>
              <w:top w:val="single" w:color="auto" w:sz="4" w:space="0"/>
            </w:tcBorders>
            <w:vAlign w:val="center"/>
          </w:tcPr>
          <w:p w14:paraId="4CFDA9C9">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hAnsi="宋体" w:eastAsia="仿宋_GB2312" w:cs="仿宋"/>
                <w:color w:val="auto"/>
                <w:sz w:val="24"/>
                <w:szCs w:val="24"/>
              </w:rPr>
            </w:pPr>
            <w:r>
              <w:rPr>
                <w:rFonts w:hint="eastAsia" w:ascii="仿宋_GB2312" w:hAnsi="宋体" w:eastAsia="仿宋_GB2312" w:cs="仿宋"/>
                <w:color w:val="auto"/>
                <w:sz w:val="24"/>
                <w:szCs w:val="24"/>
              </w:rPr>
              <w:t>人员</w:t>
            </w:r>
          </w:p>
          <w:p w14:paraId="7F6D8B60">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hAnsi="宋体" w:eastAsia="仿宋_GB2312" w:cs="仿宋"/>
                <w:color w:val="auto"/>
                <w:sz w:val="24"/>
                <w:szCs w:val="24"/>
              </w:rPr>
              <w:t>配备</w:t>
            </w:r>
          </w:p>
        </w:tc>
        <w:tc>
          <w:tcPr>
            <w:tcW w:w="7023" w:type="dxa"/>
            <w:vAlign w:val="center"/>
          </w:tcPr>
          <w:p w14:paraId="6C2B4B24">
            <w:pPr>
              <w:keepNext w:val="0"/>
              <w:keepLines w:val="0"/>
              <w:pageBreakBefore w:val="0"/>
              <w:widowControl w:val="0"/>
              <w:shd w:val="clear"/>
              <w:kinsoku/>
              <w:wordWrap/>
              <w:overflowPunct/>
              <w:topLinePunct w:val="0"/>
              <w:autoSpaceDE/>
              <w:autoSpaceDN/>
              <w:bidi w:val="0"/>
              <w:adjustRightInd/>
              <w:snapToGrid/>
              <w:spacing w:line="280" w:lineRule="exact"/>
              <w:textAlignment w:val="auto"/>
              <w:rPr>
                <w:rFonts w:ascii="仿宋_GB2312" w:eastAsia="仿宋_GB2312"/>
                <w:color w:val="auto"/>
                <w:sz w:val="24"/>
                <w:szCs w:val="24"/>
              </w:rPr>
            </w:pPr>
            <w:r>
              <w:rPr>
                <w:rFonts w:hint="eastAsia" w:ascii="仿宋_GB2312" w:eastAsia="仿宋_GB2312"/>
                <w:color w:val="auto"/>
                <w:sz w:val="24"/>
                <w:szCs w:val="24"/>
                <w:lang w:val="en-US" w:eastAsia="zh-CN"/>
              </w:rPr>
              <w:t>企业</w:t>
            </w:r>
            <w:r>
              <w:rPr>
                <w:rFonts w:hint="eastAsia" w:ascii="仿宋_GB2312" w:eastAsia="仿宋_GB2312"/>
                <w:color w:val="auto"/>
                <w:sz w:val="24"/>
                <w:szCs w:val="24"/>
              </w:rPr>
              <w:t>人员配备中有通过法律职业资格考试的专业人员1人计</w:t>
            </w:r>
            <w:r>
              <w:rPr>
                <w:rFonts w:hint="eastAsia" w:ascii="仿宋_GB2312" w:eastAsia="仿宋_GB2312"/>
                <w:color w:val="auto"/>
                <w:sz w:val="24"/>
                <w:szCs w:val="24"/>
                <w:lang w:val="en-US" w:eastAsia="zh-CN"/>
              </w:rPr>
              <w:t>1</w:t>
            </w:r>
            <w:r>
              <w:rPr>
                <w:rFonts w:hint="eastAsia" w:ascii="仿宋_GB2312" w:eastAsia="仿宋_GB2312"/>
                <w:color w:val="auto"/>
                <w:sz w:val="24"/>
                <w:szCs w:val="24"/>
              </w:rPr>
              <w:t>分，满分为</w:t>
            </w:r>
            <w:r>
              <w:rPr>
                <w:rFonts w:hint="eastAsia" w:ascii="仿宋_GB2312" w:eastAsia="仿宋_GB2312"/>
                <w:color w:val="auto"/>
                <w:sz w:val="24"/>
                <w:szCs w:val="24"/>
                <w:lang w:val="en-US" w:eastAsia="zh-CN"/>
              </w:rPr>
              <w:t>2</w:t>
            </w:r>
            <w:r>
              <w:rPr>
                <w:rFonts w:hint="eastAsia" w:ascii="仿宋_GB2312" w:eastAsia="仿宋_GB2312"/>
                <w:color w:val="auto"/>
                <w:sz w:val="24"/>
                <w:szCs w:val="24"/>
              </w:rPr>
              <w:t>分；</w:t>
            </w:r>
            <w:r>
              <w:rPr>
                <w:rFonts w:hint="eastAsia" w:ascii="仿宋_GB2312" w:eastAsia="仿宋_GB2312"/>
                <w:color w:val="auto"/>
                <w:sz w:val="24"/>
                <w:szCs w:val="24"/>
                <w:lang w:val="en-US" w:eastAsia="zh-CN"/>
              </w:rPr>
              <w:t>人员</w:t>
            </w:r>
            <w:r>
              <w:rPr>
                <w:rFonts w:hint="eastAsia" w:ascii="仿宋_GB2312" w:eastAsia="仿宋_GB2312"/>
                <w:color w:val="auto"/>
                <w:sz w:val="24"/>
                <w:szCs w:val="24"/>
              </w:rPr>
              <w:t>配备中具有安全培训合格证书的专业人员1人计1分，满分为2分；人员配备中具备一级人力资源管理师资格的专业人员1人计1分，满分为2分；满分为</w:t>
            </w:r>
            <w:r>
              <w:rPr>
                <w:rFonts w:hint="eastAsia" w:ascii="仿宋_GB2312" w:eastAsia="仿宋_GB2312"/>
                <w:color w:val="auto"/>
                <w:sz w:val="24"/>
                <w:szCs w:val="24"/>
                <w:lang w:val="en-US" w:eastAsia="zh-CN"/>
              </w:rPr>
              <w:t>6</w:t>
            </w:r>
            <w:r>
              <w:rPr>
                <w:rFonts w:hint="eastAsia" w:ascii="仿宋_GB2312" w:eastAsia="仿宋_GB2312"/>
                <w:color w:val="auto"/>
                <w:sz w:val="24"/>
                <w:szCs w:val="24"/>
              </w:rPr>
              <w:t>分（需提供相关资格证书复印件及近6个月社保证明材料，未同时提供计0分）</w:t>
            </w:r>
          </w:p>
        </w:tc>
        <w:tc>
          <w:tcPr>
            <w:tcW w:w="533" w:type="dxa"/>
            <w:vAlign w:val="center"/>
          </w:tcPr>
          <w:p w14:paraId="05D8A6EF">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eastAsia="仿宋_GB2312"/>
                <w:color w:val="auto"/>
                <w:sz w:val="24"/>
                <w:szCs w:val="24"/>
                <w:lang w:eastAsia="zh-CN"/>
              </w:rPr>
            </w:pPr>
            <w:r>
              <w:rPr>
                <w:rFonts w:hint="eastAsia" w:ascii="仿宋_GB2312" w:eastAsia="仿宋_GB2312"/>
                <w:color w:val="auto"/>
                <w:sz w:val="24"/>
                <w:szCs w:val="24"/>
                <w:lang w:val="en-US" w:eastAsia="zh-CN"/>
              </w:rPr>
              <w:t>6</w:t>
            </w:r>
          </w:p>
        </w:tc>
      </w:tr>
      <w:tr w14:paraId="79F0F7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043" w:hRule="atLeast"/>
          <w:jc w:val="center"/>
        </w:trPr>
        <w:tc>
          <w:tcPr>
            <w:tcW w:w="404" w:type="dxa"/>
            <w:vMerge w:val="continue"/>
            <w:vAlign w:val="center"/>
          </w:tcPr>
          <w:p w14:paraId="23B2A9E3">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795" w:type="dxa"/>
            <w:vMerge w:val="continue"/>
            <w:vAlign w:val="center"/>
          </w:tcPr>
          <w:p w14:paraId="16E534A3">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p>
        </w:tc>
        <w:tc>
          <w:tcPr>
            <w:tcW w:w="1023" w:type="dxa"/>
            <w:tcBorders>
              <w:top w:val="single" w:color="auto" w:sz="4" w:space="0"/>
            </w:tcBorders>
            <w:vAlign w:val="center"/>
          </w:tcPr>
          <w:p w14:paraId="23FF9535">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eastAsia" w:ascii="仿宋_GB2312" w:hAnsi="宋体" w:eastAsia="仿宋_GB2312" w:cs="仿宋"/>
                <w:color w:val="auto"/>
                <w:sz w:val="24"/>
                <w:szCs w:val="24"/>
                <w:lang w:val="en-US" w:eastAsia="zh-CN"/>
              </w:rPr>
            </w:pPr>
            <w:r>
              <w:rPr>
                <w:rFonts w:hint="eastAsia" w:ascii="仿宋_GB2312" w:hAnsi="宋体" w:eastAsia="仿宋_GB2312" w:cs="仿宋"/>
                <w:color w:val="auto"/>
                <w:sz w:val="24"/>
                <w:szCs w:val="24"/>
                <w:lang w:val="en-US" w:eastAsia="zh-CN"/>
              </w:rPr>
              <w:t>服务</w:t>
            </w:r>
          </w:p>
          <w:p w14:paraId="403BDFDC">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default" w:ascii="仿宋_GB2312" w:hAnsi="宋体" w:eastAsia="仿宋_GB2312" w:cs="仿宋"/>
                <w:color w:val="auto"/>
                <w:sz w:val="24"/>
                <w:szCs w:val="24"/>
                <w:lang w:val="en-US" w:eastAsia="zh-CN"/>
              </w:rPr>
            </w:pPr>
            <w:r>
              <w:rPr>
                <w:rFonts w:hint="eastAsia" w:ascii="仿宋_GB2312" w:hAnsi="宋体" w:eastAsia="仿宋_GB2312" w:cs="仿宋"/>
                <w:color w:val="auto"/>
                <w:sz w:val="24"/>
                <w:szCs w:val="24"/>
                <w:lang w:val="en-US" w:eastAsia="zh-CN"/>
              </w:rPr>
              <w:t>响应</w:t>
            </w:r>
          </w:p>
        </w:tc>
        <w:tc>
          <w:tcPr>
            <w:tcW w:w="7023" w:type="dxa"/>
            <w:vAlign w:val="center"/>
          </w:tcPr>
          <w:p w14:paraId="3B4A23B3">
            <w:pPr>
              <w:keepNext w:val="0"/>
              <w:keepLines w:val="0"/>
              <w:pageBreakBefore w:val="0"/>
              <w:widowControl w:val="0"/>
              <w:shd w:val="clear"/>
              <w:kinsoku/>
              <w:wordWrap/>
              <w:overflowPunct/>
              <w:topLinePunct w:val="0"/>
              <w:autoSpaceDE/>
              <w:autoSpaceDN/>
              <w:bidi w:val="0"/>
              <w:adjustRightInd/>
              <w:snapToGrid/>
              <w:spacing w:line="280" w:lineRule="exact"/>
              <w:textAlignment w:val="auto"/>
              <w:rPr>
                <w:rFonts w:hint="default" w:ascii="仿宋_GB2312" w:eastAsia="仿宋_GB2312"/>
                <w:color w:val="auto"/>
                <w:sz w:val="24"/>
                <w:szCs w:val="24"/>
                <w:lang w:val="en-US" w:eastAsia="zh-CN"/>
              </w:rPr>
            </w:pPr>
            <w:r>
              <w:rPr>
                <w:rFonts w:hint="eastAsia" w:ascii="仿宋_GB2312" w:eastAsia="仿宋_GB2312"/>
                <w:color w:val="000000" w:themeColor="text1"/>
                <w:sz w:val="24"/>
                <w:szCs w:val="24"/>
                <w:highlight w:val="none"/>
                <w:lang w:val="en-US" w:eastAsia="zh-CN"/>
                <w14:textFill>
                  <w14:solidFill>
                    <w14:schemeClr w14:val="tx1"/>
                  </w14:solidFill>
                </w14:textFill>
              </w:rPr>
              <w:t>紧急事项2小时内响应、4小时内到场，有明确本地服务团队、联系人、应急流程，保障措施完善。</w:t>
            </w:r>
            <w:r>
              <w:rPr>
                <w:rFonts w:hint="eastAsia" w:ascii="仿宋_GB2312" w:eastAsia="仿宋_GB2312"/>
                <w:color w:val="auto"/>
                <w:sz w:val="24"/>
                <w:szCs w:val="24"/>
                <w:lang w:val="en-US" w:eastAsia="zh-CN"/>
              </w:rPr>
              <w:t>得5分；有明确响应时限，有基本服务安排，保障较充分。得3分；仅简单承诺，无具体时限及团队安排。得1分；未提供本地化服务承诺或方案。0分。</w:t>
            </w:r>
          </w:p>
        </w:tc>
        <w:tc>
          <w:tcPr>
            <w:tcW w:w="533" w:type="dxa"/>
            <w:vAlign w:val="center"/>
          </w:tcPr>
          <w:p w14:paraId="50A5FB6D">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hint="default" w:ascii="仿宋_GB2312" w:eastAsia="仿宋_GB2312"/>
                <w:color w:val="auto"/>
                <w:sz w:val="24"/>
                <w:szCs w:val="24"/>
                <w:lang w:val="en-US" w:eastAsia="zh-CN"/>
              </w:rPr>
            </w:pPr>
            <w:r>
              <w:rPr>
                <w:rFonts w:hint="eastAsia" w:ascii="仿宋_GB2312" w:eastAsia="仿宋_GB2312"/>
                <w:color w:val="auto"/>
                <w:sz w:val="24"/>
                <w:szCs w:val="24"/>
                <w:lang w:val="en-US" w:eastAsia="zh-CN"/>
              </w:rPr>
              <w:t>5</w:t>
            </w:r>
          </w:p>
        </w:tc>
      </w:tr>
      <w:tr w14:paraId="28A6EB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199" w:type="dxa"/>
            <w:gridSpan w:val="2"/>
            <w:vAlign w:val="center"/>
          </w:tcPr>
          <w:p w14:paraId="022A3B47">
            <w:pPr>
              <w:keepNext w:val="0"/>
              <w:keepLines w:val="0"/>
              <w:pageBreakBefore w:val="0"/>
              <w:widowControl w:val="0"/>
              <w:shd w:val="clear"/>
              <w:kinsoku/>
              <w:wordWrap/>
              <w:overflowPunct/>
              <w:topLinePunct w:val="0"/>
              <w:autoSpaceDE/>
              <w:autoSpaceDN/>
              <w:bidi w:val="0"/>
              <w:adjustRightInd/>
              <w:snapToGrid/>
              <w:spacing w:line="280" w:lineRule="exact"/>
              <w:jc w:val="center"/>
              <w:textAlignment w:val="auto"/>
              <w:rPr>
                <w:rFonts w:ascii="仿宋_GB2312" w:eastAsia="仿宋_GB2312"/>
                <w:color w:val="auto"/>
                <w:sz w:val="24"/>
                <w:szCs w:val="24"/>
              </w:rPr>
            </w:pPr>
            <w:r>
              <w:rPr>
                <w:rFonts w:hint="eastAsia" w:ascii="仿宋_GB2312" w:eastAsia="仿宋_GB2312"/>
                <w:color w:val="auto"/>
                <w:sz w:val="24"/>
                <w:szCs w:val="24"/>
              </w:rPr>
              <w:t>备注</w:t>
            </w:r>
          </w:p>
        </w:tc>
        <w:tc>
          <w:tcPr>
            <w:tcW w:w="8579" w:type="dxa"/>
            <w:gridSpan w:val="3"/>
            <w:vAlign w:val="center"/>
          </w:tcPr>
          <w:p w14:paraId="1571C1ED">
            <w:pPr>
              <w:keepNext w:val="0"/>
              <w:keepLines w:val="0"/>
              <w:pageBreakBefore w:val="0"/>
              <w:widowControl w:val="0"/>
              <w:shd w:val="clear"/>
              <w:kinsoku/>
              <w:wordWrap/>
              <w:overflowPunct/>
              <w:topLinePunct w:val="0"/>
              <w:autoSpaceDE/>
              <w:autoSpaceDN/>
              <w:bidi w:val="0"/>
              <w:adjustRightInd/>
              <w:snapToGrid/>
              <w:spacing w:line="280" w:lineRule="exact"/>
              <w:jc w:val="left"/>
              <w:textAlignment w:val="auto"/>
              <w:rPr>
                <w:rFonts w:ascii="仿宋_GB2312" w:eastAsia="仿宋_GB2312"/>
                <w:color w:val="auto"/>
                <w:sz w:val="24"/>
                <w:szCs w:val="24"/>
              </w:rPr>
            </w:pPr>
            <w:r>
              <w:rPr>
                <w:rFonts w:hint="eastAsia" w:ascii="仿宋_GB2312" w:eastAsia="仿宋_GB2312"/>
                <w:color w:val="auto"/>
                <w:sz w:val="24"/>
                <w:szCs w:val="24"/>
              </w:rPr>
              <w:t>上述提供的相关资料必须真实有效，经核实，如提供虚假资料，将一票否决。</w:t>
            </w:r>
          </w:p>
        </w:tc>
      </w:tr>
    </w:tbl>
    <w:p w14:paraId="51EA834A">
      <w:pPr>
        <w:keepNext w:val="0"/>
        <w:keepLines w:val="0"/>
        <w:pageBreakBefore w:val="0"/>
        <w:widowControl w:val="0"/>
        <w:shd w:val="clear"/>
        <w:kinsoku/>
        <w:wordWrap/>
        <w:overflowPunct/>
        <w:topLinePunct w:val="0"/>
        <w:autoSpaceDE/>
        <w:autoSpaceDN/>
        <w:bidi w:val="0"/>
        <w:adjustRightInd/>
        <w:snapToGrid/>
        <w:spacing w:line="220" w:lineRule="exact"/>
        <w:textAlignment w:val="auto"/>
        <w:rPr>
          <w:rFonts w:ascii="仿宋_GB2312" w:eastAsia="仿宋_GB2312"/>
          <w:color w:val="auto"/>
          <w:sz w:val="18"/>
          <w:szCs w:val="18"/>
        </w:rPr>
      </w:pPr>
      <w:r>
        <w:rPr>
          <w:rFonts w:ascii="仿宋_GB2312" w:eastAsia="仿宋_GB2312"/>
          <w:color w:val="auto"/>
          <w:sz w:val="18"/>
          <w:szCs w:val="18"/>
        </w:rPr>
        <w:t>注：（1）全体评标委员会对投标人评分的算数平均值即为该投标人的最终评标得分（不得去评分项目的最高得分和最低得分），评分分值计算保留小数点后两位，小数点后第三位“四舍五入”。</w:t>
      </w:r>
    </w:p>
    <w:p w14:paraId="5CF6C0D9">
      <w:pPr>
        <w:keepNext w:val="0"/>
        <w:keepLines w:val="0"/>
        <w:pageBreakBefore w:val="0"/>
        <w:widowControl w:val="0"/>
        <w:shd w:val="clear"/>
        <w:kinsoku/>
        <w:wordWrap/>
        <w:overflowPunct/>
        <w:topLinePunct w:val="0"/>
        <w:autoSpaceDE/>
        <w:autoSpaceDN/>
        <w:bidi w:val="0"/>
        <w:adjustRightInd/>
        <w:snapToGrid/>
        <w:spacing w:line="220" w:lineRule="exact"/>
        <w:textAlignment w:val="auto"/>
        <w:rPr>
          <w:rFonts w:ascii="仿宋_GB2312" w:eastAsia="仿宋_GB2312"/>
          <w:color w:val="auto"/>
          <w:sz w:val="24"/>
          <w:szCs w:val="24"/>
        </w:rPr>
      </w:pPr>
      <w:r>
        <w:rPr>
          <w:rFonts w:hint="eastAsia" w:ascii="仿宋_GB2312" w:eastAsia="仿宋_GB2312"/>
          <w:color w:val="auto"/>
          <w:sz w:val="18"/>
          <w:szCs w:val="18"/>
        </w:rPr>
        <w:t>（2）</w:t>
      </w:r>
      <w:r>
        <w:rPr>
          <w:rFonts w:ascii="仿宋_GB2312" w:eastAsia="仿宋_GB2312"/>
          <w:color w:val="auto"/>
          <w:sz w:val="18"/>
          <w:szCs w:val="18"/>
        </w:rPr>
        <w:t>评标结果按评审后得分由高到低顺序排列；综合得分相同的，按投标报价由低到高顺序排列；综合得分且投标报价相同的，按技术得分由高到低顺序排列。</w:t>
      </w:r>
    </w:p>
    <w:p w14:paraId="76768175">
      <w:pPr>
        <w:jc w:val="center"/>
        <w:rPr>
          <w:rFonts w:hint="eastAsia" w:ascii="仿宋" w:hAnsi="仿宋" w:eastAsia="仿宋" w:cs="仿宋"/>
          <w:sz w:val="24"/>
          <w:szCs w:val="24"/>
        </w:rPr>
      </w:pPr>
    </w:p>
    <w:p w14:paraId="683ABBC5">
      <w:pPr>
        <w:jc w:val="center"/>
        <w:rPr>
          <w:rFonts w:hint="eastAsia" w:ascii="仿宋" w:hAnsi="仿宋" w:eastAsia="仿宋" w:cs="仿宋"/>
          <w:sz w:val="24"/>
          <w:szCs w:val="24"/>
        </w:rPr>
      </w:pPr>
    </w:p>
    <w:p w14:paraId="4E755B44">
      <w:pPr>
        <w:jc w:val="center"/>
        <w:rPr>
          <w:rFonts w:hint="eastAsia" w:ascii="仿宋" w:hAnsi="仿宋" w:eastAsia="仿宋" w:cs="仿宋"/>
          <w:sz w:val="24"/>
          <w:szCs w:val="24"/>
        </w:rPr>
      </w:pPr>
    </w:p>
    <w:p w14:paraId="4F0B6473">
      <w:pPr>
        <w:jc w:val="center"/>
        <w:rPr>
          <w:rFonts w:hint="eastAsia" w:ascii="仿宋" w:hAnsi="仿宋" w:eastAsia="仿宋" w:cs="仿宋"/>
          <w:sz w:val="24"/>
          <w:szCs w:val="24"/>
        </w:rPr>
      </w:pPr>
      <w:r>
        <w:rPr>
          <w:rFonts w:hint="eastAsia" w:ascii="仿宋" w:hAnsi="仿宋" w:eastAsia="仿宋" w:cs="仿宋"/>
          <w:sz w:val="24"/>
          <w:szCs w:val="24"/>
        </w:rPr>
        <w:br w:type="page"/>
      </w:r>
    </w:p>
    <w:p w14:paraId="5294AC11">
      <w:pPr>
        <w:jc w:val="center"/>
        <w:rPr>
          <w:rFonts w:hint="eastAsia" w:ascii="仿宋" w:hAnsi="仿宋" w:eastAsia="仿宋" w:cs="仿宋"/>
          <w:sz w:val="24"/>
          <w:szCs w:val="24"/>
        </w:rPr>
      </w:pPr>
    </w:p>
    <w:p w14:paraId="6F76C45F">
      <w:pPr>
        <w:pStyle w:val="2"/>
        <w:numPr>
          <w:ilvl w:val="0"/>
          <w:numId w:val="0"/>
        </w:numPr>
        <w:spacing w:line="240" w:lineRule="auto"/>
        <w:ind w:left="2940" w:leftChars="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A4E95C4">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13CAE84F">
      <w:pPr>
        <w:rPr>
          <w:rFonts w:hint="eastAsia" w:ascii="宋体" w:hAnsi="宋体" w:cs="宋体"/>
          <w:color w:val="auto"/>
        </w:rPr>
      </w:pPr>
    </w:p>
    <w:bookmarkEnd w:id="2"/>
    <w:p w14:paraId="09E4C51D">
      <w:pPr>
        <w:rPr>
          <w:rFonts w:hint="eastAsia"/>
          <w:color w:val="auto"/>
        </w:rPr>
      </w:pPr>
    </w:p>
    <w:p w14:paraId="37CD40BF">
      <w:pPr>
        <w:jc w:val="center"/>
        <w:rPr>
          <w:b/>
          <w:color w:val="auto"/>
          <w:sz w:val="24"/>
        </w:rPr>
      </w:pPr>
      <w:r>
        <w:rPr>
          <w:b/>
          <w:color w:val="auto"/>
          <w:sz w:val="28"/>
          <w:szCs w:val="28"/>
        </w:rPr>
        <w:t>第一部分、开标一览表</w:t>
      </w:r>
    </w:p>
    <w:p w14:paraId="6B1338EE">
      <w:pPr>
        <w:jc w:val="center"/>
        <w:rPr>
          <w:b/>
          <w:color w:val="auto"/>
          <w:sz w:val="24"/>
        </w:rPr>
      </w:pPr>
    </w:p>
    <w:p w14:paraId="3D3C4477">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5BF73B1">
      <w:pPr>
        <w:pStyle w:val="20"/>
        <w:rPr>
          <w:color w:val="auto"/>
        </w:rPr>
      </w:pPr>
    </w:p>
    <w:p w14:paraId="7D0A891F">
      <w:pPr>
        <w:adjustRightInd w:val="0"/>
        <w:snapToGrid w:val="0"/>
        <w:spacing w:line="360" w:lineRule="auto"/>
        <w:jc w:val="center"/>
        <w:rPr>
          <w:rFonts w:hint="eastAsia" w:ascii="宋体" w:hAnsi="宋体" w:cs="宋体"/>
          <w:b/>
          <w:color w:val="auto"/>
          <w:sz w:val="28"/>
          <w:szCs w:val="28"/>
        </w:rPr>
      </w:pPr>
    </w:p>
    <w:p w14:paraId="62BF4973">
      <w:pPr>
        <w:adjustRightInd w:val="0"/>
        <w:snapToGrid w:val="0"/>
        <w:spacing w:line="360" w:lineRule="auto"/>
        <w:jc w:val="center"/>
        <w:rPr>
          <w:rFonts w:hint="eastAsia" w:ascii="宋体" w:hAnsi="宋体" w:cs="宋体"/>
          <w:b/>
          <w:color w:val="auto"/>
          <w:sz w:val="28"/>
          <w:szCs w:val="28"/>
        </w:rPr>
      </w:pPr>
    </w:p>
    <w:p w14:paraId="0BBB54E5">
      <w:pPr>
        <w:adjustRightInd w:val="0"/>
        <w:snapToGrid w:val="0"/>
        <w:spacing w:line="360" w:lineRule="auto"/>
        <w:jc w:val="center"/>
        <w:rPr>
          <w:rFonts w:hint="eastAsia" w:ascii="宋体" w:hAnsi="宋体" w:cs="宋体"/>
          <w:b/>
          <w:color w:val="auto"/>
          <w:sz w:val="28"/>
          <w:szCs w:val="28"/>
        </w:rPr>
      </w:pPr>
    </w:p>
    <w:p w14:paraId="4CE6E22F">
      <w:pPr>
        <w:adjustRightInd w:val="0"/>
        <w:snapToGrid w:val="0"/>
        <w:spacing w:line="360" w:lineRule="auto"/>
        <w:jc w:val="center"/>
        <w:rPr>
          <w:rFonts w:hint="eastAsia" w:ascii="宋体" w:hAnsi="宋体" w:cs="宋体"/>
          <w:b/>
          <w:color w:val="auto"/>
          <w:sz w:val="28"/>
          <w:szCs w:val="28"/>
        </w:rPr>
      </w:pPr>
    </w:p>
    <w:p w14:paraId="1982FCFC">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171996F6">
      <w:pPr>
        <w:pStyle w:val="19"/>
        <w:rPr>
          <w:rFonts w:hint="eastAsia"/>
          <w:lang w:eastAsia="zh-CN"/>
        </w:rPr>
      </w:pPr>
    </w:p>
    <w:p w14:paraId="7FDE0FEA">
      <w:pPr>
        <w:adjustRightInd w:val="0"/>
        <w:snapToGrid w:val="0"/>
        <w:spacing w:line="360" w:lineRule="auto"/>
        <w:jc w:val="center"/>
        <w:rPr>
          <w:rFonts w:hint="eastAsia" w:ascii="宋体" w:hAnsi="宋体" w:cs="宋体"/>
          <w:b/>
          <w:color w:val="auto"/>
          <w:sz w:val="24"/>
          <w:szCs w:val="20"/>
        </w:rPr>
      </w:pPr>
    </w:p>
    <w:p w14:paraId="239AF00B">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59A4596C">
      <w:pPr>
        <w:adjustRightInd w:val="0"/>
        <w:snapToGrid w:val="0"/>
        <w:spacing w:line="360" w:lineRule="auto"/>
        <w:rPr>
          <w:rFonts w:hint="eastAsia" w:ascii="宋体" w:hAnsi="宋体" w:cs="宋体"/>
          <w:b/>
          <w:color w:val="auto"/>
          <w:sz w:val="28"/>
          <w:szCs w:val="28"/>
        </w:rPr>
      </w:pPr>
    </w:p>
    <w:p w14:paraId="7BE53E5B">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D5D1246">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8ACAEB5">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0CBF8D2">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52A99B80">
      <w:pPr>
        <w:adjustRightInd w:val="0"/>
        <w:snapToGrid w:val="0"/>
        <w:spacing w:line="360" w:lineRule="auto"/>
        <w:ind w:firstLine="480" w:firstLineChars="200"/>
        <w:rPr>
          <w:rFonts w:hint="eastAsia" w:ascii="宋体" w:hAnsi="宋体" w:cs="宋体"/>
          <w:color w:val="auto"/>
          <w:sz w:val="24"/>
        </w:rPr>
      </w:pPr>
    </w:p>
    <w:tbl>
      <w:tblPr>
        <w:tblStyle w:val="12"/>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DF39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FA19577">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F0B2064">
      <w:pPr>
        <w:adjustRightInd w:val="0"/>
        <w:snapToGrid w:val="0"/>
        <w:spacing w:line="360" w:lineRule="auto"/>
        <w:rPr>
          <w:rFonts w:hint="eastAsia" w:ascii="宋体" w:hAnsi="宋体" w:cs="宋体"/>
          <w:color w:val="auto"/>
          <w:sz w:val="24"/>
        </w:rPr>
      </w:pPr>
    </w:p>
    <w:tbl>
      <w:tblPr>
        <w:tblStyle w:val="12"/>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1BAE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04DE166E">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7F769BE4">
      <w:pPr>
        <w:adjustRightInd w:val="0"/>
        <w:snapToGrid w:val="0"/>
        <w:spacing w:line="360" w:lineRule="auto"/>
        <w:rPr>
          <w:rFonts w:hint="eastAsia" w:ascii="宋体" w:hAnsi="宋体" w:cs="宋体"/>
          <w:color w:val="auto"/>
          <w:sz w:val="24"/>
        </w:rPr>
      </w:pPr>
    </w:p>
    <w:p w14:paraId="12DF4C75">
      <w:pPr>
        <w:adjustRightInd w:val="0"/>
        <w:snapToGrid w:val="0"/>
        <w:spacing w:line="360" w:lineRule="auto"/>
        <w:rPr>
          <w:rFonts w:hint="eastAsia" w:ascii="宋体" w:hAnsi="宋体" w:cs="宋体"/>
          <w:color w:val="auto"/>
          <w:sz w:val="24"/>
        </w:rPr>
      </w:pPr>
    </w:p>
    <w:p w14:paraId="5D331BA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239D7F17">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39BA960E">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032955DF">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6EEFB55">
      <w:pPr>
        <w:adjustRightInd w:val="0"/>
        <w:snapToGrid w:val="0"/>
        <w:spacing w:line="360" w:lineRule="auto"/>
        <w:rPr>
          <w:rFonts w:hint="eastAsia" w:ascii="宋体" w:hAnsi="宋体" w:cs="宋体"/>
          <w:b/>
          <w:color w:val="auto"/>
          <w:sz w:val="28"/>
          <w:szCs w:val="28"/>
        </w:rPr>
      </w:pPr>
    </w:p>
    <w:p w14:paraId="23D97461">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6D173D33">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36169FC3">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68F540D2">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36001FA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6F34707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06F1225D">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5C72CD">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6F9276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2D73030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34B24CAD">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47A6804">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BFC6EF2">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054CE100">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7587F385">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0DC8F09C">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D3D85C2">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F9A78D9">
      <w:pPr>
        <w:adjustRightInd w:val="0"/>
        <w:snapToGrid w:val="0"/>
        <w:spacing w:line="360" w:lineRule="auto"/>
        <w:jc w:val="center"/>
        <w:rPr>
          <w:rFonts w:hint="eastAsia" w:ascii="宋体" w:hAnsi="宋体" w:cs="宋体"/>
          <w:b/>
          <w:color w:val="auto"/>
          <w:sz w:val="24"/>
          <w:szCs w:val="20"/>
        </w:rPr>
      </w:pPr>
    </w:p>
    <w:p w14:paraId="00AEF35C">
      <w:pPr>
        <w:adjustRightInd w:val="0"/>
        <w:snapToGrid w:val="0"/>
        <w:spacing w:line="360" w:lineRule="auto"/>
        <w:rPr>
          <w:rFonts w:hint="eastAsia" w:ascii="宋体" w:hAnsi="宋体" w:cs="宋体"/>
          <w:b/>
          <w:color w:val="auto"/>
          <w:sz w:val="24"/>
          <w:szCs w:val="20"/>
        </w:rPr>
      </w:pPr>
    </w:p>
    <w:p w14:paraId="43C11026">
      <w:pPr>
        <w:adjustRightInd w:val="0"/>
        <w:snapToGrid w:val="0"/>
        <w:spacing w:line="360" w:lineRule="auto"/>
        <w:rPr>
          <w:rFonts w:hint="eastAsia" w:ascii="宋体" w:hAnsi="宋体" w:cs="宋体"/>
          <w:b/>
          <w:color w:val="auto"/>
          <w:sz w:val="24"/>
          <w:szCs w:val="20"/>
        </w:rPr>
      </w:pPr>
    </w:p>
    <w:p w14:paraId="1E91EA51">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7195D7F0">
      <w:pPr>
        <w:adjustRightInd w:val="0"/>
        <w:snapToGrid w:val="0"/>
        <w:spacing w:line="360" w:lineRule="auto"/>
        <w:jc w:val="center"/>
        <w:rPr>
          <w:rFonts w:hint="eastAsia" w:ascii="宋体" w:hAnsi="宋体" w:cs="宋体"/>
          <w:b/>
          <w:color w:val="auto"/>
          <w:sz w:val="24"/>
          <w:szCs w:val="20"/>
        </w:rPr>
      </w:pPr>
    </w:p>
    <w:p w14:paraId="0509E404">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6B0A1D41">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A1DD13E">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6F09C8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62E1A2C4">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396F680D">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21294289">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7247B201">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FD2A8F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42B0AF2E">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5FBE94EF">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3450EFDE">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56CAA50A">
      <w:pPr>
        <w:jc w:val="left"/>
        <w:rPr>
          <w:rFonts w:hint="eastAsia" w:ascii="宋体" w:hAnsi="宋体" w:eastAsia="宋体" w:cs="Times New Roman"/>
          <w:b w:val="0"/>
          <w:bCs w:val="0"/>
          <w:color w:val="auto"/>
          <w:kern w:val="2"/>
          <w:sz w:val="24"/>
          <w:szCs w:val="24"/>
          <w:lang w:val="en-US" w:eastAsia="zh-CN" w:bidi="ar-SA"/>
        </w:rPr>
      </w:pPr>
    </w:p>
    <w:p w14:paraId="367E257E">
      <w:pPr>
        <w:jc w:val="left"/>
        <w:rPr>
          <w:rFonts w:hint="eastAsia" w:ascii="宋体" w:hAnsi="宋体" w:eastAsia="宋体" w:cs="Times New Roman"/>
          <w:b w:val="0"/>
          <w:bCs w:val="0"/>
          <w:color w:val="auto"/>
          <w:kern w:val="2"/>
          <w:sz w:val="24"/>
          <w:szCs w:val="24"/>
          <w:lang w:val="en-US" w:eastAsia="zh-CN" w:bidi="ar-SA"/>
        </w:rPr>
      </w:pPr>
    </w:p>
    <w:p w14:paraId="4278AB8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073AFE">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13615D52">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2315B2F5">
      <w:pPr>
        <w:pStyle w:val="19"/>
        <w:rPr>
          <w:rFonts w:hint="eastAsia"/>
          <w:lang w:eastAsia="zh-CN"/>
        </w:rPr>
      </w:pPr>
    </w:p>
    <w:p w14:paraId="78E6FD22">
      <w:pPr>
        <w:spacing w:before="120" w:beforeLines="50" w:after="120" w:afterLines="50" w:line="276" w:lineRule="auto"/>
        <w:jc w:val="center"/>
        <w:rPr>
          <w:b/>
          <w:color w:val="auto"/>
          <w:sz w:val="24"/>
        </w:rPr>
      </w:pPr>
      <w:r>
        <w:rPr>
          <w:b/>
          <w:color w:val="auto"/>
          <w:sz w:val="24"/>
        </w:rPr>
        <w:t>采购需求响应/偏离表</w:t>
      </w:r>
    </w:p>
    <w:p w14:paraId="3623F803">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0AFD4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47B7826C">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6A9958CC">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51BAFDB">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53616095">
            <w:pPr>
              <w:adjustRightInd w:val="0"/>
              <w:snapToGrid w:val="0"/>
              <w:spacing w:before="50" w:line="360" w:lineRule="auto"/>
              <w:jc w:val="center"/>
              <w:rPr>
                <w:color w:val="auto"/>
              </w:rPr>
            </w:pPr>
            <w:r>
              <w:rPr>
                <w:color w:val="auto"/>
              </w:rPr>
              <w:t>投标文件应答</w:t>
            </w:r>
          </w:p>
        </w:tc>
        <w:tc>
          <w:tcPr>
            <w:tcW w:w="1513" w:type="dxa"/>
            <w:noWrap w:val="0"/>
            <w:vAlign w:val="center"/>
          </w:tcPr>
          <w:p w14:paraId="01BC7471">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4D270AE5">
            <w:pPr>
              <w:adjustRightInd w:val="0"/>
              <w:snapToGrid w:val="0"/>
              <w:spacing w:before="50" w:line="360" w:lineRule="auto"/>
              <w:ind w:left="-88" w:leftChars="-42"/>
              <w:jc w:val="center"/>
              <w:rPr>
                <w:color w:val="auto"/>
                <w:szCs w:val="21"/>
              </w:rPr>
            </w:pPr>
            <w:r>
              <w:rPr>
                <w:color w:val="auto"/>
                <w:szCs w:val="21"/>
              </w:rPr>
              <w:t>偏离说明</w:t>
            </w:r>
          </w:p>
        </w:tc>
      </w:tr>
      <w:tr w14:paraId="7B8E66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15F9C5E8">
            <w:pPr>
              <w:adjustRightInd w:val="0"/>
              <w:snapToGrid w:val="0"/>
              <w:spacing w:before="50" w:line="360" w:lineRule="auto"/>
              <w:ind w:left="-88" w:leftChars="-42"/>
              <w:jc w:val="center"/>
              <w:rPr>
                <w:color w:val="auto"/>
                <w:szCs w:val="21"/>
              </w:rPr>
            </w:pPr>
          </w:p>
        </w:tc>
        <w:tc>
          <w:tcPr>
            <w:tcW w:w="1877" w:type="dxa"/>
            <w:noWrap w:val="0"/>
            <w:vAlign w:val="center"/>
          </w:tcPr>
          <w:p w14:paraId="392C23DD">
            <w:pPr>
              <w:adjustRightInd w:val="0"/>
              <w:snapToGrid w:val="0"/>
              <w:spacing w:before="50" w:line="360" w:lineRule="auto"/>
              <w:ind w:left="-88" w:leftChars="-42"/>
              <w:jc w:val="center"/>
              <w:rPr>
                <w:color w:val="auto"/>
                <w:szCs w:val="21"/>
              </w:rPr>
            </w:pPr>
          </w:p>
        </w:tc>
        <w:tc>
          <w:tcPr>
            <w:tcW w:w="1671" w:type="dxa"/>
            <w:noWrap w:val="0"/>
            <w:vAlign w:val="center"/>
          </w:tcPr>
          <w:p w14:paraId="23CF0271">
            <w:pPr>
              <w:adjustRightInd w:val="0"/>
              <w:snapToGrid w:val="0"/>
              <w:spacing w:before="50" w:line="360" w:lineRule="auto"/>
              <w:ind w:left="-88" w:leftChars="-42"/>
              <w:jc w:val="center"/>
              <w:rPr>
                <w:color w:val="auto"/>
                <w:szCs w:val="21"/>
              </w:rPr>
            </w:pPr>
          </w:p>
        </w:tc>
        <w:tc>
          <w:tcPr>
            <w:tcW w:w="1608" w:type="dxa"/>
            <w:noWrap w:val="0"/>
            <w:vAlign w:val="center"/>
          </w:tcPr>
          <w:p w14:paraId="7B00A98E">
            <w:pPr>
              <w:adjustRightInd w:val="0"/>
              <w:snapToGrid w:val="0"/>
              <w:spacing w:before="50" w:line="360" w:lineRule="auto"/>
              <w:ind w:left="-88" w:leftChars="-42"/>
              <w:jc w:val="center"/>
              <w:rPr>
                <w:color w:val="auto"/>
                <w:szCs w:val="21"/>
              </w:rPr>
            </w:pPr>
          </w:p>
        </w:tc>
        <w:tc>
          <w:tcPr>
            <w:tcW w:w="1513" w:type="dxa"/>
            <w:noWrap w:val="0"/>
            <w:vAlign w:val="center"/>
          </w:tcPr>
          <w:p w14:paraId="0AD37B28">
            <w:pPr>
              <w:adjustRightInd w:val="0"/>
              <w:snapToGrid w:val="0"/>
              <w:spacing w:before="50" w:line="360" w:lineRule="auto"/>
              <w:ind w:left="-88" w:leftChars="-42"/>
              <w:jc w:val="center"/>
              <w:rPr>
                <w:color w:val="auto"/>
                <w:szCs w:val="21"/>
              </w:rPr>
            </w:pPr>
          </w:p>
        </w:tc>
        <w:tc>
          <w:tcPr>
            <w:tcW w:w="1061" w:type="dxa"/>
            <w:noWrap w:val="0"/>
            <w:vAlign w:val="center"/>
          </w:tcPr>
          <w:p w14:paraId="529D8C41">
            <w:pPr>
              <w:adjustRightInd w:val="0"/>
              <w:snapToGrid w:val="0"/>
              <w:spacing w:before="50" w:line="360" w:lineRule="auto"/>
              <w:ind w:left="-88" w:leftChars="-42"/>
              <w:jc w:val="center"/>
              <w:rPr>
                <w:color w:val="auto"/>
                <w:szCs w:val="21"/>
              </w:rPr>
            </w:pPr>
          </w:p>
        </w:tc>
      </w:tr>
      <w:tr w14:paraId="0DB2B1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9B3537A">
            <w:pPr>
              <w:adjustRightInd w:val="0"/>
              <w:snapToGrid w:val="0"/>
              <w:spacing w:before="50" w:line="360" w:lineRule="auto"/>
              <w:ind w:left="-88" w:leftChars="-42"/>
              <w:jc w:val="center"/>
              <w:rPr>
                <w:color w:val="auto"/>
                <w:szCs w:val="21"/>
              </w:rPr>
            </w:pPr>
          </w:p>
        </w:tc>
        <w:tc>
          <w:tcPr>
            <w:tcW w:w="1877" w:type="dxa"/>
            <w:noWrap w:val="0"/>
            <w:vAlign w:val="center"/>
          </w:tcPr>
          <w:p w14:paraId="443263BA">
            <w:pPr>
              <w:adjustRightInd w:val="0"/>
              <w:snapToGrid w:val="0"/>
              <w:spacing w:before="50" w:line="360" w:lineRule="auto"/>
              <w:ind w:left="-88" w:leftChars="-42"/>
              <w:jc w:val="center"/>
              <w:rPr>
                <w:color w:val="auto"/>
                <w:szCs w:val="21"/>
              </w:rPr>
            </w:pPr>
          </w:p>
        </w:tc>
        <w:tc>
          <w:tcPr>
            <w:tcW w:w="1671" w:type="dxa"/>
            <w:noWrap w:val="0"/>
            <w:vAlign w:val="center"/>
          </w:tcPr>
          <w:p w14:paraId="52A94067">
            <w:pPr>
              <w:adjustRightInd w:val="0"/>
              <w:snapToGrid w:val="0"/>
              <w:spacing w:before="50" w:line="360" w:lineRule="auto"/>
              <w:ind w:left="-88" w:leftChars="-42"/>
              <w:jc w:val="center"/>
              <w:rPr>
                <w:color w:val="auto"/>
                <w:szCs w:val="21"/>
              </w:rPr>
            </w:pPr>
          </w:p>
        </w:tc>
        <w:tc>
          <w:tcPr>
            <w:tcW w:w="1608" w:type="dxa"/>
            <w:noWrap w:val="0"/>
            <w:vAlign w:val="center"/>
          </w:tcPr>
          <w:p w14:paraId="6ECCA732">
            <w:pPr>
              <w:adjustRightInd w:val="0"/>
              <w:snapToGrid w:val="0"/>
              <w:spacing w:before="50" w:line="360" w:lineRule="auto"/>
              <w:ind w:left="-88" w:leftChars="-42"/>
              <w:jc w:val="center"/>
              <w:rPr>
                <w:color w:val="auto"/>
                <w:szCs w:val="21"/>
              </w:rPr>
            </w:pPr>
          </w:p>
        </w:tc>
        <w:tc>
          <w:tcPr>
            <w:tcW w:w="1513" w:type="dxa"/>
            <w:noWrap w:val="0"/>
            <w:vAlign w:val="center"/>
          </w:tcPr>
          <w:p w14:paraId="462274B4">
            <w:pPr>
              <w:adjustRightInd w:val="0"/>
              <w:snapToGrid w:val="0"/>
              <w:spacing w:before="50" w:line="360" w:lineRule="auto"/>
              <w:ind w:left="-88" w:leftChars="-42"/>
              <w:jc w:val="center"/>
              <w:rPr>
                <w:color w:val="auto"/>
                <w:szCs w:val="21"/>
              </w:rPr>
            </w:pPr>
          </w:p>
        </w:tc>
        <w:tc>
          <w:tcPr>
            <w:tcW w:w="1061" w:type="dxa"/>
            <w:noWrap w:val="0"/>
            <w:vAlign w:val="center"/>
          </w:tcPr>
          <w:p w14:paraId="0E725F2C">
            <w:pPr>
              <w:adjustRightInd w:val="0"/>
              <w:snapToGrid w:val="0"/>
              <w:spacing w:before="50" w:line="360" w:lineRule="auto"/>
              <w:ind w:left="-88" w:leftChars="-42"/>
              <w:jc w:val="center"/>
              <w:rPr>
                <w:color w:val="auto"/>
                <w:szCs w:val="21"/>
              </w:rPr>
            </w:pPr>
          </w:p>
        </w:tc>
      </w:tr>
      <w:tr w14:paraId="4172A7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249B3BF3">
            <w:pPr>
              <w:adjustRightInd w:val="0"/>
              <w:snapToGrid w:val="0"/>
              <w:spacing w:before="50" w:line="360" w:lineRule="auto"/>
              <w:ind w:left="-88" w:leftChars="-42"/>
              <w:jc w:val="center"/>
              <w:rPr>
                <w:color w:val="auto"/>
                <w:szCs w:val="21"/>
              </w:rPr>
            </w:pPr>
          </w:p>
        </w:tc>
        <w:tc>
          <w:tcPr>
            <w:tcW w:w="1877" w:type="dxa"/>
            <w:noWrap w:val="0"/>
            <w:vAlign w:val="center"/>
          </w:tcPr>
          <w:p w14:paraId="50F13E98">
            <w:pPr>
              <w:adjustRightInd w:val="0"/>
              <w:snapToGrid w:val="0"/>
              <w:spacing w:before="50" w:line="360" w:lineRule="auto"/>
              <w:ind w:left="-88" w:leftChars="-42"/>
              <w:jc w:val="center"/>
              <w:rPr>
                <w:color w:val="auto"/>
                <w:szCs w:val="21"/>
              </w:rPr>
            </w:pPr>
          </w:p>
        </w:tc>
        <w:tc>
          <w:tcPr>
            <w:tcW w:w="1671" w:type="dxa"/>
            <w:noWrap w:val="0"/>
            <w:vAlign w:val="center"/>
          </w:tcPr>
          <w:p w14:paraId="7E1D6FCC">
            <w:pPr>
              <w:adjustRightInd w:val="0"/>
              <w:snapToGrid w:val="0"/>
              <w:spacing w:before="50" w:line="360" w:lineRule="auto"/>
              <w:ind w:left="-88" w:leftChars="-42"/>
              <w:jc w:val="center"/>
              <w:rPr>
                <w:color w:val="auto"/>
                <w:szCs w:val="21"/>
              </w:rPr>
            </w:pPr>
          </w:p>
        </w:tc>
        <w:tc>
          <w:tcPr>
            <w:tcW w:w="1608" w:type="dxa"/>
            <w:noWrap w:val="0"/>
            <w:vAlign w:val="center"/>
          </w:tcPr>
          <w:p w14:paraId="36B2B594">
            <w:pPr>
              <w:adjustRightInd w:val="0"/>
              <w:snapToGrid w:val="0"/>
              <w:spacing w:before="50" w:line="360" w:lineRule="auto"/>
              <w:ind w:left="-88" w:leftChars="-42"/>
              <w:jc w:val="center"/>
              <w:rPr>
                <w:color w:val="auto"/>
                <w:szCs w:val="21"/>
              </w:rPr>
            </w:pPr>
          </w:p>
        </w:tc>
        <w:tc>
          <w:tcPr>
            <w:tcW w:w="1513" w:type="dxa"/>
            <w:noWrap w:val="0"/>
            <w:vAlign w:val="center"/>
          </w:tcPr>
          <w:p w14:paraId="3101515A">
            <w:pPr>
              <w:adjustRightInd w:val="0"/>
              <w:snapToGrid w:val="0"/>
              <w:spacing w:before="50" w:line="360" w:lineRule="auto"/>
              <w:ind w:left="-88" w:leftChars="-42"/>
              <w:jc w:val="center"/>
              <w:rPr>
                <w:color w:val="auto"/>
                <w:szCs w:val="21"/>
              </w:rPr>
            </w:pPr>
          </w:p>
        </w:tc>
        <w:tc>
          <w:tcPr>
            <w:tcW w:w="1061" w:type="dxa"/>
            <w:noWrap w:val="0"/>
            <w:vAlign w:val="center"/>
          </w:tcPr>
          <w:p w14:paraId="227CF019">
            <w:pPr>
              <w:adjustRightInd w:val="0"/>
              <w:snapToGrid w:val="0"/>
              <w:spacing w:before="50" w:line="360" w:lineRule="auto"/>
              <w:ind w:left="-88" w:leftChars="-42"/>
              <w:jc w:val="center"/>
              <w:rPr>
                <w:color w:val="auto"/>
                <w:szCs w:val="21"/>
              </w:rPr>
            </w:pPr>
          </w:p>
        </w:tc>
      </w:tr>
      <w:tr w14:paraId="7E1A52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79645379">
            <w:pPr>
              <w:rPr>
                <w:b/>
                <w:color w:val="auto"/>
              </w:rPr>
            </w:pPr>
          </w:p>
        </w:tc>
      </w:tr>
    </w:tbl>
    <w:p w14:paraId="37BC78CB">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14:paraId="706D62E9">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35793618">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62212A7D">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本项目为综合评分法，所有参数必须在响应表中逐条应答。</w:t>
      </w:r>
    </w:p>
    <w:p w14:paraId="7495F60F">
      <w:pPr>
        <w:pStyle w:val="20"/>
        <w:rPr>
          <w:color w:val="auto"/>
        </w:rPr>
      </w:pPr>
    </w:p>
    <w:p w14:paraId="45DD946D">
      <w:pPr>
        <w:pStyle w:val="19"/>
        <w:rPr>
          <w:rFonts w:hint="eastAsia"/>
          <w:lang w:eastAsia="zh-CN"/>
        </w:rPr>
      </w:pPr>
    </w:p>
    <w:p w14:paraId="592F7DBB"/>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92FC7">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7CC904">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67CC904">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04CB1AD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D8BF">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C317D">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EC317D">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5C68B4DA">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B662">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EB67FE42"/>
    <w:multiLevelType w:val="singleLevel"/>
    <w:tmpl w:val="EB67FE4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1350E35"/>
    <w:rsid w:val="02390242"/>
    <w:rsid w:val="02E14597"/>
    <w:rsid w:val="03E43FAE"/>
    <w:rsid w:val="04653F41"/>
    <w:rsid w:val="0476089A"/>
    <w:rsid w:val="048850CC"/>
    <w:rsid w:val="04B72FC8"/>
    <w:rsid w:val="04F57A38"/>
    <w:rsid w:val="050719CA"/>
    <w:rsid w:val="06934BAA"/>
    <w:rsid w:val="06E91EC4"/>
    <w:rsid w:val="072C3CBA"/>
    <w:rsid w:val="07583825"/>
    <w:rsid w:val="086F75C9"/>
    <w:rsid w:val="09C0303A"/>
    <w:rsid w:val="0A3F4F3C"/>
    <w:rsid w:val="0A510573"/>
    <w:rsid w:val="0A6D3244"/>
    <w:rsid w:val="0A8A74D4"/>
    <w:rsid w:val="0C137F64"/>
    <w:rsid w:val="0CAD77BD"/>
    <w:rsid w:val="0E331420"/>
    <w:rsid w:val="0EDD1643"/>
    <w:rsid w:val="0FB9029C"/>
    <w:rsid w:val="10897B23"/>
    <w:rsid w:val="10914EF9"/>
    <w:rsid w:val="10B8663C"/>
    <w:rsid w:val="12080B62"/>
    <w:rsid w:val="12994AC5"/>
    <w:rsid w:val="129F447F"/>
    <w:rsid w:val="12C86253"/>
    <w:rsid w:val="1424680F"/>
    <w:rsid w:val="14E40477"/>
    <w:rsid w:val="15060AC8"/>
    <w:rsid w:val="15125EAE"/>
    <w:rsid w:val="15675A4C"/>
    <w:rsid w:val="16995AD1"/>
    <w:rsid w:val="17F91BB8"/>
    <w:rsid w:val="193E7D91"/>
    <w:rsid w:val="1943608F"/>
    <w:rsid w:val="19E40286"/>
    <w:rsid w:val="19E91315"/>
    <w:rsid w:val="1AF56B46"/>
    <w:rsid w:val="1C795D39"/>
    <w:rsid w:val="1C995471"/>
    <w:rsid w:val="1CDB42B8"/>
    <w:rsid w:val="1CE412C7"/>
    <w:rsid w:val="1D5071B5"/>
    <w:rsid w:val="1DD7486D"/>
    <w:rsid w:val="1E79119D"/>
    <w:rsid w:val="1F334F58"/>
    <w:rsid w:val="1F796B24"/>
    <w:rsid w:val="1FC602A8"/>
    <w:rsid w:val="1FE73549"/>
    <w:rsid w:val="2038045E"/>
    <w:rsid w:val="20AF0900"/>
    <w:rsid w:val="20B41DA7"/>
    <w:rsid w:val="20BC6FDF"/>
    <w:rsid w:val="21014BCA"/>
    <w:rsid w:val="21C61C7A"/>
    <w:rsid w:val="2383771E"/>
    <w:rsid w:val="23F374DB"/>
    <w:rsid w:val="24881A32"/>
    <w:rsid w:val="25266F96"/>
    <w:rsid w:val="267547DF"/>
    <w:rsid w:val="272B6E6C"/>
    <w:rsid w:val="27CF2BB7"/>
    <w:rsid w:val="28E81B29"/>
    <w:rsid w:val="28FD390A"/>
    <w:rsid w:val="2945403A"/>
    <w:rsid w:val="29B45A41"/>
    <w:rsid w:val="2A174DA9"/>
    <w:rsid w:val="2AB010A8"/>
    <w:rsid w:val="2AC66F99"/>
    <w:rsid w:val="2C0A2E19"/>
    <w:rsid w:val="2C7642D0"/>
    <w:rsid w:val="2CC97A35"/>
    <w:rsid w:val="2CDC672B"/>
    <w:rsid w:val="2DD77C64"/>
    <w:rsid w:val="2DDA1E78"/>
    <w:rsid w:val="2DE00B8C"/>
    <w:rsid w:val="2EAC037F"/>
    <w:rsid w:val="2EB67A5C"/>
    <w:rsid w:val="302741D2"/>
    <w:rsid w:val="308B184D"/>
    <w:rsid w:val="309C1E01"/>
    <w:rsid w:val="30BB11DD"/>
    <w:rsid w:val="31F17CD1"/>
    <w:rsid w:val="324F4D43"/>
    <w:rsid w:val="33384C93"/>
    <w:rsid w:val="340F06E9"/>
    <w:rsid w:val="34754AFE"/>
    <w:rsid w:val="34C12F54"/>
    <w:rsid w:val="361110A5"/>
    <w:rsid w:val="362C6900"/>
    <w:rsid w:val="366241E2"/>
    <w:rsid w:val="36B66AAC"/>
    <w:rsid w:val="36E47928"/>
    <w:rsid w:val="372F7378"/>
    <w:rsid w:val="37731DB3"/>
    <w:rsid w:val="37BA0809"/>
    <w:rsid w:val="38FF7404"/>
    <w:rsid w:val="390B3E87"/>
    <w:rsid w:val="397348CD"/>
    <w:rsid w:val="3A8E0AB7"/>
    <w:rsid w:val="3A994AB7"/>
    <w:rsid w:val="3B3B544D"/>
    <w:rsid w:val="3B654F2B"/>
    <w:rsid w:val="3BB72BAE"/>
    <w:rsid w:val="3BBA21FE"/>
    <w:rsid w:val="3BBA2C40"/>
    <w:rsid w:val="3BFC7D2B"/>
    <w:rsid w:val="3C64112A"/>
    <w:rsid w:val="3C7C799C"/>
    <w:rsid w:val="3C8A61A4"/>
    <w:rsid w:val="3D5E17FF"/>
    <w:rsid w:val="3DF93413"/>
    <w:rsid w:val="3DFD1951"/>
    <w:rsid w:val="3E1F0DA4"/>
    <w:rsid w:val="3E584E51"/>
    <w:rsid w:val="3E6E70D5"/>
    <w:rsid w:val="3EBE1ADE"/>
    <w:rsid w:val="403B4B34"/>
    <w:rsid w:val="4140452A"/>
    <w:rsid w:val="414D7889"/>
    <w:rsid w:val="41BB0BAE"/>
    <w:rsid w:val="425629F5"/>
    <w:rsid w:val="425F55CD"/>
    <w:rsid w:val="4284152B"/>
    <w:rsid w:val="429A4992"/>
    <w:rsid w:val="435B161D"/>
    <w:rsid w:val="43B25DAC"/>
    <w:rsid w:val="44771DFD"/>
    <w:rsid w:val="458E3B2C"/>
    <w:rsid w:val="45D569C3"/>
    <w:rsid w:val="4791030F"/>
    <w:rsid w:val="479B74B7"/>
    <w:rsid w:val="48735221"/>
    <w:rsid w:val="495A2704"/>
    <w:rsid w:val="49E92B05"/>
    <w:rsid w:val="4A354E62"/>
    <w:rsid w:val="4AEE1A11"/>
    <w:rsid w:val="4B7F39F4"/>
    <w:rsid w:val="4BAE646F"/>
    <w:rsid w:val="4C4D6AA3"/>
    <w:rsid w:val="4CAC1559"/>
    <w:rsid w:val="4D754257"/>
    <w:rsid w:val="4DCD6AB3"/>
    <w:rsid w:val="4EE7662F"/>
    <w:rsid w:val="50216DCD"/>
    <w:rsid w:val="50540C20"/>
    <w:rsid w:val="506258C6"/>
    <w:rsid w:val="51AC28BD"/>
    <w:rsid w:val="52183ACC"/>
    <w:rsid w:val="521E2A7F"/>
    <w:rsid w:val="53B55872"/>
    <w:rsid w:val="53EF5215"/>
    <w:rsid w:val="544055F2"/>
    <w:rsid w:val="54AD4386"/>
    <w:rsid w:val="55D8243C"/>
    <w:rsid w:val="56551179"/>
    <w:rsid w:val="574A37EF"/>
    <w:rsid w:val="581A7C72"/>
    <w:rsid w:val="583A4BD7"/>
    <w:rsid w:val="59C51B68"/>
    <w:rsid w:val="59C74B1F"/>
    <w:rsid w:val="5A886F59"/>
    <w:rsid w:val="5DB23133"/>
    <w:rsid w:val="602E56A9"/>
    <w:rsid w:val="604D5946"/>
    <w:rsid w:val="611B6B1B"/>
    <w:rsid w:val="62C222C2"/>
    <w:rsid w:val="632D7C40"/>
    <w:rsid w:val="64133D6A"/>
    <w:rsid w:val="64245572"/>
    <w:rsid w:val="65AB6FD8"/>
    <w:rsid w:val="66C30AF5"/>
    <w:rsid w:val="672737CD"/>
    <w:rsid w:val="67770426"/>
    <w:rsid w:val="678E4F5D"/>
    <w:rsid w:val="67F3562A"/>
    <w:rsid w:val="680E122C"/>
    <w:rsid w:val="69EC3F9D"/>
    <w:rsid w:val="6A4E1D63"/>
    <w:rsid w:val="6AA026F2"/>
    <w:rsid w:val="6ACA059E"/>
    <w:rsid w:val="6B592423"/>
    <w:rsid w:val="6C486FE4"/>
    <w:rsid w:val="6CA409DF"/>
    <w:rsid w:val="6D340E64"/>
    <w:rsid w:val="6DE375E4"/>
    <w:rsid w:val="6E8E5287"/>
    <w:rsid w:val="6F883D08"/>
    <w:rsid w:val="6FAC3B48"/>
    <w:rsid w:val="6FAD463B"/>
    <w:rsid w:val="6FBE332C"/>
    <w:rsid w:val="70CE0BC9"/>
    <w:rsid w:val="71554367"/>
    <w:rsid w:val="71584067"/>
    <w:rsid w:val="71F26E91"/>
    <w:rsid w:val="72931CE4"/>
    <w:rsid w:val="735201FF"/>
    <w:rsid w:val="73634A7D"/>
    <w:rsid w:val="737B50A4"/>
    <w:rsid w:val="73F40E72"/>
    <w:rsid w:val="74566F5C"/>
    <w:rsid w:val="750117A8"/>
    <w:rsid w:val="755B2270"/>
    <w:rsid w:val="75E27514"/>
    <w:rsid w:val="7612420D"/>
    <w:rsid w:val="76920D75"/>
    <w:rsid w:val="76C47877"/>
    <w:rsid w:val="77423DFF"/>
    <w:rsid w:val="783B5EA9"/>
    <w:rsid w:val="79EB699D"/>
    <w:rsid w:val="79F871CC"/>
    <w:rsid w:val="7AFF5E62"/>
    <w:rsid w:val="7B0620DE"/>
    <w:rsid w:val="7B811783"/>
    <w:rsid w:val="7BBF44BB"/>
    <w:rsid w:val="7BF15CE4"/>
    <w:rsid w:val="7C3A27E5"/>
    <w:rsid w:val="7D9727DD"/>
    <w:rsid w:val="7DCB30EB"/>
    <w:rsid w:val="7E2F518C"/>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Date"/>
    <w:basedOn w:val="1"/>
    <w:next w:val="1"/>
    <w:qFormat/>
    <w:uiPriority w:val="0"/>
    <w:rPr>
      <w:color w:val="000000"/>
      <w:kern w:val="0"/>
      <w:sz w:val="30"/>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spacing w:after="120" w:line="480" w:lineRule="auto"/>
    </w:pPr>
  </w:style>
  <w:style w:type="paragraph" w:styleId="9">
    <w:name w:val="Normal (Web)"/>
    <w:basedOn w:val="1"/>
    <w:qFormat/>
    <w:uiPriority w:val="0"/>
    <w:rPr>
      <w:sz w:val="24"/>
    </w:rPr>
  </w:style>
  <w:style w:type="paragraph" w:styleId="10">
    <w:name w:val="Title"/>
    <w:basedOn w:val="1"/>
    <w:next w:val="1"/>
    <w:qFormat/>
    <w:uiPriority w:val="0"/>
    <w:pPr>
      <w:jc w:val="center"/>
    </w:pPr>
    <w:rPr>
      <w:rFonts w:ascii="黑体" w:hAnsi="黑体" w:eastAsia="黑体" w:cs="Times New Roman"/>
      <w:b/>
      <w:sz w:val="36"/>
      <w:szCs w:val="24"/>
    </w:rPr>
  </w:style>
  <w:style w:type="paragraph" w:styleId="11">
    <w:name w:val="Body Text First Indent 2"/>
    <w:basedOn w:val="4"/>
    <w:qFormat/>
    <w:uiPriority w:val="0"/>
    <w:pPr>
      <w:overflowPunct w:val="0"/>
      <w:adjustRightInd w:val="0"/>
      <w:spacing w:line="500" w:lineRule="exact"/>
      <w:ind w:firstLine="420" w:firstLineChars="200"/>
      <w:textAlignment w:val="baseline"/>
    </w:pPr>
    <w:rPr>
      <w:rFonts w:eastAsia="仿宋_GB2312"/>
      <w:kern w:val="28"/>
      <w:sz w:val="2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mphasis"/>
    <w:basedOn w:val="14"/>
    <w:qFormat/>
    <w:uiPriority w:val="20"/>
    <w:rPr>
      <w:i/>
    </w:rPr>
  </w:style>
  <w:style w:type="paragraph" w:customStyle="1" w:styleId="16">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7">
    <w:name w:val="Default"/>
    <w:next w:val="18"/>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8">
    <w:name w:val="大标题"/>
    <w:basedOn w:val="1"/>
    <w:next w:val="11"/>
    <w:qFormat/>
    <w:uiPriority w:val="0"/>
    <w:pPr>
      <w:jc w:val="center"/>
    </w:pPr>
    <w:rPr>
      <w:rFonts w:ascii="Arial" w:hAnsi="Arial" w:eastAsia="宋体"/>
      <w:b/>
      <w:sz w:val="28"/>
      <w:szCs w:val="24"/>
    </w:rPr>
  </w:style>
  <w:style w:type="paragraph" w:customStyle="1" w:styleId="19">
    <w:name w:val="列出段落1"/>
    <w:basedOn w:val="1"/>
    <w:qFormat/>
    <w:uiPriority w:val="99"/>
    <w:pPr>
      <w:ind w:firstLine="420" w:firstLineChars="200"/>
    </w:pPr>
  </w:style>
  <w:style w:type="paragraph" w:customStyle="1" w:styleId="20">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1">
    <w:name w:val="List Paragraph"/>
    <w:basedOn w:val="1"/>
    <w:qFormat/>
    <w:uiPriority w:val="34"/>
    <w:pPr>
      <w:ind w:firstLine="420" w:firstLineChars="200"/>
    </w:pPr>
    <w:rPr>
      <w:rFonts w:ascii="Calibri" w:hAnsi="Calibri"/>
      <w:szCs w:val="22"/>
    </w:rPr>
  </w:style>
  <w:style w:type="paragraph" w:customStyle="1" w:styleId="22">
    <w:name w:val="BodyText1I2"/>
    <w:basedOn w:val="23"/>
    <w:qFormat/>
    <w:uiPriority w:val="0"/>
    <w:pPr>
      <w:ind w:firstLine="420"/>
      <w:jc w:val="left"/>
    </w:pPr>
    <w:rPr>
      <w:rFonts w:ascii="Calibri" w:hAnsi="Calibri"/>
      <w:kern w:val="0"/>
    </w:rPr>
  </w:style>
  <w:style w:type="paragraph" w:customStyle="1" w:styleId="23">
    <w:name w:val="BodyText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8934</Words>
  <Characters>9216</Characters>
  <Lines>0</Lines>
  <Paragraphs>0</Paragraphs>
  <TotalTime>0</TotalTime>
  <ScaleCrop>false</ScaleCrop>
  <LinksUpToDate>false</LinksUpToDate>
  <CharactersWithSpaces>9435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cp:lastPrinted>2026-04-21T02:20:00Z</cp:lastPrinted>
  <dcterms:modified xsi:type="dcterms:W3CDTF">2026-04-21T08:20:18Z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3505A2AB25E048A4A9B0E6A6741CA1BA_11</vt:lpwstr>
  </property>
  <property fmtid="{D5CDD505-2E9C-101B-9397-08002B2CF9AE}" pid="4" name="KSOTemplateDocerSaveRecord">
    <vt:lpwstr>eyJoZGlkIjoiOWU3YmMxNGQ0NDE0NTRiYjQ3MWFkZjk1MWM2MTc2NWEiLCJ1c2VySWQiOiI0NDIzNjcyODQifQ==</vt:lpwstr>
  </property>
</Properties>
</file>