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19"/>
        <w:rPr>
          <w:rFonts w:ascii="Arial" w:hAnsi="Arial" w:cs="Arial"/>
          <w:sz w:val="32"/>
          <w:szCs w:val="32"/>
        </w:rPr>
      </w:pPr>
    </w:p>
    <w:p w14:paraId="668BDAFE">
      <w:pPr>
        <w:pStyle w:val="13"/>
        <w:rPr>
          <w:rFonts w:ascii="Arial" w:hAnsi="Arial" w:cs="Arial"/>
          <w:sz w:val="32"/>
          <w:szCs w:val="32"/>
        </w:rPr>
      </w:pPr>
    </w:p>
    <w:p w14:paraId="30B28264">
      <w:pPr>
        <w:pStyle w:val="13"/>
        <w:rPr>
          <w:rFonts w:ascii="Arial" w:hAnsi="Arial" w:cs="Arial"/>
          <w:sz w:val="32"/>
          <w:szCs w:val="32"/>
        </w:rPr>
      </w:pPr>
    </w:p>
    <w:p w14:paraId="45C922C2">
      <w:pPr>
        <w:pStyle w:val="13"/>
        <w:rPr>
          <w:rFonts w:ascii="Arial" w:hAnsi="Arial" w:cs="Arial"/>
          <w:sz w:val="32"/>
          <w:szCs w:val="32"/>
        </w:rPr>
      </w:pPr>
    </w:p>
    <w:p w14:paraId="0233B328">
      <w:pPr>
        <w:pStyle w:val="13"/>
        <w:rPr>
          <w:rFonts w:ascii="Arial" w:hAnsi="Arial" w:cs="Arial"/>
          <w:sz w:val="32"/>
          <w:szCs w:val="32"/>
        </w:rPr>
      </w:pPr>
    </w:p>
    <w:p w14:paraId="65E4BC6C">
      <w:pPr>
        <w:pStyle w:val="13"/>
        <w:rPr>
          <w:rFonts w:ascii="Arial" w:hAnsi="Arial" w:cs="Arial"/>
          <w:sz w:val="32"/>
          <w:szCs w:val="32"/>
        </w:rPr>
      </w:pPr>
    </w:p>
    <w:p w14:paraId="7577245D">
      <w:pPr>
        <w:pStyle w:val="13"/>
        <w:rPr>
          <w:rFonts w:ascii="Arial" w:hAnsi="Arial" w:cs="Arial"/>
          <w:sz w:val="32"/>
          <w:szCs w:val="32"/>
        </w:rPr>
      </w:pPr>
    </w:p>
    <w:p w14:paraId="5337F494">
      <w:pPr>
        <w:pStyle w:val="13"/>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娄底市中心医院非强检计量设备检验校正服务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娄底市中心医院非强检计量设备检验校正服务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娄底市中心医院非强检计量设备检验校正服务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19"/>
        <w:rPr>
          <w:rFonts w:hint="eastAsia"/>
          <w:lang w:val="en-US" w:eastAsia="zh-CN"/>
        </w:rPr>
      </w:pPr>
    </w:p>
    <w:p w14:paraId="7E250597">
      <w:pPr>
        <w:pStyle w:val="19"/>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19"/>
        <w:rPr>
          <w:rFonts w:hint="eastAsia" w:ascii="宋体" w:hAnsi="宋体" w:cs="宋体"/>
          <w:b/>
          <w:bCs/>
          <w:color w:val="auto"/>
          <w:sz w:val="44"/>
          <w:szCs w:val="44"/>
          <w:lang w:val="en-US" w:eastAsia="zh-CN"/>
        </w:rPr>
      </w:pPr>
    </w:p>
    <w:p w14:paraId="6DFDBEAA">
      <w:pPr>
        <w:pStyle w:val="13"/>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18"/>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4"/>
        <w:tblW w:w="7303"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958"/>
        <w:gridCol w:w="2370"/>
        <w:gridCol w:w="1665"/>
        <w:gridCol w:w="2310"/>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137C3FB8">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服务年限（次）</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2"/>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7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娄底市中心医院非强检计量设备检验校正服务</w:t>
            </w:r>
          </w:p>
        </w:tc>
        <w:tc>
          <w:tcPr>
            <w:tcW w:w="166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3D717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31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18.5</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13C8C8CA">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1、投标人应根据《中华人民共和国计量法》及《中华人民共和国计量法实施细则》等相关规定和国家检定规程或IS09000、ISO17025 等国际标准的要求，对医院计量仪器设备进行检定校准，出具的检定校准测试数据应符合科学、公正、准确的要求。</w:t>
      </w:r>
    </w:p>
    <w:p w14:paraId="7C9DF69A">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2、投标人应在约定服务期限内为医院计量仪器设备进行一次全面检定校准。保证对每台设备进行计量校正，并在检定完成时为医院每台计量仪器设备贴上检定校准标签或加盖检定合格印，为每台设备单独出具检定报告一式 一 份，并在检定报告中注明报告有效期一年的具体起止日期。在检定过程中发现计量仪器存在设备故障或检测不合格需维修等问题，应及时告知院方，由医院自行处理、维修。院方完成设备维修后，投标人在接到院方通知之日起15日内免费进行第二次检定校准并向医院出具检定报告一式 一 份。应确保医院计量仪器准确，避免出具错误数据，如因投标人检定不准确或出具错误数据给院方诊疗造成不利后果，由此给院方及第三方造成的损失由投标人负责赔偿。</w:t>
      </w:r>
    </w:p>
    <w:p w14:paraId="7F53CF6A">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3、投标方需具有省级或以上部门颁发的检验检测机构资质认定证书CMA及中国合格评定委员会证书CNAS。</w:t>
      </w:r>
    </w:p>
    <w:p w14:paraId="03F34335">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4、具有质量管理体系认证证书、职业健康安全管理体系认证证书及环境管理体系认证证书。</w:t>
      </w:r>
    </w:p>
    <w:p w14:paraId="2694EB96">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5、所有检测和校验均需在医院现场进行。</w:t>
      </w:r>
    </w:p>
    <w:p w14:paraId="4F0B8B1D">
      <w:pPr>
        <w:pStyle w:val="13"/>
        <w:rPr>
          <w:rFonts w:hint="eastAsia" w:asciiTheme="minorEastAsia" w:hAnsiTheme="minorEastAsia" w:eastAsiaTheme="minorEastAsia" w:cstheme="minorEastAsia"/>
          <w:b w:val="0"/>
          <w:bCs/>
          <w:color w:val="FF0000"/>
          <w:kern w:val="0"/>
          <w:sz w:val="24"/>
          <w:szCs w:val="24"/>
          <w:lang w:val="en-US" w:eastAsia="zh-CN" w:bidi="ar-SA"/>
        </w:rPr>
      </w:pPr>
      <w:r>
        <w:rPr>
          <w:rFonts w:hint="eastAsia" w:asciiTheme="minorEastAsia" w:hAnsiTheme="minorEastAsia" w:eastAsiaTheme="minorEastAsia" w:cstheme="minorEastAsia"/>
          <w:b w:val="0"/>
          <w:bCs/>
          <w:color w:val="FF0000"/>
          <w:kern w:val="0"/>
          <w:sz w:val="24"/>
          <w:szCs w:val="24"/>
          <w:lang w:val="en-US" w:eastAsia="zh-CN" w:bidi="ar-SA"/>
        </w:rPr>
        <w:t>6、本项目设备清单为往年检定校准设备数量，清单内同类设备均需完成检定校准，中标方最终完成检定校准的设备与附件清单不一致，超出部分采购人不再支付额外费用。</w:t>
      </w:r>
    </w:p>
    <w:p w14:paraId="525A7B27">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7、投标人提供近三年和医院计量设备检测校准的双方签字盖章的合同至少二份（复印件，加盖公章）。</w:t>
      </w:r>
    </w:p>
    <w:p w14:paraId="73B87F68">
      <w:pPr>
        <w:pStyle w:val="13"/>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8、项目技术团队至少有2名技术人员具备一级注册计量师资质，并提供该人员近三个月的社保证明。</w:t>
      </w:r>
    </w:p>
    <w:p w14:paraId="2DD07293">
      <w:pPr>
        <w:pStyle w:val="13"/>
        <w:rPr>
          <w:rFonts w:hint="default"/>
          <w:color w:val="FF0000"/>
          <w:lang w:val="en-US" w:eastAsia="zh-CN"/>
        </w:rPr>
      </w:pPr>
      <w:r>
        <w:rPr>
          <w:rFonts w:hint="eastAsia" w:asciiTheme="minorEastAsia" w:hAnsiTheme="minorEastAsia" w:eastAsiaTheme="minorEastAsia" w:cstheme="minorEastAsia"/>
          <w:b w:val="0"/>
          <w:bCs/>
          <w:color w:val="FF0000"/>
          <w:kern w:val="0"/>
          <w:sz w:val="24"/>
          <w:szCs w:val="24"/>
          <w:lang w:val="en-US" w:eastAsia="zh-CN" w:bidi="ar-SA"/>
        </w:rPr>
        <w:t>9、中标人完成全院检验校正服务后提供一份全院非强计量设备的电子版台账。（台账必须包含数量、型号，中标人按清单分类别提供检验校正价格清单，每一类别的设备检验校正价格必须一致，检验校正价格清单得出的总价必须与中标价一致）</w:t>
      </w:r>
      <w:bookmarkStart w:id="4" w:name="_GoBack"/>
      <w:bookmarkEnd w:id="4"/>
    </w:p>
    <w:p w14:paraId="69DC07C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p>
    <w:p w14:paraId="002EA66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14F74882">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jc w:val="center"/>
        <w:textAlignment w:val="auto"/>
        <w:rPr>
          <w:rFonts w:hint="eastAsia" w:asciiTheme="minorEastAsia" w:hAnsiTheme="minorEastAsia" w:eastAsiaTheme="minorEastAsia" w:cstheme="minorEastAsia"/>
          <w:b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eastAsia="仿宋_GB2312" w:cs="仿宋_GB2312"/>
          <w:bCs/>
          <w:color w:val="auto"/>
          <w:kern w:val="0"/>
          <w:sz w:val="28"/>
          <w:szCs w:val="28"/>
          <w:lang w:val="en-US" w:eastAsia="zh-CN" w:bidi="ar-SA"/>
        </w:rPr>
        <w:t xml:space="preserve">                  </w:t>
      </w:r>
      <w:r>
        <w:rPr>
          <w:rFonts w:hint="eastAsia" w:asciiTheme="minorEastAsia" w:hAnsiTheme="minorEastAsia" w:eastAsiaTheme="minorEastAsia" w:cstheme="minorEastAsia"/>
          <w:b w:val="0"/>
          <w:color w:val="000000" w:themeColor="text1"/>
          <w:kern w:val="2"/>
          <w:sz w:val="24"/>
          <w:szCs w:val="24"/>
          <w:lang w:val="en-US" w:eastAsia="zh-CN" w:bidi="ar-SA"/>
          <w14:textFill>
            <w14:solidFill>
              <w14:schemeClr w14:val="tx1"/>
            </w14:solidFill>
          </w14:textFill>
        </w:rPr>
        <w:t xml:space="preserve">     合同编号：</w:t>
      </w:r>
    </w:p>
    <w:p w14:paraId="1B810A2B">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jc w:val="center"/>
        <w:textAlignment w:val="auto"/>
        <w:rPr>
          <w:rFonts w:hint="eastAsia" w:ascii="黑体" w:hAnsi="黑体" w:eastAsia="黑体" w:cs="黑体"/>
          <w:b w:val="0"/>
          <w:bCs/>
          <w:color w:val="000000" w:themeColor="text1"/>
          <w:sz w:val="44"/>
          <w:szCs w:val="44"/>
          <w:lang w:val="en-US" w:eastAsia="zh-CN"/>
          <w14:textFill>
            <w14:solidFill>
              <w14:schemeClr w14:val="tx1"/>
            </w14:solidFill>
          </w14:textFill>
        </w:rPr>
      </w:pPr>
      <w:r>
        <w:rPr>
          <w:rFonts w:hint="eastAsia" w:ascii="黑体" w:hAnsi="黑体" w:eastAsia="黑体" w:cs="黑体"/>
          <w:b w:val="0"/>
          <w:bCs/>
          <w:color w:val="000000" w:themeColor="text1"/>
          <w:sz w:val="44"/>
          <w:szCs w:val="44"/>
          <w:lang w:val="en-US" w:eastAsia="zh-CN"/>
          <w14:textFill>
            <w14:solidFill>
              <w14:schemeClr w14:val="tx1"/>
            </w14:solidFill>
          </w14:textFill>
        </w:rPr>
        <w:t>非强检计量设备检定校准服务合同</w:t>
      </w:r>
    </w:p>
    <w:p w14:paraId="4E9ED8B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微软雅黑" w:hAnsi="微软雅黑" w:eastAsia="微软雅黑" w:cs="微软雅黑"/>
          <w:b w:val="0"/>
          <w:bCs/>
          <w:color w:val="000000" w:themeColor="text1"/>
          <w:sz w:val="24"/>
          <w:szCs w:val="24"/>
          <w:lang w:val="en-US" w:eastAsia="zh-CN"/>
          <w14:textFill>
            <w14:solidFill>
              <w14:schemeClr w14:val="tx1"/>
            </w14:solidFill>
          </w14:textFill>
        </w:rPr>
      </w:pPr>
    </w:p>
    <w:p w14:paraId="03E211CB">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甲方（采购方）：</w:t>
      </w:r>
      <w:r>
        <w:rPr>
          <w:rFonts w:hint="eastAsia" w:asciiTheme="minorEastAsia" w:hAnsiTheme="minorEastAsia" w:eastAsiaTheme="minorEastAsia" w:cstheme="minorEastAsia"/>
          <w:sz w:val="24"/>
          <w:szCs w:val="24"/>
        </w:rPr>
        <w:t>娄底市中心医院</w:t>
      </w:r>
    </w:p>
    <w:p w14:paraId="12D14F9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法定代表人：杨吉军</w:t>
      </w:r>
    </w:p>
    <w:p w14:paraId="02E7698F">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统一社会信用代码：12431300447162073W</w:t>
      </w:r>
    </w:p>
    <w:p w14:paraId="02C9340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地址：湖南省娄底市娄星区长青中街51号</w:t>
      </w:r>
    </w:p>
    <w:p w14:paraId="7BDDE505">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联系人：</w:t>
      </w:r>
      <w:r>
        <w:rPr>
          <w:rFonts w:hint="eastAsia" w:asciiTheme="minorEastAsia" w:hAnsiTheme="minorEastAsia" w:eastAsiaTheme="minorEastAsia" w:cstheme="minorEastAsia"/>
          <w:sz w:val="24"/>
          <w:szCs w:val="24"/>
          <w:lang w:val="en-US" w:eastAsia="zh-CN"/>
        </w:rPr>
        <w:t>刘子文</w:t>
      </w:r>
    </w:p>
    <w:p w14:paraId="0AA7DC4D">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联系电话：</w:t>
      </w:r>
      <w:r>
        <w:rPr>
          <w:rFonts w:hint="eastAsia" w:asciiTheme="minorEastAsia" w:hAnsiTheme="minorEastAsia" w:eastAsiaTheme="minorEastAsia" w:cstheme="minorEastAsia"/>
          <w:sz w:val="24"/>
          <w:szCs w:val="24"/>
          <w:lang w:val="en-US" w:eastAsia="zh-CN"/>
        </w:rPr>
        <w:t>13762299668</w:t>
      </w:r>
    </w:p>
    <w:p w14:paraId="64BB245A">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乙方（供货方）：</w:t>
      </w:r>
    </w:p>
    <w:p w14:paraId="7A6E7B3D">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w:t>
      </w:r>
    </w:p>
    <w:p w14:paraId="7B7ADE99">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统一社会信用代码：</w:t>
      </w:r>
    </w:p>
    <w:p w14:paraId="33BA9522">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地址：</w:t>
      </w:r>
    </w:p>
    <w:p w14:paraId="17F81571">
      <w:pPr>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联系人：</w:t>
      </w:r>
    </w:p>
    <w:p w14:paraId="235B4C98">
      <w:pPr>
        <w:keepNext w:val="0"/>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p w14:paraId="0FF616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5B2B1994">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甲方通过</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医院公开挂网方式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采购</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非强检计量设备检定校准服务</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，乙方为成交供应商，项目编号</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。根据《中华人民共和国民法典》《中华人民共和国政府采购法》等相关法律规定，甲、乙双方在平等、自愿、公平、诚信的基础上，就采购</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非强检计量设备检定校准服务</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相关事宜充分协商，达成如下</w:t>
      </w:r>
      <w:r>
        <w:rPr>
          <w:rFonts w:hint="eastAsia" w:asciiTheme="minorEastAsia" w:hAnsiTheme="minorEastAsia" w:cstheme="minorEastAsia"/>
          <w:color w:val="0000FF"/>
          <w:sz w:val="24"/>
          <w:szCs w:val="24"/>
          <w:lang w:val="en-US" w:eastAsia="zh-CN"/>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条款，以资共同遵守。</w:t>
      </w:r>
    </w:p>
    <w:p w14:paraId="726062EE">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第一条 检定校准计量设备范围</w:t>
      </w:r>
    </w:p>
    <w:p w14:paraId="3925F442">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乙方对甲方指定的全部非强检计量设备进行检定校准，设备名称、数量等包括但不限于附件所示</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计量设备。</w:t>
      </w:r>
    </w:p>
    <w:p w14:paraId="41D00EF4">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第二条 服务期限</w:t>
      </w:r>
    </w:p>
    <w:p w14:paraId="60BC064F">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2.1 服务期限为15日，自本合同签订之日起算。</w:t>
      </w:r>
    </w:p>
    <w:p w14:paraId="5A3A2D43">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2.2 乙方应在本合同签订之日起7日内完成全部检测</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，在服务期限内向甲方提交</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每个设备壹份</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检定校准书面</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报告，</w:t>
      </w:r>
      <w:r>
        <w:rPr>
          <w:rFonts w:hint="eastAsia" w:asciiTheme="minorEastAsia" w:hAnsiTheme="minorEastAsia" w:eastAsiaTheme="minorEastAsia" w:cstheme="minorEastAsia"/>
          <w:color w:val="0000FF"/>
          <w:sz w:val="24"/>
          <w:szCs w:val="24"/>
          <w:highlight w:val="none"/>
          <w:lang w:val="en-US" w:eastAsia="zh-CN"/>
        </w:rPr>
        <w:t>完成全部检测后向甲方提供一份全院非强计量设备的电子版台账</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w:t>
      </w:r>
    </w:p>
    <w:p w14:paraId="36AC64D9">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第三条 服务标准</w:t>
      </w:r>
    </w:p>
    <w:p w14:paraId="6C201302">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3.1乙方应根据《中华人民共和国计量法》及《中华人民共和国计量法实施细则》等相关规定和国家检定规程或IS09000、ISO17025 等国际标准的要求，对甲方计量仪器设备进行检定校准。</w:t>
      </w:r>
    </w:p>
    <w:p w14:paraId="5C5C1A12">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3.2乙方出具的检定校准测试数据应符合科学、公正、准确的要求。</w:t>
      </w:r>
    </w:p>
    <w:p w14:paraId="40C132B9">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第四条 双方其他职责</w:t>
      </w:r>
    </w:p>
    <w:p w14:paraId="708E3A44">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4.1甲方向乙方提供非强检计量设备清单，并指定</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王学辉</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 xml:space="preserve">13875448558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）专门负责与乙方进行校准工作的联系、仪器仪表的收发、仪器仪表状态的确认、协助/配合乙方的现场校准工作、证书/报告的签收及价款的结算等工作。</w:t>
      </w:r>
    </w:p>
    <w:p w14:paraId="3A776703">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4.2乙方指定</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（联系电话：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）专门负责与甲方联系仪器设备检定校准相关服务事宜及检定校准费用的结算。</w:t>
      </w:r>
    </w:p>
    <w:p w14:paraId="47DCCBB4">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4.3乙方应在本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约定服务期限内为甲方计量仪器设备进行一次全面检定校准。</w:t>
      </w:r>
    </w:p>
    <w:p w14:paraId="51870C2B">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4.4乙方保证对每台设备进行计量校正，并在检定完成时为甲方每台计量仪器设备贴上检定校准标签或加盖检定合格印。</w:t>
      </w:r>
    </w:p>
    <w:p w14:paraId="674CB340">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4.5乙方应为每台设备单独出具检定报告</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一式</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一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份</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，并在检定报告中注明报告有效期一年的具体起止日期。</w:t>
      </w:r>
    </w:p>
    <w:p w14:paraId="14538161">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4.6乙方在检定过程中发现甲方计量仪器存在设备故障或检测不合格需维修等问题，应及时告知甲方，由甲方自行处理、维修。甲方完成设备维修后，</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乙方在接到甲方通知之日起15日内为甲方免费进行第二次检定校准并向甲方出具检定报告一式</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一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份。</w:t>
      </w:r>
    </w:p>
    <w:p w14:paraId="20BAF4A8">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4.7乙方应确保甲方计量仪器准确，避免出具错误数据，如因乙方检定不准确或出具错误数据给甲方诊疗造成不利后果，由此给甲方及第三方造成的损失由乙方负责赔偿。</w:t>
      </w:r>
    </w:p>
    <w:p w14:paraId="23138E72">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第五条 价款、结算及支付方式</w:t>
      </w:r>
    </w:p>
    <w:p w14:paraId="7FAD659C">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5.1本合同服务费用为人民币</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元整（小写：</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z w:val="24"/>
          <w:szCs w:val="24"/>
          <w:u w:val="none"/>
          <w:lang w:val="en-US" w:eastAsia="zh-CN"/>
          <w14:textFill>
            <w14:solidFill>
              <w14:schemeClr w14:val="tx1"/>
            </w14:solidFill>
          </w14:textFill>
        </w:rPr>
        <w:t>元</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b/>
          <w:bCs/>
          <w:color w:val="0000FF"/>
          <w:sz w:val="24"/>
          <w:szCs w:val="24"/>
          <w:lang w:val="en-US" w:eastAsia="zh-CN"/>
        </w:rPr>
        <w:t>乙方需对甲方清单中所列每一类设备项下的所有设备，逐一完成检定，</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如乙方最终完成检定校准的设备与附件清单不一致，超出部分甲方不再支付额外费用。</w:t>
      </w:r>
    </w:p>
    <w:p w14:paraId="350F82B2">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5.2 服务费用已经包括人工工资、检定费、检定报告费、设施设备费、税费等乙方履行本合同所需的全部费用。</w:t>
      </w:r>
    </w:p>
    <w:p w14:paraId="20E6BD2A">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5.3乙方完成全部检定校准服务并按本合同约定提交了全部计量设备的检定报告后，向甲方提交《计量器具校准完工结算对账单》，甲方在收到《计量器具校准完工结算对账单》之日起5个工作日内，与乙方进行结算。</w:t>
      </w:r>
    </w:p>
    <w:p w14:paraId="08FDA22B">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5.4乙方应在双方完成结算后向甲方提供与结算金额对应的增值税普通发票；甲方在收到乙方发票之日起四个月内通过银行转账向乙方一次性支付全部服务费用。</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如乙方未及时提供符合本</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约定的发票，甲方有权顺延付款期限。</w:t>
      </w:r>
    </w:p>
    <w:p w14:paraId="649D4D58">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5.5 乙方指定收款银行账户开户行：</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户名：</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账号：</w:t>
      </w:r>
      <w:r>
        <w:rPr>
          <w:rFonts w:hint="eastAsia" w:asciiTheme="minorEastAsia" w:hAnsiTheme="minorEastAsia" w:eastAsiaTheme="minorEastAsia" w:cstheme="minorEastAsia"/>
          <w:b w:val="0"/>
          <w:bCs w:val="0"/>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 xml:space="preserve"> 。</w:t>
      </w:r>
    </w:p>
    <w:p w14:paraId="5FD38568">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pPr>
      <w:r>
        <w:rPr>
          <w:rFonts w:hint="eastAsia" w:asciiTheme="minorEastAsia" w:hAnsiTheme="minorEastAsia" w:eastAsiaTheme="minorEastAsia" w:cstheme="minorEastAsia"/>
          <w:b/>
          <w:color w:val="000000" w:themeColor="text1"/>
          <w:kern w:val="0"/>
          <w:sz w:val="24"/>
          <w:szCs w:val="24"/>
          <w:lang w:val="en-US" w:eastAsia="zh-CN"/>
          <w14:textFill>
            <w14:solidFill>
              <w14:schemeClr w14:val="tx1"/>
            </w14:solidFill>
          </w14:textFill>
        </w:rPr>
        <w:t xml:space="preserve">第六条 </w:t>
      </w:r>
      <w:r>
        <w:rPr>
          <w:rFonts w:hint="eastAsia" w:asciiTheme="minorEastAsia" w:hAnsiTheme="minorEastAsia" w:eastAsiaTheme="minorEastAsia" w:cstheme="minorEastAsia"/>
          <w:b/>
          <w:color w:val="000000" w:themeColor="text1"/>
          <w:kern w:val="0"/>
          <w:sz w:val="24"/>
          <w:szCs w:val="24"/>
          <w14:textFill>
            <w14:solidFill>
              <w14:schemeClr w14:val="tx1"/>
            </w14:solidFill>
          </w14:textFill>
        </w:rPr>
        <w:t>风险承担</w:t>
      </w:r>
    </w:p>
    <w:p w14:paraId="1760259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 xml:space="preserve">6.1 </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乙方在履行本合同过程中发生事故，给甲方、乙方或第三方人身、财产造成的所有损失，均由乙方负责处理和承担全部</w:t>
      </w:r>
      <w:r>
        <w:rPr>
          <w:rFonts w:hint="eastAsia" w:asciiTheme="minorEastAsia" w:hAnsiTheme="minorEastAsia" w:cstheme="minorEastAsia"/>
          <w:b w:val="0"/>
          <w:bCs w:val="0"/>
          <w:color w:val="0000FF"/>
          <w:sz w:val="24"/>
          <w:szCs w:val="24"/>
          <w:lang w:val="en-US" w:eastAsia="zh-CN"/>
        </w:rPr>
        <w:t>法律责任和经济赔偿</w:t>
      </w: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w:t>
      </w:r>
    </w:p>
    <w:p w14:paraId="628B4F9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t>6.2 如甲方因乙方服务等原因涉及纠纷、诉讼或被处以行政处罚，由乙方承担甲方因纠纷、诉讼、罚款等造成的全部经济损失。</w:t>
      </w:r>
    </w:p>
    <w:p w14:paraId="4B0754BD">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第七条 廉洁条款</w:t>
      </w:r>
    </w:p>
    <w:p w14:paraId="66D5C0F9">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7</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.1 乙方应严格遵守国家相关法律法规，涉及合同的有关业务活动必须坚持公开、公平、公正、诚信原则，不得为获取不正当利益，损害国家、集体和甲方利益。</w:t>
      </w:r>
    </w:p>
    <w:p w14:paraId="7C2E309D">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u w:val="single"/>
          <w:lang w:val="en-US" w:eastAsia="zh-CN"/>
          <w14:textFill>
            <w14:solidFill>
              <w14:schemeClr w14:val="tx1"/>
            </w14:solidFill>
          </w14:textFill>
        </w:rPr>
        <w:t>7</w:t>
      </w:r>
      <w:r>
        <w:rPr>
          <w:rFonts w:hint="eastAsia" w:asciiTheme="minorEastAsia" w:hAnsiTheme="minorEastAsia" w:eastAsiaTheme="minorEastAsia" w:cstheme="minorEastAsia"/>
          <w:b/>
          <w:bCs/>
          <w:color w:val="000000" w:themeColor="text1"/>
          <w:sz w:val="24"/>
          <w:szCs w:val="24"/>
          <w:u w:val="single"/>
          <w:lang w:val="en-US" w:eastAsia="zh-CN"/>
          <w14:textFill>
            <w14:solidFill>
              <w14:schemeClr w14:val="tx1"/>
            </w14:solidFill>
          </w14:textFill>
        </w:rPr>
        <w:t>.2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4AAA08F">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八</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通知与送达</w:t>
      </w:r>
    </w:p>
    <w:p w14:paraId="4B231BBE">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 甲乙双方同意，与本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有关的任何文书，应以书面方式送达本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约定的联系方式。书面形式包括手机短信、微信、书面函件、电子邮件等形式。</w:t>
      </w:r>
    </w:p>
    <w:p w14:paraId="2999BE59">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 双方确认的文书（包括未来可能发生的诉讼或仲裁活动中法院或仲裁机构的送达法律文书）送达地址：</w:t>
      </w:r>
    </w:p>
    <w:p w14:paraId="078388E8">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.2.1 甲方的文书送达地址：</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娄底市娄星区</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娄底市中心医院医疗设备维修中心</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，收件人</w:t>
      </w:r>
      <w:r>
        <w:rPr>
          <w:rFonts w:hint="eastAsia" w:asciiTheme="minorEastAsia" w:hAnsiTheme="minorEastAsia" w:cstheme="minorEastAsia"/>
          <w:color w:val="000000" w:themeColor="text1"/>
          <w:sz w:val="24"/>
          <w:szCs w:val="24"/>
          <w:u w:val="non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王学辉</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13875448558</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，电子邮箱</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cstheme="minorEastAsia"/>
          <w:color w:val="000000" w:themeColor="text1"/>
          <w:sz w:val="24"/>
          <w:szCs w:val="24"/>
          <w:u w:val="single"/>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6279ADE7">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.2.2 乙方的文书送达地址：</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，收件人</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，联系电话：</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none"/>
          <w:lang w:val="en-US" w:eastAsia="zh-CN"/>
          <w14:textFill>
            <w14:solidFill>
              <w14:schemeClr w14:val="tx1"/>
            </w14:solidFill>
          </w14:textFill>
        </w:rPr>
        <w:t xml:space="preserve"> ，电子邮箱：</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0720635F">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 上述通知应被视为在下列时间送达：以快递或专人发送的，在收件人签收之日或拒收之日；以挂号邮件发出的，在发出之日起7个工作日；以电子邮件发出的，在电子邮件进入收件方电子邮箱服务器之日。</w:t>
      </w:r>
    </w:p>
    <w:p w14:paraId="5ABE87AE">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8</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4E10E9CC">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b/>
          <w:bCs/>
          <w:color w:val="0000FF"/>
          <w:sz w:val="24"/>
          <w:szCs w:val="24"/>
          <w:lang w:val="en-US" w:eastAsia="zh-CN"/>
        </w:rPr>
        <w:t>第九条 保密条款</w:t>
      </w:r>
    </w:p>
    <w:p w14:paraId="0BECC70D">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9.1 本合同订立、履行、变更等产生的研究、商讨、交流等信息，履行本合同获悉的甲方商业秘密、运营信息、工作人员信息、患陪个人信息等，均属保密信息。</w:t>
      </w:r>
    </w:p>
    <w:p w14:paraId="53908869">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9.2 乙方应对保密信息采取有效手段严格保密，不得用于非本合同之目的或向第三方泄露。如政府部门、法院或其他有权部门要求乙方提供保密信息，乙方应当立即向甲方通报。</w:t>
      </w:r>
    </w:p>
    <w:p w14:paraId="16E4B932">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9.3 因乙方未履行本合同保密义务造成甲方或第三方损失的，由乙方承担全部赔偿责任。</w:t>
      </w:r>
    </w:p>
    <w:p w14:paraId="10C25D0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FF"/>
          <w:sz w:val="24"/>
          <w:szCs w:val="24"/>
          <w:lang w:val="en-US" w:eastAsia="zh-CN"/>
        </w:rPr>
        <w:t>9.4 本合同保密条款在合同被认定无效、被撤销或终止、解除后仍然有效。</w:t>
      </w:r>
    </w:p>
    <w:p w14:paraId="18CFD647">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default"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十</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 xml:space="preserve">条 </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合同的变更与解除</w:t>
      </w:r>
    </w:p>
    <w:p w14:paraId="43C6014A">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10.1 </w:t>
      </w:r>
      <w:r>
        <w:rPr>
          <w:rFonts w:hint="eastAsia" w:ascii="宋体" w:hAnsi="宋体" w:eastAsia="宋体" w:cs="宋体"/>
          <w:color w:val="000000" w:themeColor="text1"/>
          <w:sz w:val="24"/>
          <w:highlight w:val="none"/>
          <w:lang w:val="en-US" w:eastAsia="zh-CN"/>
          <w14:textFill>
            <w14:solidFill>
              <w14:schemeClr w14:val="tx1"/>
            </w14:solidFill>
          </w14:textFill>
        </w:rPr>
        <w:t>本合同经双方协商一致后可以变更，双方应另行签订补充协议</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276A69FB">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乙方出现以下违约情形之一的，甲方有权拒绝支付任何价款并解除合同：</w:t>
      </w:r>
    </w:p>
    <w:p w14:paraId="1302E4A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.2.1 乙方未按本合同约定按时完成服务并出具检定报告逾期达</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日的；</w:t>
      </w:r>
    </w:p>
    <w:p w14:paraId="5189C4B1">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.2.2 乙方提供的证书不符合国家标准、本合同或采购需求约定标准；</w:t>
      </w:r>
    </w:p>
    <w:p w14:paraId="6D23DAB8">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.2.3 乙方将订单转包、分包给第三方；</w:t>
      </w:r>
    </w:p>
    <w:p w14:paraId="27673AF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.2.4 其他根本违约的情形。</w:t>
      </w:r>
    </w:p>
    <w:p w14:paraId="50B0E08A">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default" w:asciiTheme="minorEastAsia" w:hAnsi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第十一条 违约责任</w:t>
      </w:r>
    </w:p>
    <w:p w14:paraId="19DB244C">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乙方未按本合同约定完成服务并提供检定校准报告的，</w:t>
      </w:r>
      <w:r>
        <w:rPr>
          <w:rFonts w:hint="eastAsia" w:asciiTheme="minorEastAsia" w:hAnsiTheme="minorEastAsia" w:eastAsiaTheme="minorEastAsia" w:cstheme="minorEastAsia"/>
          <w:color w:val="0000FF"/>
          <w:sz w:val="24"/>
          <w:szCs w:val="24"/>
          <w:highlight w:val="none"/>
          <w:lang w:val="en-US" w:eastAsia="zh-CN"/>
        </w:rPr>
        <w:t>除应赔偿甲方因此造成的损失外，</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每逾期一日，</w:t>
      </w:r>
      <w:r>
        <w:rPr>
          <w:rFonts w:hint="eastAsia" w:asciiTheme="minorEastAsia" w:hAnsiTheme="minorEastAsia" w:cstheme="minorEastAsia"/>
          <w:color w:val="000000" w:themeColor="text1"/>
          <w:sz w:val="24"/>
          <w:szCs w:val="24"/>
          <w:highlight w:val="none"/>
          <w:lang w:val="en-US" w:eastAsia="zh-CN"/>
          <w14:textFill>
            <w14:solidFill>
              <w14:schemeClr w14:val="tx1"/>
            </w14:solidFill>
          </w14:textFill>
        </w:rPr>
        <w:t>还应向</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甲方支付违约金</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 xml:space="preserve"> </w:t>
      </w:r>
      <w:r>
        <w:rPr>
          <w:rFonts w:hint="eastAsia" w:asciiTheme="minorEastAsia" w:hAnsiTheme="minorEastAsia" w:cstheme="minorEastAsia"/>
          <w:color w:val="0000FF"/>
          <w:sz w:val="24"/>
          <w:szCs w:val="24"/>
          <w:highlight w:val="none"/>
          <w:u w:val="single"/>
          <w:lang w:val="en-US" w:eastAsia="zh-CN"/>
        </w:rPr>
        <w:t>500</w:t>
      </w:r>
      <w:r>
        <w:rPr>
          <w:rFonts w:hint="eastAsia" w:asciiTheme="minorEastAsia" w:hAnsiTheme="minorEastAsia" w:eastAsiaTheme="minorEastAsia" w:cstheme="minorEastAsia"/>
          <w:color w:val="0000FF"/>
          <w:sz w:val="24"/>
          <w:szCs w:val="24"/>
          <w:highlight w:val="none"/>
          <w:u w:val="single"/>
          <w:lang w:val="en-US" w:eastAsia="zh-CN"/>
        </w:rPr>
        <w:t xml:space="preserve"> </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元。</w:t>
      </w:r>
    </w:p>
    <w:p w14:paraId="0BD671E4">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11.2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如乙方单方解除合同或甲方因</w:t>
      </w:r>
      <w:r>
        <w:rPr>
          <w:rFonts w:hint="eastAsia" w:asciiTheme="minorEastAsia" w:hAnsiTheme="minorEastAsia" w:cstheme="minorEastAsia"/>
          <w:color w:val="000000" w:themeColor="text1"/>
          <w:sz w:val="24"/>
          <w:szCs w:val="24"/>
          <w:lang w:val="en-US" w:eastAsia="zh-CN"/>
          <w14:textFill>
            <w14:solidFill>
              <w14:schemeClr w14:val="tx1"/>
            </w14:solidFill>
          </w14:textFill>
        </w:rPr>
        <w:t>10.2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情形解除合同，乙方应赔偿给甲方造成的全部经济损失，并按本合同服务费用总价30%标准向甲方支付违约金。</w:t>
      </w:r>
    </w:p>
    <w:p w14:paraId="2C562167">
      <w:pPr>
        <w:pStyle w:val="7"/>
        <w:keepNext w:val="0"/>
        <w:keepLines w:val="0"/>
        <w:pageBreakBefore w:val="0"/>
        <w:widowControl w:val="0"/>
        <w:kinsoku/>
        <w:wordWrap/>
        <w:overflowPunct/>
        <w:topLinePunct/>
        <w:autoSpaceDE/>
        <w:autoSpaceDN/>
        <w:bidi w:val="0"/>
        <w:adjustRightInd w:val="0"/>
        <w:snapToGrid w:val="0"/>
        <w:spacing w:line="480" w:lineRule="exact"/>
        <w:ind w:left="0" w:leftChars="0" w:right="0" w:firstLine="482" w:firstLineChars="200"/>
        <w:jc w:val="both"/>
        <w:textAlignment w:val="baseline"/>
        <w:rPr>
          <w:rFonts w:hint="eastAsia"/>
          <w:b/>
          <w:bCs/>
          <w:color w:val="000000" w:themeColor="text1"/>
          <w:spacing w:val="0"/>
          <w:u w:val="single"/>
          <w:lang w:val="en-US" w:eastAsia="zh-CN"/>
          <w14:textFill>
            <w14:solidFill>
              <w14:schemeClr w14:val="tx1"/>
            </w14:solidFill>
          </w14:textFill>
        </w:rPr>
      </w:pPr>
      <w:r>
        <w:rPr>
          <w:rFonts w:hint="eastAsia"/>
          <w:b/>
          <w:bCs/>
          <w:color w:val="000000" w:themeColor="text1"/>
          <w:spacing w:val="0"/>
          <w:u w:val="single"/>
          <w:lang w:val="en-US" w:eastAsia="zh-CN"/>
          <w14:textFill>
            <w14:solidFill>
              <w14:schemeClr w14:val="tx1"/>
            </w14:solidFill>
          </w14:textFill>
        </w:rPr>
        <w:t>11.3 无论甲方在任意时候（不限于本合同履行期间）发现存在违反本合同廉洁条款的行为，乙方均须向甲方一次性支付惩罚性违约金</w:t>
      </w:r>
      <w:r>
        <w:rPr>
          <w:rFonts w:hint="eastAsia"/>
          <w:b/>
          <w:bCs/>
          <w:color w:val="0000FF"/>
          <w:spacing w:val="0"/>
          <w:u w:val="single"/>
          <w:lang w:val="en-US" w:eastAsia="zh-CN"/>
        </w:rPr>
        <w:t>18500.00</w:t>
      </w:r>
      <w:r>
        <w:rPr>
          <w:rFonts w:hint="eastAsia"/>
          <w:b/>
          <w:bCs/>
          <w:color w:val="000000" w:themeColor="text1"/>
          <w:spacing w:val="0"/>
          <w:u w:val="single"/>
          <w:lang w:val="en-US" w:eastAsia="zh-CN"/>
          <w14:textFill>
            <w14:solidFill>
              <w14:schemeClr w14:val="tx1"/>
            </w14:solidFill>
          </w14:textFill>
        </w:rPr>
        <w:t>元。如乙方除需承担违反廉洁条款的违约责任外，同时存在其他违约行为，乙方仍须就其他违约行为承担相应违约责任。</w:t>
      </w:r>
    </w:p>
    <w:p w14:paraId="4EDF3CEB">
      <w:pPr>
        <w:pStyle w:val="7"/>
        <w:keepNext w:val="0"/>
        <w:keepLines w:val="0"/>
        <w:pageBreakBefore w:val="0"/>
        <w:widowControl w:val="0"/>
        <w:kinsoku/>
        <w:wordWrap/>
        <w:overflowPunct/>
        <w:topLinePunct/>
        <w:autoSpaceDE/>
        <w:autoSpaceDN/>
        <w:bidi w:val="0"/>
        <w:adjustRightInd w:val="0"/>
        <w:snapToGrid w:val="0"/>
        <w:spacing w:line="480" w:lineRule="exact"/>
        <w:ind w:left="0" w:leftChars="0" w:right="0" w:firstLine="482" w:firstLineChars="200"/>
        <w:jc w:val="both"/>
        <w:textAlignment w:val="baseline"/>
        <w:rPr>
          <w:rFonts w:hint="default"/>
          <w:b/>
          <w:bCs/>
          <w:color w:val="000000" w:themeColor="text1"/>
          <w:spacing w:val="0"/>
          <w:u w:val="single"/>
          <w:lang w:val="en-US" w:eastAsia="zh-CN"/>
          <w14:textFill>
            <w14:solidFill>
              <w14:schemeClr w14:val="tx1"/>
            </w14:solidFill>
          </w14:textFill>
        </w:rPr>
      </w:pPr>
      <w:r>
        <w:rPr>
          <w:rFonts w:hint="eastAsia"/>
          <w:b/>
          <w:bCs/>
          <w:color w:val="000000" w:themeColor="text1"/>
          <w:spacing w:val="0"/>
          <w:u w:val="single"/>
          <w:lang w:val="en-US" w:eastAsia="zh-CN"/>
          <w14:textFill>
            <w14:solidFill>
              <w14:schemeClr w14:val="tx1"/>
            </w14:solidFill>
          </w14:textFill>
        </w:rPr>
        <w:t>11.4</w:t>
      </w:r>
      <w:r>
        <w:rPr>
          <w:rFonts w:hint="default"/>
          <w:b/>
          <w:bCs/>
          <w:color w:val="000000" w:themeColor="text1"/>
          <w:spacing w:val="0"/>
          <w:u w:val="single"/>
          <w:lang w:val="en-US" w:eastAsia="zh-CN"/>
          <w14:textFill>
            <w14:solidFill>
              <w14:schemeClr w14:val="tx1"/>
            </w14:solidFill>
          </w14:textFill>
        </w:rPr>
        <w:t xml:space="preserve"> 依据本合同约定乙方应支付给甲方的违约金，甲方有权在应支付给乙方的任意价款中直接予以扣除，如扣除部分不足，乙方应在接到甲方通知后3日内补足。</w:t>
      </w:r>
    </w:p>
    <w:p w14:paraId="5E9806A3">
      <w:pPr>
        <w:pStyle w:val="7"/>
        <w:keepNext w:val="0"/>
        <w:keepLines w:val="0"/>
        <w:pageBreakBefore w:val="0"/>
        <w:widowControl w:val="0"/>
        <w:kinsoku/>
        <w:wordWrap/>
        <w:overflowPunct/>
        <w:topLinePunct/>
        <w:autoSpaceDE/>
        <w:autoSpaceDN/>
        <w:bidi w:val="0"/>
        <w:adjustRightInd w:val="0"/>
        <w:snapToGrid w:val="0"/>
        <w:spacing w:line="480" w:lineRule="exact"/>
        <w:ind w:left="0" w:leftChars="0" w:right="0" w:firstLine="480" w:firstLineChars="200"/>
        <w:jc w:val="both"/>
        <w:textAlignment w:val="baseline"/>
        <w:rPr>
          <w:rFonts w:hint="eastAsia"/>
          <w:spacing w:val="0"/>
          <w:lang w:eastAsia="zh-CN"/>
        </w:rPr>
      </w:pPr>
      <w:r>
        <w:rPr>
          <w:rFonts w:hint="eastAsia"/>
          <w:spacing w:val="0"/>
          <w:lang w:val="en-US" w:eastAsia="zh-CN"/>
        </w:rPr>
        <w:t>11.5</w:t>
      </w:r>
      <w:r>
        <w:rPr>
          <w:spacing w:val="0"/>
        </w:rPr>
        <w:t xml:space="preserve"> 因不可抗力因素导致逾期履行的，不承担违约责任，不可抗力因素消除后，应当继续履行</w:t>
      </w:r>
      <w:r>
        <w:rPr>
          <w:rFonts w:hint="eastAsia"/>
          <w:spacing w:val="0"/>
          <w:lang w:eastAsia="zh-CN"/>
        </w:rPr>
        <w:t>。</w:t>
      </w:r>
    </w:p>
    <w:p w14:paraId="1C8419AB">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十二</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争议解决</w:t>
      </w:r>
    </w:p>
    <w:p w14:paraId="293F2E7E">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如双方在履行本</w:t>
      </w:r>
      <w:r>
        <w:rPr>
          <w:rFonts w:hint="eastAsia" w:asciiTheme="minorEastAsia" w:hAnsiTheme="minorEastAsia" w:cstheme="minorEastAsia"/>
          <w:color w:val="000000" w:themeColor="text1"/>
          <w:sz w:val="24"/>
          <w:szCs w:val="24"/>
          <w:lang w:val="en-US" w:eastAsia="zh-CN"/>
          <w14:textFill>
            <w14:solidFill>
              <w14:schemeClr w14:val="tx1"/>
            </w14:solidFill>
          </w14:textFill>
        </w:rPr>
        <w:t>合同</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过程中发生争议，双方应先协商解决，协商解决不成的，任何一方可向甲方所在地有管辖权的人民法院提起诉讼解决。</w:t>
      </w:r>
    </w:p>
    <w:p w14:paraId="472EFB05">
      <w:pPr>
        <w:keepNext w:val="0"/>
        <w:keepLines w:val="0"/>
        <w:pageBreakBefore w:val="0"/>
        <w:widowControl w:val="0"/>
        <w:kinsoku/>
        <w:wordWrap/>
        <w:overflowPunct/>
        <w:topLinePunct/>
        <w:autoSpaceDE/>
        <w:autoSpaceDN/>
        <w:bidi w:val="0"/>
        <w:adjustRightInd/>
        <w:snapToGrid/>
        <w:spacing w:line="480" w:lineRule="exact"/>
        <w:ind w:left="0" w:leftChars="0" w:firstLine="482"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第十</w:t>
      </w:r>
      <w:r>
        <w:rPr>
          <w:rFonts w:hint="eastAsia" w:asciiTheme="minorEastAsia" w:hAnsiTheme="minorEastAsia" w:cstheme="minorEastAsia"/>
          <w:b/>
          <w:bCs/>
          <w:color w:val="000000" w:themeColor="text1"/>
          <w:sz w:val="24"/>
          <w:szCs w:val="24"/>
          <w:lang w:val="en-US" w:eastAsia="zh-CN"/>
          <w14:textFill>
            <w14:solidFill>
              <w14:schemeClr w14:val="tx1"/>
            </w14:solidFill>
          </w14:textFill>
        </w:rPr>
        <w:t>三</w:t>
      </w:r>
      <w:r>
        <w:rPr>
          <w:rFonts w:hint="eastAsia" w:asciiTheme="minorEastAsia" w:hAnsiTheme="minorEastAsia" w:eastAsiaTheme="minorEastAsia" w:cstheme="minorEastAsia"/>
          <w:b/>
          <w:bCs/>
          <w:color w:val="000000" w:themeColor="text1"/>
          <w:sz w:val="24"/>
          <w:szCs w:val="24"/>
          <w:lang w:val="en-US" w:eastAsia="zh-CN"/>
          <w14:textFill>
            <w14:solidFill>
              <w14:schemeClr w14:val="tx1"/>
            </w14:solidFill>
          </w14:textFill>
        </w:rPr>
        <w:t>条 附则</w:t>
      </w:r>
    </w:p>
    <w:p w14:paraId="16C4A9FD">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本合同组成文件和优先解释顺序：乙方在履行本合同中作出的书面承诺；本合同补充协议；本合同及附件；</w:t>
      </w:r>
      <w:r>
        <w:rPr>
          <w:rFonts w:hint="eastAsia" w:asciiTheme="minorEastAsia" w:hAnsiTheme="minorEastAsia" w:eastAsiaTheme="minorEastAsia" w:cstheme="minorEastAsia"/>
          <w:color w:val="0000FF"/>
          <w:sz w:val="24"/>
          <w:szCs w:val="24"/>
          <w:lang w:val="en-US" w:eastAsia="zh-CN"/>
        </w:rPr>
        <w:t>中标通知书/成交通知书/议价结果公示/成交公告；投标文件/响应文件；招标文件/采购文件/采购需求；</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其他与本合同有关的资料。</w:t>
      </w:r>
    </w:p>
    <w:p w14:paraId="5E783645">
      <w:pPr>
        <w:keepNext w:val="0"/>
        <w:keepLines w:val="0"/>
        <w:pageBreakBefore w:val="0"/>
        <w:widowControl w:val="0"/>
        <w:kinsoku/>
        <w:wordWrap/>
        <w:overflowPunct/>
        <w:topLinePunct/>
        <w:autoSpaceDE/>
        <w:autoSpaceDN/>
        <w:bidi w:val="0"/>
        <w:adjustRightInd/>
        <w:snapToGrid/>
        <w:spacing w:line="480" w:lineRule="exact"/>
        <w:ind w:left="0" w:leftChars="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 xml:space="preserve"> 本合同一式</w:t>
      </w:r>
      <w:r>
        <w:rPr>
          <w:rFonts w:hint="eastAsia" w:asciiTheme="minorEastAsia" w:hAnsiTheme="minorEastAsia" w:cstheme="minorEastAsia"/>
          <w:color w:val="000000" w:themeColor="text1"/>
          <w:sz w:val="24"/>
          <w:szCs w:val="24"/>
          <w:lang w:val="en-US" w:eastAsia="zh-CN"/>
          <w14:textFill>
            <w14:solidFill>
              <w14:schemeClr w14:val="tx1"/>
            </w14:solidFill>
          </w14:textFill>
        </w:rPr>
        <w:t>伍</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份，甲方执</w:t>
      </w:r>
      <w:r>
        <w:rPr>
          <w:rFonts w:hint="eastAsia" w:asciiTheme="minorEastAsia" w:hAnsiTheme="minorEastAsia" w:cstheme="minorEastAsia"/>
          <w:color w:val="000000" w:themeColor="text1"/>
          <w:sz w:val="24"/>
          <w:szCs w:val="24"/>
          <w:lang w:val="en-US" w:eastAsia="zh-CN"/>
          <w14:textFill>
            <w14:solidFill>
              <w14:schemeClr w14:val="tx1"/>
            </w14:solidFill>
          </w14:textFill>
        </w:rPr>
        <w:t>肆</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份、乙方执</w:t>
      </w:r>
      <w:r>
        <w:rPr>
          <w:rFonts w:hint="eastAsia" w:asciiTheme="minorEastAsia" w:hAnsiTheme="minorEastAsia" w:cstheme="minorEastAsia"/>
          <w:color w:val="000000" w:themeColor="text1"/>
          <w:sz w:val="24"/>
          <w:szCs w:val="24"/>
          <w:lang w:val="en-US" w:eastAsia="zh-CN"/>
          <w14:textFill>
            <w14:solidFill>
              <w14:schemeClr w14:val="tx1"/>
            </w14:solidFill>
          </w14:textFill>
        </w:rPr>
        <w:t>壹</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份，自双方签字</w:t>
      </w:r>
      <w:r>
        <w:rPr>
          <w:rFonts w:hint="eastAsia" w:asciiTheme="minorEastAsia" w:hAnsiTheme="minorEastAsia" w:cstheme="minorEastAsia"/>
          <w:color w:val="000000" w:themeColor="text1"/>
          <w:sz w:val="24"/>
          <w:szCs w:val="24"/>
          <w:lang w:val="en-US" w:eastAsia="zh-CN"/>
          <w14:textFill>
            <w14:solidFill>
              <w14:schemeClr w14:val="tx1"/>
            </w14:solidFill>
          </w14:textFill>
        </w:rPr>
        <w:t>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盖章之日起生效。</w:t>
      </w:r>
    </w:p>
    <w:p w14:paraId="22D9AF1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甲方（盖章）：娄底市中心医院       乙方（盖章）：</w:t>
      </w:r>
    </w:p>
    <w:p w14:paraId="23EE3CE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法定代表人（签字）：               法定代表人（签字）：</w:t>
      </w:r>
    </w:p>
    <w:p w14:paraId="6855A49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7E58BF6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或委托代理人（签字）：             或委托代理人（签字）：</w:t>
      </w:r>
    </w:p>
    <w:p w14:paraId="6BDC6025">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p>
    <w:p w14:paraId="66DDDDC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合同签订地、履行地：娄底市娄星区    签订时间：</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年  月   日</w:t>
      </w:r>
    </w:p>
    <w:p w14:paraId="4C1AF806">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5C086BFB">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eastAsia="宋体" w:cs="宋体"/>
          <w:sz w:val="24"/>
          <w:lang w:val="en-US" w:eastAsia="zh-CN"/>
        </w:rPr>
      </w:pPr>
    </w:p>
    <w:p w14:paraId="040B4A67">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color w:val="000000" w:themeColor="text1"/>
          <w:sz w:val="24"/>
          <w:szCs w:val="24"/>
          <w14:textFill>
            <w14:solidFill>
              <w14:schemeClr w14:val="tx1"/>
            </w14:solidFill>
          </w14:textFill>
        </w:rPr>
      </w:pPr>
    </w:p>
    <w:p w14:paraId="1FC661A5">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宋体" w:hAnsi="宋体" w:eastAsia="宋体" w:cs="宋体"/>
          <w:color w:val="auto"/>
          <w:sz w:val="24"/>
          <w:szCs w:val="24"/>
          <w:lang w:val="en-US" w:eastAsia="zh-CN"/>
        </w:rPr>
      </w:pPr>
    </w:p>
    <w:p w14:paraId="2B650945">
      <w:pPr>
        <w:rPr>
          <w:rFonts w:hint="default" w:ascii="宋体" w:hAnsi="宋体" w:eastAsia="宋体" w:cs="宋体"/>
          <w:color w:val="auto"/>
          <w:sz w:val="24"/>
          <w:szCs w:val="24"/>
          <w:lang w:val="en-US" w:eastAsia="zh-CN"/>
        </w:rPr>
      </w:pPr>
      <w:r>
        <w:rPr>
          <w:rFonts w:hint="eastAsia" w:ascii="黑体" w:hAnsi="黑体" w:eastAsia="黑体" w:cs="黑体"/>
          <w:sz w:val="32"/>
          <w:szCs w:val="32"/>
          <w:lang w:val="en-US" w:eastAsia="zh-CN"/>
        </w:rPr>
        <w:br w:type="page"/>
      </w:r>
    </w:p>
    <w:p w14:paraId="5884363F">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1"/>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0"/>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4"/>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D90F51D">
      <w:pPr>
        <w:pStyle w:val="20"/>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1"/>
        <w:rPr>
          <w:color w:val="auto"/>
        </w:rPr>
      </w:pPr>
    </w:p>
    <w:p w14:paraId="5EEA99A1">
      <w:pPr>
        <w:pStyle w:val="20"/>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0"/>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0"/>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0"/>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0"/>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1"/>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E43FAE"/>
    <w:rsid w:val="04653F41"/>
    <w:rsid w:val="04B72FC8"/>
    <w:rsid w:val="04F57A38"/>
    <w:rsid w:val="050719CA"/>
    <w:rsid w:val="056B0EF3"/>
    <w:rsid w:val="06934BAA"/>
    <w:rsid w:val="06E91EC4"/>
    <w:rsid w:val="07731DE6"/>
    <w:rsid w:val="086F75C9"/>
    <w:rsid w:val="09C0303A"/>
    <w:rsid w:val="0A3F4F3C"/>
    <w:rsid w:val="0A6D3244"/>
    <w:rsid w:val="0A8A74D4"/>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3B55872"/>
    <w:rsid w:val="544055F2"/>
    <w:rsid w:val="54AD4386"/>
    <w:rsid w:val="5587625E"/>
    <w:rsid w:val="55D8243C"/>
    <w:rsid w:val="56483C8F"/>
    <w:rsid w:val="56C77AA7"/>
    <w:rsid w:val="581A7C72"/>
    <w:rsid w:val="583A4BD7"/>
    <w:rsid w:val="59C74B1F"/>
    <w:rsid w:val="5A886F59"/>
    <w:rsid w:val="604D5946"/>
    <w:rsid w:val="611B6B1B"/>
    <w:rsid w:val="62030FF0"/>
    <w:rsid w:val="62C222C2"/>
    <w:rsid w:val="62DB090C"/>
    <w:rsid w:val="632D7C40"/>
    <w:rsid w:val="64133D6A"/>
    <w:rsid w:val="64245572"/>
    <w:rsid w:val="66C30AF5"/>
    <w:rsid w:val="678E4F5D"/>
    <w:rsid w:val="67F3562A"/>
    <w:rsid w:val="680E122C"/>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w:basedOn w:val="1"/>
    <w:semiHidden/>
    <w:qFormat/>
    <w:uiPriority w:val="0"/>
    <w:rPr>
      <w:rFonts w:ascii="宋体" w:hAnsi="宋体" w:eastAsia="宋体" w:cs="宋体"/>
      <w:sz w:val="24"/>
      <w:szCs w:val="24"/>
      <w:lang w:val="en-US" w:eastAsia="en-US" w:bidi="ar-SA"/>
    </w:rPr>
  </w:style>
  <w:style w:type="paragraph" w:styleId="8">
    <w:name w:val="Body Text Indent"/>
    <w:basedOn w:val="1"/>
    <w:next w:val="1"/>
    <w:qFormat/>
    <w:uiPriority w:val="99"/>
    <w:pPr>
      <w:spacing w:line="400" w:lineRule="exact"/>
      <w:ind w:left="630"/>
    </w:pPr>
    <w:rPr>
      <w:rFonts w:ascii="楷体_GB2312"/>
      <w:sz w:val="30"/>
      <w:szCs w:val="30"/>
    </w:rPr>
  </w:style>
  <w:style w:type="paragraph" w:styleId="9">
    <w:name w:val="Date"/>
    <w:basedOn w:val="1"/>
    <w:next w:val="1"/>
    <w:qFormat/>
    <w:uiPriority w:val="0"/>
    <w:rPr>
      <w:color w:val="000000"/>
      <w:kern w:val="0"/>
      <w:sz w:val="30"/>
    </w:rPr>
  </w:style>
  <w:style w:type="paragraph" w:styleId="10">
    <w:name w:val="footer"/>
    <w:basedOn w:val="1"/>
    <w:qFormat/>
    <w:uiPriority w:val="0"/>
    <w:pPr>
      <w:tabs>
        <w:tab w:val="center" w:pos="4153"/>
        <w:tab w:val="right" w:pos="8306"/>
      </w:tabs>
      <w:snapToGrid w:val="0"/>
      <w:jc w:val="left"/>
    </w:pPr>
    <w:rPr>
      <w:kern w:val="0"/>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sz w:val="24"/>
    </w:rPr>
  </w:style>
  <w:style w:type="paragraph" w:styleId="13">
    <w:name w:val="Body Text First Indent 2"/>
    <w:basedOn w:val="8"/>
    <w:next w:val="5"/>
    <w:qFormat/>
    <w:uiPriority w:val="0"/>
    <w:pPr>
      <w:overflowPunct w:val="0"/>
      <w:adjustRightInd w:val="0"/>
      <w:spacing w:line="500" w:lineRule="exact"/>
      <w:ind w:firstLine="420" w:firstLineChars="200"/>
      <w:textAlignment w:val="baseline"/>
    </w:pPr>
    <w:rPr>
      <w:rFonts w:eastAsia="仿宋_GB2312"/>
      <w:kern w:val="28"/>
      <w:sz w:val="28"/>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paragraph" w:customStyle="1" w:styleId="18">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9">
    <w:name w:val="大标题"/>
    <w:basedOn w:val="1"/>
    <w:next w:val="13"/>
    <w:qFormat/>
    <w:uiPriority w:val="0"/>
    <w:pPr>
      <w:jc w:val="center"/>
    </w:pPr>
    <w:rPr>
      <w:rFonts w:ascii="Arial" w:hAnsi="Arial" w:eastAsia="宋体"/>
      <w:b/>
      <w:sz w:val="28"/>
      <w:szCs w:val="24"/>
    </w:rPr>
  </w:style>
  <w:style w:type="paragraph" w:customStyle="1" w:styleId="20">
    <w:name w:val="列出段落1"/>
    <w:basedOn w:val="1"/>
    <w:qFormat/>
    <w:uiPriority w:val="99"/>
    <w:pPr>
      <w:ind w:firstLine="420" w:firstLineChars="200"/>
    </w:pPr>
  </w:style>
  <w:style w:type="paragraph" w:customStyle="1" w:styleId="21">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2">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6975</Words>
  <Characters>7267</Characters>
  <Lines>0</Lines>
  <Paragraphs>0</Paragraphs>
  <TotalTime>2</TotalTime>
  <ScaleCrop>false</ScaleCrop>
  <LinksUpToDate>false</LinksUpToDate>
  <CharactersWithSpaces>8080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2026-04-03T07:23:22Z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