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EE6CB9">
      <w:pPr>
        <w:pStyle w:val="6"/>
        <w:snapToGrid w:val="0"/>
        <w:jc w:val="center"/>
        <w:rPr>
          <w:rFonts w:ascii="Arial" w:hAnsi="Arial" w:eastAsia="方正小标宋简体" w:cs="Arial"/>
          <w:color w:val="auto"/>
          <w:sz w:val="72"/>
          <w:szCs w:val="72"/>
        </w:rPr>
      </w:pPr>
    </w:p>
    <w:p w14:paraId="2E98DCBA">
      <w:pPr>
        <w:pStyle w:val="6"/>
        <w:tabs>
          <w:tab w:val="left" w:pos="312"/>
        </w:tabs>
        <w:snapToGrid w:val="0"/>
        <w:spacing w:line="288" w:lineRule="auto"/>
        <w:jc w:val="center"/>
        <w:rPr>
          <w:rFonts w:hint="eastAsia" w:ascii="Arial" w:hAnsi="Arial" w:eastAsia="方正小标宋简体" w:cs="Arial"/>
          <w:color w:val="auto"/>
          <w:sz w:val="72"/>
          <w:szCs w:val="72"/>
          <w:lang w:eastAsia="zh-CN"/>
        </w:rPr>
      </w:pPr>
      <w:bookmarkStart w:id="0" w:name="_Toc16523570"/>
      <w:r>
        <w:rPr>
          <w:rFonts w:hint="eastAsia" w:ascii="Arial" w:hAnsi="Arial" w:eastAsia="方正小标宋简体" w:cs="Arial"/>
          <w:color w:val="auto"/>
          <w:sz w:val="72"/>
          <w:szCs w:val="72"/>
        </w:rPr>
        <w:t>娄底市中心医院</w:t>
      </w:r>
      <w:r>
        <w:rPr>
          <w:rFonts w:hint="eastAsia" w:ascii="Arial" w:hAnsi="Arial" w:eastAsia="方正小标宋简体" w:cs="Arial"/>
          <w:color w:val="auto"/>
          <w:sz w:val="72"/>
          <w:szCs w:val="72"/>
          <w:lang w:eastAsia="zh-CN"/>
        </w:rPr>
        <w:t>院内</w:t>
      </w:r>
    </w:p>
    <w:p w14:paraId="2D54DD90">
      <w:pPr>
        <w:pStyle w:val="6"/>
        <w:snapToGrid w:val="0"/>
        <w:jc w:val="center"/>
        <w:rPr>
          <w:rFonts w:ascii="Arial" w:hAnsi="Arial" w:eastAsia="方正小标宋简体" w:cs="Arial"/>
          <w:color w:val="auto"/>
          <w:sz w:val="72"/>
          <w:szCs w:val="72"/>
        </w:rPr>
      </w:pPr>
    </w:p>
    <w:p w14:paraId="692D2DB5">
      <w:pPr>
        <w:pStyle w:val="6"/>
        <w:snapToGrid w:val="0"/>
        <w:jc w:val="center"/>
        <w:rPr>
          <w:rFonts w:hint="eastAsia" w:ascii="Arial" w:hAnsi="Arial" w:eastAsia="方正小标宋简体" w:cs="Arial"/>
          <w:color w:val="auto"/>
          <w:sz w:val="72"/>
          <w:szCs w:val="72"/>
          <w:lang w:eastAsia="zh-CN"/>
        </w:rPr>
      </w:pPr>
      <w:r>
        <w:rPr>
          <w:rFonts w:hint="eastAsia" w:ascii="Arial" w:hAnsi="Arial" w:eastAsia="方正小标宋简体" w:cs="Arial"/>
          <w:color w:val="auto"/>
          <w:sz w:val="72"/>
          <w:szCs w:val="72"/>
          <w:lang w:eastAsia="zh-CN"/>
        </w:rPr>
        <w:t>招</w:t>
      </w:r>
    </w:p>
    <w:p w14:paraId="0DADCB48">
      <w:pPr>
        <w:pStyle w:val="6"/>
        <w:snapToGrid w:val="0"/>
        <w:jc w:val="center"/>
        <w:rPr>
          <w:rFonts w:hint="eastAsia" w:ascii="Arial" w:hAnsi="Arial" w:eastAsia="方正小标宋简体" w:cs="Arial"/>
          <w:color w:val="auto"/>
          <w:sz w:val="72"/>
          <w:szCs w:val="72"/>
          <w:lang w:eastAsia="zh-CN"/>
        </w:rPr>
      </w:pPr>
    </w:p>
    <w:p w14:paraId="788AF8A4">
      <w:pPr>
        <w:pStyle w:val="6"/>
        <w:snapToGrid w:val="0"/>
        <w:jc w:val="center"/>
        <w:rPr>
          <w:rFonts w:ascii="Arial" w:hAnsi="Arial" w:eastAsia="方正小标宋简体" w:cs="Arial"/>
          <w:color w:val="auto"/>
          <w:sz w:val="72"/>
          <w:szCs w:val="72"/>
        </w:rPr>
      </w:pPr>
      <w:r>
        <w:rPr>
          <w:rFonts w:hint="eastAsia" w:ascii="Arial" w:hAnsi="Arial" w:eastAsia="方正小标宋简体" w:cs="Arial"/>
          <w:color w:val="auto"/>
          <w:sz w:val="72"/>
          <w:szCs w:val="72"/>
          <w:lang w:eastAsia="zh-CN"/>
        </w:rPr>
        <w:t>标</w:t>
      </w:r>
    </w:p>
    <w:p w14:paraId="21BB5C33">
      <w:pPr>
        <w:pStyle w:val="6"/>
        <w:snapToGrid w:val="0"/>
        <w:jc w:val="center"/>
        <w:rPr>
          <w:rFonts w:ascii="Arial" w:hAnsi="Arial" w:eastAsia="方正小标宋简体" w:cs="Arial"/>
          <w:color w:val="auto"/>
          <w:sz w:val="72"/>
          <w:szCs w:val="72"/>
        </w:rPr>
      </w:pPr>
    </w:p>
    <w:p w14:paraId="5F69EBCF">
      <w:pPr>
        <w:pStyle w:val="6"/>
        <w:snapToGrid w:val="0"/>
        <w:jc w:val="center"/>
        <w:rPr>
          <w:rFonts w:ascii="Arial" w:hAnsi="Arial" w:eastAsia="方正小标宋简体" w:cs="Arial"/>
          <w:color w:val="auto"/>
          <w:sz w:val="72"/>
          <w:szCs w:val="72"/>
        </w:rPr>
      </w:pPr>
      <w:r>
        <w:rPr>
          <w:rFonts w:ascii="Arial" w:hAnsi="Arial" w:eastAsia="方正小标宋简体" w:cs="Arial"/>
          <w:color w:val="auto"/>
          <w:sz w:val="72"/>
          <w:szCs w:val="72"/>
        </w:rPr>
        <w:t>文</w:t>
      </w:r>
    </w:p>
    <w:p w14:paraId="503B679C">
      <w:pPr>
        <w:pStyle w:val="6"/>
        <w:snapToGrid w:val="0"/>
        <w:jc w:val="center"/>
        <w:rPr>
          <w:rFonts w:ascii="Arial" w:hAnsi="Arial" w:eastAsia="方正小标宋简体" w:cs="Arial"/>
          <w:color w:val="auto"/>
          <w:sz w:val="72"/>
          <w:szCs w:val="72"/>
        </w:rPr>
      </w:pPr>
    </w:p>
    <w:p w14:paraId="2B2937B0">
      <w:pPr>
        <w:pStyle w:val="6"/>
        <w:snapToGrid w:val="0"/>
        <w:jc w:val="center"/>
        <w:rPr>
          <w:rFonts w:ascii="Arial" w:hAnsi="Arial" w:eastAsia="方正小标宋简体" w:cs="Arial"/>
          <w:color w:val="auto"/>
          <w:sz w:val="36"/>
          <w:szCs w:val="36"/>
        </w:rPr>
      </w:pPr>
      <w:r>
        <w:rPr>
          <w:rFonts w:ascii="Arial" w:hAnsi="Arial" w:eastAsia="方正小标宋简体" w:cs="Arial"/>
          <w:color w:val="auto"/>
          <w:sz w:val="72"/>
          <w:szCs w:val="72"/>
        </w:rPr>
        <w:t>件</w:t>
      </w:r>
    </w:p>
    <w:p w14:paraId="1E111AF1">
      <w:pPr>
        <w:pStyle w:val="6"/>
        <w:snapToGrid w:val="0"/>
        <w:jc w:val="center"/>
        <w:rPr>
          <w:rFonts w:ascii="Arial" w:hAnsi="Arial" w:cs="Arial"/>
          <w:color w:val="auto"/>
          <w:sz w:val="32"/>
          <w:szCs w:val="32"/>
        </w:rPr>
      </w:pPr>
    </w:p>
    <w:p w14:paraId="2E067A04">
      <w:pPr>
        <w:pStyle w:val="6"/>
        <w:snapToGrid w:val="0"/>
        <w:jc w:val="center"/>
        <w:rPr>
          <w:rFonts w:ascii="Arial" w:hAnsi="Arial" w:cs="Arial"/>
          <w:color w:val="auto"/>
          <w:sz w:val="32"/>
          <w:szCs w:val="32"/>
        </w:rPr>
      </w:pPr>
    </w:p>
    <w:p w14:paraId="20A09B03">
      <w:pPr>
        <w:pStyle w:val="6"/>
        <w:snapToGrid w:val="0"/>
        <w:jc w:val="center"/>
        <w:rPr>
          <w:rFonts w:ascii="Arial" w:hAnsi="Arial" w:cs="Arial"/>
          <w:color w:val="auto"/>
          <w:sz w:val="32"/>
          <w:szCs w:val="32"/>
        </w:rPr>
      </w:pPr>
    </w:p>
    <w:p w14:paraId="47A0C992">
      <w:pPr>
        <w:spacing w:line="360" w:lineRule="auto"/>
        <w:rPr>
          <w:rFonts w:hint="eastAsia"/>
          <w:bCs/>
          <w:color w:val="auto"/>
          <w:sz w:val="32"/>
          <w:szCs w:val="32"/>
        </w:rPr>
      </w:pPr>
    </w:p>
    <w:p w14:paraId="0ED3409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7" w:lineRule="atLeast"/>
        <w:ind w:left="0" w:right="0"/>
        <w:jc w:val="center"/>
        <w:rPr>
          <w:rFonts w:hint="eastAsia" w:eastAsia="宋体"/>
          <w:bCs/>
          <w:color w:val="auto"/>
          <w:sz w:val="32"/>
          <w:szCs w:val="32"/>
          <w:lang w:eastAsia="zh-CN"/>
        </w:rPr>
      </w:pPr>
      <w:r>
        <w:rPr>
          <w:rFonts w:hint="eastAsia"/>
          <w:bCs/>
          <w:color w:val="auto"/>
          <w:sz w:val="32"/>
          <w:szCs w:val="32"/>
        </w:rPr>
        <w:t>项目名称：</w:t>
      </w:r>
      <w:r>
        <w:rPr>
          <w:rFonts w:hint="eastAsia" w:cs="Times New Roman"/>
          <w:bCs/>
          <w:color w:val="auto"/>
          <w:sz w:val="32"/>
          <w:szCs w:val="32"/>
          <w:lang w:eastAsia="zh-CN"/>
        </w:rPr>
        <w:t>娄底市中心医院（娄底医院）有害生物防治服务</w:t>
      </w:r>
      <w:r>
        <w:rPr>
          <w:rFonts w:hint="eastAsia"/>
          <w:bCs/>
          <w:color w:val="auto"/>
          <w:sz w:val="32"/>
          <w:szCs w:val="32"/>
          <w:lang w:eastAsia="zh-CN"/>
        </w:rPr>
        <w:t>招标</w:t>
      </w:r>
      <w:r>
        <w:rPr>
          <w:rFonts w:hint="eastAsia"/>
          <w:bCs/>
          <w:color w:val="auto"/>
          <w:sz w:val="32"/>
          <w:szCs w:val="32"/>
        </w:rPr>
        <w:t>文件</w:t>
      </w:r>
      <w:r>
        <w:rPr>
          <w:rFonts w:hint="eastAsia"/>
          <w:bCs/>
          <w:color w:val="auto"/>
          <w:sz w:val="32"/>
          <w:szCs w:val="32"/>
          <w:lang w:eastAsia="zh-CN"/>
        </w:rPr>
        <w:t>（院内招标）</w:t>
      </w:r>
    </w:p>
    <w:p w14:paraId="0752DD91">
      <w:pPr>
        <w:spacing w:line="320" w:lineRule="exact"/>
        <w:jc w:val="left"/>
        <w:rPr>
          <w:color w:val="auto"/>
          <w:sz w:val="24"/>
        </w:rPr>
      </w:pPr>
    </w:p>
    <w:p w14:paraId="05F94062">
      <w:pPr>
        <w:spacing w:line="320" w:lineRule="exact"/>
        <w:ind w:firstLine="3520" w:firstLineChars="1100"/>
        <w:jc w:val="both"/>
        <w:rPr>
          <w:rFonts w:hint="eastAsia" w:ascii="宋体" w:hAnsi="宋体" w:cs="宋体"/>
          <w:bCs/>
          <w:color w:val="auto"/>
          <w:sz w:val="32"/>
          <w:szCs w:val="32"/>
        </w:rPr>
      </w:pPr>
      <w:r>
        <w:rPr>
          <w:rFonts w:hint="eastAsia" w:ascii="宋体" w:hAnsi="宋体" w:cs="宋体"/>
          <w:bCs/>
          <w:color w:val="auto"/>
          <w:sz w:val="32"/>
          <w:szCs w:val="32"/>
        </w:rPr>
        <w:t>二〇二</w:t>
      </w:r>
      <w:r>
        <w:rPr>
          <w:rFonts w:hint="eastAsia" w:ascii="宋体" w:hAnsi="宋体" w:cs="宋体"/>
          <w:bCs/>
          <w:color w:val="auto"/>
          <w:sz w:val="32"/>
          <w:szCs w:val="32"/>
          <w:lang w:val="en-US" w:eastAsia="zh-CN"/>
        </w:rPr>
        <w:t>六</w:t>
      </w:r>
      <w:r>
        <w:rPr>
          <w:rFonts w:hint="eastAsia" w:ascii="宋体" w:hAnsi="宋体" w:cs="宋体"/>
          <w:bCs/>
          <w:color w:val="auto"/>
          <w:sz w:val="32"/>
          <w:szCs w:val="32"/>
        </w:rPr>
        <w:t>年</w:t>
      </w:r>
      <w:r>
        <w:rPr>
          <w:rFonts w:hint="eastAsia" w:ascii="宋体" w:hAnsi="宋体" w:cs="宋体"/>
          <w:bCs/>
          <w:color w:val="auto"/>
          <w:sz w:val="32"/>
          <w:szCs w:val="32"/>
          <w:lang w:val="en-US" w:eastAsia="zh-CN"/>
        </w:rPr>
        <w:t>四</w:t>
      </w:r>
      <w:r>
        <w:rPr>
          <w:rFonts w:hint="eastAsia" w:ascii="宋体" w:hAnsi="宋体" w:cs="宋体"/>
          <w:bCs/>
          <w:color w:val="auto"/>
          <w:sz w:val="32"/>
          <w:szCs w:val="32"/>
        </w:rPr>
        <w:t>月</w:t>
      </w:r>
    </w:p>
    <w:p w14:paraId="02A5E9BC">
      <w:pPr>
        <w:rPr>
          <w:rFonts w:hint="eastAsia" w:ascii="宋体" w:hAnsi="宋体" w:cs="宋体"/>
          <w:color w:val="auto"/>
          <w:sz w:val="44"/>
          <w:szCs w:val="44"/>
          <w:lang w:val="en-US" w:eastAsia="zh-CN"/>
        </w:rPr>
      </w:pPr>
    </w:p>
    <w:p w14:paraId="46E662AB">
      <w:pPr>
        <w:pStyle w:val="2"/>
        <w:numPr>
          <w:ilvl w:val="0"/>
          <w:numId w:val="0"/>
        </w:numPr>
        <w:spacing w:line="240" w:lineRule="auto"/>
        <w:ind w:leftChars="0"/>
        <w:jc w:val="center"/>
        <w:rPr>
          <w:rFonts w:hint="eastAsia"/>
          <w:b/>
          <w:bCs w:val="0"/>
          <w:color w:val="auto"/>
          <w:sz w:val="44"/>
          <w:szCs w:val="44"/>
        </w:rPr>
      </w:pPr>
      <w:r>
        <w:rPr>
          <w:rFonts w:hint="eastAsia" w:ascii="宋体" w:hAnsi="宋体" w:cs="宋体"/>
          <w:color w:val="auto"/>
          <w:sz w:val="44"/>
          <w:szCs w:val="44"/>
          <w:lang w:val="en-US" w:eastAsia="zh-CN"/>
        </w:rPr>
        <w:t xml:space="preserve">第一章 </w:t>
      </w:r>
      <w:r>
        <w:rPr>
          <w:rFonts w:hint="eastAsia" w:ascii="宋体" w:hAnsi="宋体" w:cs="宋体"/>
          <w:color w:val="auto"/>
          <w:sz w:val="44"/>
          <w:szCs w:val="44"/>
        </w:rPr>
        <w:t>投标邀请</w:t>
      </w:r>
      <w:bookmarkEnd w:id="0"/>
    </w:p>
    <w:p w14:paraId="211D5364">
      <w:pPr>
        <w:pStyle w:val="6"/>
        <w:numPr>
          <w:ilvl w:val="0"/>
          <w:numId w:val="0"/>
        </w:numPr>
        <w:tabs>
          <w:tab w:val="left" w:pos="312"/>
        </w:tabs>
        <w:snapToGrid w:val="0"/>
        <w:spacing w:line="480" w:lineRule="auto"/>
        <w:ind w:firstLine="560" w:firstLineChars="200"/>
        <w:rPr>
          <w:rFonts w:hint="eastAsia"/>
          <w:bCs/>
          <w:color w:val="auto"/>
          <w:sz w:val="28"/>
          <w:szCs w:val="28"/>
        </w:rPr>
      </w:pPr>
      <w:r>
        <w:rPr>
          <w:rFonts w:hint="eastAsia" w:ascii="仿宋" w:hAnsi="仿宋" w:eastAsia="仿宋" w:cs="仿宋"/>
          <w:i w:val="0"/>
          <w:iCs w:val="0"/>
          <w:caps w:val="0"/>
          <w:color w:val="auto"/>
          <w:spacing w:val="0"/>
          <w:sz w:val="28"/>
          <w:szCs w:val="28"/>
          <w:shd w:val="clear" w:fill="FFFFFF"/>
          <w:lang w:val="en-US" w:eastAsia="zh-CN"/>
        </w:rPr>
        <w:t>娄底市中心医院、广州医科大学附属第一医院娄底医院</w:t>
      </w:r>
      <w:r>
        <w:rPr>
          <w:rFonts w:hint="eastAsia" w:ascii="仿宋" w:hAnsi="仿宋" w:eastAsia="仿宋" w:cs="仿宋"/>
          <w:i w:val="0"/>
          <w:iCs w:val="0"/>
          <w:caps w:val="0"/>
          <w:color w:val="auto"/>
          <w:spacing w:val="0"/>
          <w:sz w:val="28"/>
          <w:szCs w:val="28"/>
          <w:shd w:val="clear" w:fill="FFFFFF"/>
          <w:lang w:eastAsia="zh-CN"/>
        </w:rPr>
        <w:t>娄底市中心医院（娄底医院）有害生物防治服务</w:t>
      </w:r>
      <w:r>
        <w:rPr>
          <w:rFonts w:hint="eastAsia"/>
          <w:bCs/>
          <w:color w:val="auto"/>
          <w:sz w:val="28"/>
          <w:szCs w:val="28"/>
          <w:lang w:val="en-US" w:eastAsia="zh-CN"/>
        </w:rPr>
        <w:t>进行挂网</w:t>
      </w:r>
      <w:r>
        <w:rPr>
          <w:rFonts w:hint="eastAsia"/>
          <w:bCs/>
          <w:color w:val="auto"/>
          <w:sz w:val="28"/>
          <w:szCs w:val="28"/>
        </w:rPr>
        <w:t>，公告如下：</w:t>
      </w:r>
    </w:p>
    <w:p w14:paraId="529A8506">
      <w:pPr>
        <w:pStyle w:val="6"/>
        <w:numPr>
          <w:ilvl w:val="0"/>
          <w:numId w:val="0"/>
        </w:numPr>
        <w:tabs>
          <w:tab w:val="left" w:pos="312"/>
        </w:tabs>
        <w:snapToGrid w:val="0"/>
        <w:spacing w:line="480" w:lineRule="auto"/>
        <w:ind w:firstLine="560" w:firstLineChars="200"/>
        <w:rPr>
          <w:rFonts w:hint="default" w:eastAsia="仿宋_GB2312"/>
          <w:bCs/>
          <w:color w:val="auto"/>
          <w:sz w:val="28"/>
          <w:szCs w:val="28"/>
          <w:lang w:val="en-US" w:eastAsia="zh-CN"/>
        </w:rPr>
      </w:pPr>
      <w:r>
        <w:rPr>
          <w:rFonts w:hint="eastAsia"/>
          <w:bCs/>
          <w:color w:val="auto"/>
          <w:sz w:val="28"/>
          <w:szCs w:val="28"/>
          <w:lang w:val="en-US" w:eastAsia="zh-CN"/>
        </w:rPr>
        <w:t>一、项目信息</w:t>
      </w:r>
    </w:p>
    <w:p w14:paraId="4CB04DB2">
      <w:pPr>
        <w:pStyle w:val="6"/>
        <w:numPr>
          <w:ilvl w:val="0"/>
          <w:numId w:val="0"/>
        </w:numPr>
        <w:tabs>
          <w:tab w:val="left" w:pos="312"/>
        </w:tabs>
        <w:snapToGrid w:val="0"/>
        <w:spacing w:line="480" w:lineRule="auto"/>
        <w:ind w:firstLine="560" w:firstLineChars="200"/>
        <w:rPr>
          <w:rFonts w:hint="eastAsia"/>
          <w:bCs/>
          <w:color w:val="auto"/>
          <w:sz w:val="28"/>
          <w:szCs w:val="28"/>
          <w:lang w:val="en-US" w:eastAsia="zh-CN"/>
        </w:rPr>
      </w:pPr>
      <w:r>
        <w:rPr>
          <w:rFonts w:hint="eastAsia"/>
          <w:b w:val="0"/>
          <w:bCs/>
          <w:color w:val="auto"/>
          <w:sz w:val="28"/>
          <w:szCs w:val="28"/>
          <w:lang w:val="en-US" w:eastAsia="zh-CN"/>
        </w:rPr>
        <w:t>项目名称：</w:t>
      </w:r>
      <w:r>
        <w:rPr>
          <w:rFonts w:hint="eastAsia" w:ascii="仿宋" w:hAnsi="仿宋" w:eastAsia="仿宋" w:cs="仿宋"/>
          <w:i w:val="0"/>
          <w:iCs w:val="0"/>
          <w:caps w:val="0"/>
          <w:color w:val="auto"/>
          <w:spacing w:val="0"/>
          <w:sz w:val="28"/>
          <w:szCs w:val="28"/>
          <w:shd w:val="clear" w:fill="FFFFFF"/>
          <w:lang w:eastAsia="zh-CN"/>
        </w:rPr>
        <w:t>娄底市中心医院（娄底医院）有害生物防治服务</w:t>
      </w:r>
    </w:p>
    <w:p w14:paraId="578DFB3B">
      <w:pPr>
        <w:pStyle w:val="6"/>
        <w:numPr>
          <w:ilvl w:val="0"/>
          <w:numId w:val="0"/>
        </w:numPr>
        <w:tabs>
          <w:tab w:val="left" w:pos="312"/>
        </w:tabs>
        <w:snapToGrid w:val="0"/>
        <w:spacing w:line="480" w:lineRule="auto"/>
        <w:ind w:firstLine="560" w:firstLineChars="200"/>
        <w:rPr>
          <w:rFonts w:hint="eastAsia"/>
          <w:bCs/>
          <w:color w:val="auto"/>
          <w:sz w:val="28"/>
          <w:szCs w:val="28"/>
          <w:lang w:val="en-US" w:eastAsia="zh-CN"/>
        </w:rPr>
      </w:pPr>
      <w:r>
        <w:rPr>
          <w:rFonts w:hint="eastAsia"/>
          <w:bCs/>
          <w:color w:val="auto"/>
          <w:sz w:val="28"/>
          <w:szCs w:val="28"/>
          <w:lang w:val="en-US" w:eastAsia="zh-CN"/>
        </w:rPr>
        <w:t>二、采购方式</w:t>
      </w:r>
    </w:p>
    <w:p w14:paraId="264727AD">
      <w:pPr>
        <w:pStyle w:val="6"/>
        <w:numPr>
          <w:ilvl w:val="0"/>
          <w:numId w:val="0"/>
        </w:numPr>
        <w:tabs>
          <w:tab w:val="left" w:pos="312"/>
        </w:tabs>
        <w:snapToGrid w:val="0"/>
        <w:spacing w:line="48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医院公开挂网，最低评标价法，在满足所有参数的条件下，报价最低者中标，如有多个并列最低价，则由并列最低价投标人再次报价，直至出现最低报价为止。</w:t>
      </w:r>
    </w:p>
    <w:p w14:paraId="6274270B">
      <w:pPr>
        <w:pStyle w:val="6"/>
        <w:numPr>
          <w:ilvl w:val="0"/>
          <w:numId w:val="1"/>
        </w:numPr>
        <w:tabs>
          <w:tab w:val="left" w:pos="312"/>
        </w:tabs>
        <w:snapToGrid w:val="0"/>
        <w:spacing w:line="480" w:lineRule="auto"/>
        <w:ind w:firstLine="560" w:firstLineChars="200"/>
        <w:rPr>
          <w:rFonts w:hint="eastAsia"/>
          <w:bCs/>
          <w:color w:val="auto"/>
          <w:sz w:val="28"/>
          <w:szCs w:val="28"/>
          <w:lang w:val="en-US" w:eastAsia="zh-CN"/>
        </w:rPr>
      </w:pPr>
      <w:r>
        <w:rPr>
          <w:rFonts w:hint="eastAsia"/>
          <w:bCs/>
          <w:color w:val="auto"/>
          <w:sz w:val="28"/>
          <w:szCs w:val="28"/>
          <w:lang w:val="en-US" w:eastAsia="zh-CN"/>
        </w:rPr>
        <w:t>投标人资格要求</w:t>
      </w:r>
    </w:p>
    <w:p w14:paraId="65AECDCD">
      <w:pPr>
        <w:pageBreakBefore w:val="0"/>
        <w:widowControl w:val="0"/>
        <w:numPr>
          <w:ilvl w:val="0"/>
          <w:numId w:val="0"/>
        </w:numPr>
        <w:kinsoku/>
        <w:wordWrap/>
        <w:overflowPunct/>
        <w:topLinePunct w:val="0"/>
        <w:autoSpaceDE/>
        <w:autoSpaceDN/>
        <w:bidi w:val="0"/>
        <w:spacing w:line="560" w:lineRule="exact"/>
        <w:ind w:firstLine="560" w:firstLineChars="200"/>
        <w:jc w:val="both"/>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1、投标人必须是在中华人民共和国境内注册，具有独立法人资格的企业或事业单位，持有有效的营业执照或事业单位法人证书，具备独立承担民事责任的能力。​</w:t>
      </w:r>
    </w:p>
    <w:p w14:paraId="0CC903C6">
      <w:pPr>
        <w:pageBreakBefore w:val="0"/>
        <w:widowControl w:val="0"/>
        <w:numPr>
          <w:ilvl w:val="0"/>
          <w:numId w:val="0"/>
        </w:numPr>
        <w:kinsoku/>
        <w:wordWrap/>
        <w:overflowPunct/>
        <w:topLinePunct w:val="0"/>
        <w:autoSpaceDE/>
        <w:autoSpaceDN/>
        <w:bidi w:val="0"/>
        <w:spacing w:line="560" w:lineRule="exact"/>
        <w:ind w:left="0" w:leftChars="0" w:firstLine="560" w:firstLineChars="0"/>
        <w:jc w:val="both"/>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2、具有良好的商业信誉，在近三年内无重大商业欺诈行为、合同违约行为以及其他不良商业记录，在“信用中国” 网站（</w:t>
      </w:r>
      <w:r>
        <w:rPr>
          <w:rFonts w:hint="eastAsia" w:ascii="仿宋_GB2312" w:hAnsi="Times New Roman" w:eastAsia="仿宋_GB2312" w:cs="仿宋_GB2312"/>
          <w:bCs/>
          <w:color w:val="auto"/>
          <w:kern w:val="0"/>
          <w:sz w:val="28"/>
          <w:szCs w:val="28"/>
          <w:lang w:val="en-US" w:eastAsia="zh-CN" w:bidi="ar-SA"/>
        </w:rPr>
        <w:fldChar w:fldCharType="begin"/>
      </w:r>
      <w:r>
        <w:rPr>
          <w:rFonts w:hint="eastAsia" w:ascii="仿宋_GB2312" w:hAnsi="Times New Roman" w:eastAsia="仿宋_GB2312" w:cs="仿宋_GB2312"/>
          <w:bCs/>
          <w:color w:val="auto"/>
          <w:kern w:val="0"/>
          <w:sz w:val="28"/>
          <w:szCs w:val="28"/>
          <w:lang w:val="en-US" w:eastAsia="zh-CN" w:bidi="ar-SA"/>
        </w:rPr>
        <w:instrText xml:space="preserve"> HYPERLINK "https://www.creditchina.gov.cn/" \t "https://www.doubao.com/chat/_blank" </w:instrText>
      </w:r>
      <w:r>
        <w:rPr>
          <w:rFonts w:hint="eastAsia" w:ascii="仿宋_GB2312" w:hAnsi="Times New Roman" w:eastAsia="仿宋_GB2312" w:cs="仿宋_GB2312"/>
          <w:bCs/>
          <w:color w:val="auto"/>
          <w:kern w:val="0"/>
          <w:sz w:val="28"/>
          <w:szCs w:val="28"/>
          <w:lang w:val="en-US" w:eastAsia="zh-CN" w:bidi="ar-SA"/>
        </w:rPr>
        <w:fldChar w:fldCharType="separate"/>
      </w:r>
      <w:r>
        <w:rPr>
          <w:rFonts w:hint="eastAsia" w:ascii="仿宋_GB2312" w:hAnsi="Times New Roman" w:eastAsia="仿宋_GB2312" w:cs="仿宋_GB2312"/>
          <w:bCs/>
          <w:color w:val="auto"/>
          <w:kern w:val="0"/>
          <w:sz w:val="28"/>
          <w:szCs w:val="28"/>
          <w:lang w:val="en-US" w:eastAsia="zh-CN" w:bidi="ar-SA"/>
        </w:rPr>
        <w:t>www.creditchina.gov.cn</w:t>
      </w:r>
      <w:r>
        <w:rPr>
          <w:rFonts w:hint="eastAsia" w:ascii="仿宋_GB2312" w:hAnsi="Times New Roman" w:eastAsia="仿宋_GB2312" w:cs="仿宋_GB2312"/>
          <w:bCs/>
          <w:color w:val="auto"/>
          <w:kern w:val="0"/>
          <w:sz w:val="28"/>
          <w:szCs w:val="28"/>
          <w:lang w:val="en-US" w:eastAsia="zh-CN" w:bidi="ar-SA"/>
        </w:rPr>
        <w:fldChar w:fldCharType="end"/>
      </w:r>
      <w:r>
        <w:rPr>
          <w:rFonts w:hint="eastAsia" w:ascii="仿宋_GB2312" w:hAnsi="Times New Roman" w:eastAsia="仿宋_GB2312" w:cs="仿宋_GB2312"/>
          <w:bCs/>
          <w:color w:val="auto"/>
          <w:kern w:val="0"/>
          <w:sz w:val="28"/>
          <w:szCs w:val="28"/>
          <w:lang w:val="en-US" w:eastAsia="zh-CN" w:bidi="ar-SA"/>
        </w:rPr>
        <w:t>）和中国政府采购网（</w:t>
      </w:r>
      <w:r>
        <w:rPr>
          <w:rFonts w:hint="eastAsia" w:ascii="仿宋_GB2312" w:hAnsi="Times New Roman" w:eastAsia="仿宋_GB2312" w:cs="仿宋_GB2312"/>
          <w:bCs/>
          <w:color w:val="auto"/>
          <w:kern w:val="0"/>
          <w:sz w:val="28"/>
          <w:szCs w:val="28"/>
          <w:lang w:val="en-US" w:eastAsia="zh-CN" w:bidi="ar-SA"/>
        </w:rPr>
        <w:fldChar w:fldCharType="begin"/>
      </w:r>
      <w:r>
        <w:rPr>
          <w:rFonts w:hint="eastAsia" w:ascii="仿宋_GB2312" w:hAnsi="Times New Roman" w:eastAsia="仿宋_GB2312" w:cs="仿宋_GB2312"/>
          <w:bCs/>
          <w:color w:val="auto"/>
          <w:kern w:val="0"/>
          <w:sz w:val="28"/>
          <w:szCs w:val="28"/>
          <w:lang w:val="en-US" w:eastAsia="zh-CN" w:bidi="ar-SA"/>
        </w:rPr>
        <w:instrText xml:space="preserve"> HYPERLINK "https://www.ccgp.gov.cn/" \t "https://www.doubao.com/chat/_blank" </w:instrText>
      </w:r>
      <w:r>
        <w:rPr>
          <w:rFonts w:hint="eastAsia" w:ascii="仿宋_GB2312" w:hAnsi="Times New Roman" w:eastAsia="仿宋_GB2312" w:cs="仿宋_GB2312"/>
          <w:bCs/>
          <w:color w:val="auto"/>
          <w:kern w:val="0"/>
          <w:sz w:val="28"/>
          <w:szCs w:val="28"/>
          <w:lang w:val="en-US" w:eastAsia="zh-CN" w:bidi="ar-SA"/>
        </w:rPr>
        <w:fldChar w:fldCharType="separate"/>
      </w:r>
      <w:r>
        <w:rPr>
          <w:rFonts w:hint="eastAsia" w:ascii="仿宋_GB2312" w:hAnsi="Times New Roman" w:eastAsia="仿宋_GB2312" w:cs="仿宋_GB2312"/>
          <w:bCs/>
          <w:color w:val="auto"/>
          <w:kern w:val="0"/>
          <w:sz w:val="28"/>
          <w:szCs w:val="28"/>
          <w:lang w:val="en-US" w:eastAsia="zh-CN" w:bidi="ar-SA"/>
        </w:rPr>
        <w:t>www.ccgp.gov.cn</w:t>
      </w:r>
      <w:r>
        <w:rPr>
          <w:rFonts w:hint="eastAsia" w:ascii="仿宋_GB2312" w:hAnsi="Times New Roman" w:eastAsia="仿宋_GB2312" w:cs="仿宋_GB2312"/>
          <w:bCs/>
          <w:color w:val="auto"/>
          <w:kern w:val="0"/>
          <w:sz w:val="28"/>
          <w:szCs w:val="28"/>
          <w:lang w:val="en-US" w:eastAsia="zh-CN" w:bidi="ar-SA"/>
        </w:rPr>
        <w:fldChar w:fldCharType="end"/>
      </w:r>
      <w:r>
        <w:rPr>
          <w:rFonts w:hint="eastAsia" w:ascii="仿宋_GB2312" w:hAnsi="Times New Roman" w:eastAsia="仿宋_GB2312" w:cs="仿宋_GB2312"/>
          <w:bCs/>
          <w:color w:val="auto"/>
          <w:kern w:val="0"/>
          <w:sz w:val="28"/>
          <w:szCs w:val="28"/>
          <w:lang w:val="en-US" w:eastAsia="zh-CN" w:bidi="ar-SA"/>
        </w:rPr>
        <w:t>）等相关信用查询平台上无失信记录。</w:t>
      </w:r>
    </w:p>
    <w:p w14:paraId="087EBF6F">
      <w:pPr>
        <w:pageBreakBefore w:val="0"/>
        <w:widowControl w:val="0"/>
        <w:numPr>
          <w:ilvl w:val="0"/>
          <w:numId w:val="0"/>
        </w:numPr>
        <w:kinsoku/>
        <w:wordWrap/>
        <w:overflowPunct/>
        <w:topLinePunct w:val="0"/>
        <w:autoSpaceDE/>
        <w:autoSpaceDN/>
        <w:bidi w:val="0"/>
        <w:spacing w:line="560" w:lineRule="exact"/>
        <w:ind w:left="0" w:leftChars="0" w:firstLine="560" w:firstLineChars="0"/>
        <w:jc w:val="both"/>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3、拥有健全的财务会计制度，提供近3年经审计的财务报告，包括资产负债表、利润表、现金流量表等，财务状况良好，具有较强的资金实力和抗风险能力。​</w:t>
      </w:r>
    </w:p>
    <w:p w14:paraId="790C6231">
      <w:pPr>
        <w:pageBreakBefore w:val="0"/>
        <w:widowControl w:val="0"/>
        <w:numPr>
          <w:ilvl w:val="0"/>
          <w:numId w:val="0"/>
        </w:numPr>
        <w:kinsoku/>
        <w:wordWrap/>
        <w:overflowPunct/>
        <w:topLinePunct w:val="0"/>
        <w:autoSpaceDE/>
        <w:autoSpaceDN/>
        <w:bidi w:val="0"/>
        <w:spacing w:line="560" w:lineRule="exact"/>
        <w:ind w:left="0" w:leftChars="0" w:firstLine="560" w:firstLineChars="0"/>
        <w:jc w:val="both"/>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4、具备依法缴纳税收和社会保障资金的良好记录，提供近 6个月依法缴纳税收和社会保障资金的证明材料，如纳税凭证、社保缴纳凭证等。​</w:t>
      </w:r>
    </w:p>
    <w:p w14:paraId="511AE1CB">
      <w:pPr>
        <w:pageBreakBefore w:val="0"/>
        <w:widowControl w:val="0"/>
        <w:numPr>
          <w:ilvl w:val="0"/>
          <w:numId w:val="0"/>
        </w:numPr>
        <w:kinsoku/>
        <w:wordWrap/>
        <w:overflowPunct/>
        <w:topLinePunct w:val="0"/>
        <w:autoSpaceDE/>
        <w:autoSpaceDN/>
        <w:bidi w:val="0"/>
        <w:spacing w:line="560" w:lineRule="exact"/>
        <w:ind w:left="0" w:leftChars="0" w:firstLine="560" w:firstLineChars="0"/>
        <w:jc w:val="both"/>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5、参加本次招标活动前三年内，在经营活动中没有重大违法记录，提供书面声明函，声明在过往经营中未发生过重大违法违规事件，未受到相关行政部门的重大处罚。​</w:t>
      </w:r>
    </w:p>
    <w:p w14:paraId="4B6B3B16">
      <w:pPr>
        <w:pageBreakBefore w:val="0"/>
        <w:widowControl w:val="0"/>
        <w:numPr>
          <w:ilvl w:val="0"/>
          <w:numId w:val="0"/>
        </w:numPr>
        <w:kinsoku/>
        <w:wordWrap/>
        <w:overflowPunct/>
        <w:topLinePunct w:val="0"/>
        <w:autoSpaceDE/>
        <w:autoSpaceDN/>
        <w:bidi w:val="0"/>
        <w:spacing w:line="560" w:lineRule="exact"/>
        <w:ind w:left="0" w:leftChars="0" w:firstLine="560" w:firstLineChars="0"/>
        <w:jc w:val="both"/>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6、专业资质</w:t>
      </w:r>
    </w:p>
    <w:p w14:paraId="7AB10C40">
      <w:pPr>
        <w:pageBreakBefore w:val="0"/>
        <w:widowControl w:val="0"/>
        <w:numPr>
          <w:ilvl w:val="0"/>
          <w:numId w:val="0"/>
        </w:numPr>
        <w:kinsoku/>
        <w:wordWrap/>
        <w:overflowPunct/>
        <w:topLinePunct w:val="0"/>
        <w:autoSpaceDE/>
        <w:autoSpaceDN/>
        <w:bidi w:val="0"/>
        <w:spacing w:line="560" w:lineRule="exact"/>
        <w:ind w:left="0" w:leftChars="0" w:firstLine="560" w:firstLineChars="200"/>
        <w:jc w:val="both"/>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6.1具备有效的《有害生物防治服务企业》资质证书，且资质达到国家 B 级及以上，该证书需由合法的行业认证机构或相关主管部门颁发，以证明其在有害生物防治领域的专业能力和技术水平。</w:t>
      </w:r>
    </w:p>
    <w:p w14:paraId="76B423FA">
      <w:pPr>
        <w:pageBreakBefore w:val="0"/>
        <w:widowControl w:val="0"/>
        <w:numPr>
          <w:ilvl w:val="0"/>
          <w:numId w:val="0"/>
        </w:numPr>
        <w:kinsoku/>
        <w:wordWrap/>
        <w:overflowPunct/>
        <w:topLinePunct w:val="0"/>
        <w:autoSpaceDE/>
        <w:autoSpaceDN/>
        <w:bidi w:val="0"/>
        <w:spacing w:line="560" w:lineRule="exact"/>
        <w:ind w:left="0" w:leftChars="0" w:firstLine="560" w:firstLineChars="0"/>
        <w:jc w:val="both"/>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6.2若涉及农药使用，投标人须持有有效的《农药经营许可证》，且许可经营范围涵盖本项目所需的农药品类，确保其具备合法经营和使用农药的资格。​</w:t>
      </w:r>
    </w:p>
    <w:p w14:paraId="6EAD6908">
      <w:pPr>
        <w:pageBreakBefore w:val="0"/>
        <w:widowControl w:val="0"/>
        <w:numPr>
          <w:ilvl w:val="0"/>
          <w:numId w:val="0"/>
        </w:numPr>
        <w:kinsoku/>
        <w:wordWrap/>
        <w:overflowPunct/>
        <w:topLinePunct w:val="0"/>
        <w:autoSpaceDE/>
        <w:autoSpaceDN/>
        <w:bidi w:val="0"/>
        <w:spacing w:line="560" w:lineRule="exact"/>
        <w:ind w:left="0" w:leftChars="0" w:firstLine="560" w:firstLineChars="0"/>
        <w:jc w:val="both"/>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6.3主要技术人员需持有相关的有害生物防治职业资格证书，如有害生物防治员证等，且人数不少于4人，以保障服务团队具备专业的技术能力和操作技能。</w:t>
      </w:r>
    </w:p>
    <w:p w14:paraId="0140DD53">
      <w:pPr>
        <w:pageBreakBefore w:val="0"/>
        <w:widowControl w:val="0"/>
        <w:numPr>
          <w:ilvl w:val="0"/>
          <w:numId w:val="0"/>
        </w:numPr>
        <w:kinsoku/>
        <w:wordWrap/>
        <w:overflowPunct/>
        <w:topLinePunct w:val="0"/>
        <w:autoSpaceDE/>
        <w:autoSpaceDN/>
        <w:bidi w:val="0"/>
        <w:spacing w:line="560" w:lineRule="exact"/>
        <w:ind w:left="0" w:leftChars="0" w:firstLine="560" w:firstLineChars="0"/>
        <w:jc w:val="both"/>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7、业绩要求​</w:t>
      </w:r>
    </w:p>
    <w:p w14:paraId="5B7DD26A">
      <w:pPr>
        <w:pageBreakBefore w:val="0"/>
        <w:widowControl w:val="0"/>
        <w:numPr>
          <w:ilvl w:val="0"/>
          <w:numId w:val="0"/>
        </w:numPr>
        <w:kinsoku/>
        <w:wordWrap/>
        <w:overflowPunct/>
        <w:topLinePunct w:val="0"/>
        <w:autoSpaceDE/>
        <w:autoSpaceDN/>
        <w:bidi w:val="0"/>
        <w:spacing w:line="560" w:lineRule="exact"/>
        <w:ind w:left="0" w:leftChars="0" w:firstLine="560" w:firstLineChars="200"/>
        <w:jc w:val="both"/>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7.1投标人需提供近 5年内类似项目业绩合同至少3份，类似项目指医疗区或生活区的有害生物防治项目，以证明其具备丰富的实践经验和成功案例。</w:t>
      </w:r>
    </w:p>
    <w:p w14:paraId="597DA028">
      <w:pPr>
        <w:pageBreakBefore w:val="0"/>
        <w:widowControl w:val="0"/>
        <w:numPr>
          <w:ilvl w:val="0"/>
          <w:numId w:val="0"/>
        </w:numPr>
        <w:kinsoku/>
        <w:wordWrap/>
        <w:overflowPunct/>
        <w:topLinePunct w:val="0"/>
        <w:autoSpaceDE/>
        <w:autoSpaceDN/>
        <w:bidi w:val="0"/>
        <w:spacing w:line="560" w:lineRule="exact"/>
        <w:ind w:left="0" w:leftChars="0" w:firstLine="560" w:firstLineChars="0"/>
        <w:jc w:val="both"/>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7.2提供的业绩合同需包含项目名称、服务内容、服务期限、合同金额、采购人联系方式等关键信息，以便招标人进行核实和评估。</w:t>
      </w:r>
    </w:p>
    <w:p w14:paraId="5DBE2DCE">
      <w:pPr>
        <w:pageBreakBefore w:val="0"/>
        <w:widowControl w:val="0"/>
        <w:numPr>
          <w:ilvl w:val="0"/>
          <w:numId w:val="0"/>
        </w:numPr>
        <w:kinsoku/>
        <w:wordWrap/>
        <w:overflowPunct/>
        <w:topLinePunct w:val="0"/>
        <w:autoSpaceDE/>
        <w:autoSpaceDN/>
        <w:bidi w:val="0"/>
        <w:spacing w:line="560" w:lineRule="exact"/>
        <w:ind w:left="0" w:leftChars="0" w:firstLine="560" w:firstLineChars="0"/>
        <w:jc w:val="both"/>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7.3需提供至少一份由采购人出具的服务质量评价报告或满意度证明，评价结果为良好及以上，以证明其过往服务得到客户认可，具备良好的服务能力和服务质量。​</w:t>
      </w:r>
    </w:p>
    <w:p w14:paraId="66ECA5E7">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四、投标截止时间、开标时间及地点：</w:t>
      </w:r>
    </w:p>
    <w:p w14:paraId="3DA6F090">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default"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1、报名方式及报名内容：包含但不限于将以下信息发至邮箱（28693680@QQ,COM）参与项目名称、公司名称、联系人、联系方式，公司相关资质等；</w:t>
      </w:r>
    </w:p>
    <w:p w14:paraId="6D7F5F00">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default"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2、报名截止时间：自本报名信息发布之日起5个工作日；</w:t>
      </w:r>
    </w:p>
    <w:p w14:paraId="20AA601E">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3、开标时间：202</w:t>
      </w:r>
      <w:r>
        <w:rPr>
          <w:rFonts w:hint="eastAsia" w:cs="仿宋_GB2312"/>
          <w:bCs/>
          <w:color w:val="auto"/>
          <w:kern w:val="0"/>
          <w:sz w:val="28"/>
          <w:szCs w:val="28"/>
          <w:lang w:val="en-US" w:eastAsia="zh-CN" w:bidi="ar-SA"/>
        </w:rPr>
        <w:t>6</w:t>
      </w:r>
      <w:r>
        <w:rPr>
          <w:rFonts w:hint="eastAsia" w:ascii="仿宋_GB2312" w:hAnsi="Times New Roman" w:eastAsia="仿宋_GB2312" w:cs="仿宋_GB2312"/>
          <w:bCs/>
          <w:color w:val="auto"/>
          <w:kern w:val="0"/>
          <w:sz w:val="28"/>
          <w:szCs w:val="28"/>
          <w:lang w:val="en-US" w:eastAsia="zh-CN" w:bidi="ar-SA"/>
        </w:rPr>
        <w:t>年</w:t>
      </w:r>
      <w:r>
        <w:rPr>
          <w:rFonts w:hint="eastAsia" w:cs="仿宋_GB2312"/>
          <w:bCs/>
          <w:color w:val="auto"/>
          <w:kern w:val="0"/>
          <w:sz w:val="28"/>
          <w:szCs w:val="28"/>
          <w:lang w:val="en-US" w:eastAsia="zh-CN" w:bidi="ar-SA"/>
        </w:rPr>
        <w:t>4</w:t>
      </w:r>
      <w:r>
        <w:rPr>
          <w:rFonts w:hint="eastAsia" w:ascii="仿宋_GB2312" w:hAnsi="Times New Roman" w:eastAsia="仿宋_GB2312" w:cs="仿宋_GB2312"/>
          <w:bCs/>
          <w:color w:val="auto"/>
          <w:kern w:val="0"/>
          <w:sz w:val="28"/>
          <w:szCs w:val="28"/>
          <w:lang w:val="en-US" w:eastAsia="zh-CN" w:bidi="ar-SA"/>
        </w:rPr>
        <w:t>月</w:t>
      </w:r>
      <w:r>
        <w:rPr>
          <w:rFonts w:hint="eastAsia" w:cs="仿宋_GB2312"/>
          <w:bCs/>
          <w:color w:val="auto"/>
          <w:kern w:val="0"/>
          <w:sz w:val="28"/>
          <w:szCs w:val="28"/>
          <w:lang w:val="en-US" w:eastAsia="zh-CN" w:bidi="ar-SA"/>
        </w:rPr>
        <w:t>9</w:t>
      </w:r>
      <w:r>
        <w:rPr>
          <w:rFonts w:hint="eastAsia" w:ascii="仿宋_GB2312" w:hAnsi="Times New Roman" w:eastAsia="仿宋_GB2312" w:cs="仿宋_GB2312"/>
          <w:bCs/>
          <w:color w:val="auto"/>
          <w:kern w:val="0"/>
          <w:sz w:val="28"/>
          <w:szCs w:val="28"/>
          <w:lang w:val="en-US" w:eastAsia="zh-CN" w:bidi="ar-SA"/>
        </w:rPr>
        <w:t>日</w:t>
      </w:r>
      <w:r>
        <w:rPr>
          <w:rFonts w:hint="eastAsia" w:cs="仿宋_GB2312"/>
          <w:bCs/>
          <w:color w:val="auto"/>
          <w:kern w:val="0"/>
          <w:sz w:val="28"/>
          <w:szCs w:val="28"/>
          <w:lang w:val="en-US" w:eastAsia="zh-CN" w:bidi="ar-SA"/>
        </w:rPr>
        <w:t>9:30</w:t>
      </w:r>
      <w:r>
        <w:rPr>
          <w:rFonts w:hint="eastAsia" w:ascii="仿宋_GB2312" w:hAnsi="Times New Roman" w:eastAsia="仿宋_GB2312" w:cs="仿宋_GB2312"/>
          <w:bCs/>
          <w:color w:val="auto"/>
          <w:kern w:val="0"/>
          <w:sz w:val="28"/>
          <w:szCs w:val="28"/>
          <w:lang w:val="en-US" w:eastAsia="zh-CN" w:bidi="ar-SA"/>
        </w:rPr>
        <w:t>；</w:t>
      </w:r>
    </w:p>
    <w:p w14:paraId="3C13876A">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default"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4、开标地点;娄底市中心医院综合楼420室。</w:t>
      </w:r>
      <w:bookmarkStart w:id="6" w:name="_GoBack"/>
      <w:bookmarkEnd w:id="6"/>
    </w:p>
    <w:p w14:paraId="76911C32">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五、招标人地址和联系方法：</w:t>
      </w:r>
    </w:p>
    <w:p w14:paraId="04494687">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1、招标人名称：娄底市中心医院</w:t>
      </w:r>
    </w:p>
    <w:p w14:paraId="22CFF104">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2、联系人及联系方式：廖海星 15873871616</w:t>
      </w:r>
    </w:p>
    <w:p w14:paraId="5141471F">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3、招标人地址：娄底市长青中街51号</w:t>
      </w:r>
    </w:p>
    <w:p w14:paraId="376A01D2">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六、投标须知</w:t>
      </w:r>
    </w:p>
    <w:p w14:paraId="2256C154">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1、否决投标的情形：</w:t>
      </w:r>
    </w:p>
    <w:p w14:paraId="00C887C9">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1.1、投标人以他人名义投标、串通投标、以行贿手段谋取中标的；</w:t>
      </w:r>
    </w:p>
    <w:p w14:paraId="32666238">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1.2、资格评审时，投标人资格条件不符合国家有关规定或者招标文件要求的，或者拒不按照要求对投标文件进行澄清、说明或补正，或者其说明补正无法证明其为合格投标人的；</w:t>
      </w:r>
    </w:p>
    <w:p w14:paraId="02DB57C6">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1.3、评标委员会认定投标人以低于成本报价竞标的；</w:t>
      </w:r>
    </w:p>
    <w:p w14:paraId="12A7472B">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1.4、投标人未按照要求出席开标会的；</w:t>
      </w:r>
    </w:p>
    <w:p w14:paraId="43B3A0F6">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1.5、投标报价有错误的，评标委员会将要求投标人作出书面澄清说明和确认，投标人拒不作出澄清说明和确认的；</w:t>
      </w:r>
    </w:p>
    <w:p w14:paraId="322FAE91">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1.6、投标文件存在弄虚作假或者隐瞒事实，或者未按照招标文件要求如实提供有关情况和文件，以及证明资料且对投标人有利的，应当否决其投标。被列为中标候选人的，应当取消其中标候选人资格。</w:t>
      </w:r>
    </w:p>
    <w:p w14:paraId="357C7207">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2、有下列情形之一的，招标人将重新招标：</w:t>
      </w:r>
    </w:p>
    <w:p w14:paraId="58B98DEA">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2.1、投标截止时间止，投标人少于3家的；</w:t>
      </w:r>
    </w:p>
    <w:p w14:paraId="71BCFD3A">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2.2、经评标委员会评审后，符合资格审查的投标人少于3家的。</w:t>
      </w:r>
    </w:p>
    <w:p w14:paraId="573EED2D">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default"/>
          <w:bCs/>
          <w:color w:val="auto"/>
          <w:sz w:val="28"/>
          <w:szCs w:val="28"/>
          <w:lang w:val="en-US" w:eastAsia="zh-CN"/>
        </w:rPr>
      </w:pPr>
      <w:r>
        <w:rPr>
          <w:rFonts w:hint="eastAsia" w:ascii="仿宋_GB2312" w:hAnsi="Times New Roman" w:eastAsia="仿宋_GB2312" w:cs="仿宋_GB2312"/>
          <w:bCs/>
          <w:color w:val="auto"/>
          <w:kern w:val="0"/>
          <w:sz w:val="28"/>
          <w:szCs w:val="28"/>
          <w:lang w:val="en-US" w:eastAsia="zh-CN" w:bidi="ar-SA"/>
        </w:rPr>
        <w:t>3、投标单位必须提供纸质投标文件及电子版投标文件（PDF格式签字盖章版本）</w:t>
      </w:r>
    </w:p>
    <w:p w14:paraId="2AF177D9">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p>
    <w:p w14:paraId="793AD0A9">
      <w:pPr>
        <w:pStyle w:val="6"/>
        <w:numPr>
          <w:ilvl w:val="0"/>
          <w:numId w:val="0"/>
        </w:numPr>
        <w:tabs>
          <w:tab w:val="left" w:pos="312"/>
        </w:tabs>
        <w:snapToGrid w:val="0"/>
        <w:spacing w:line="480" w:lineRule="auto"/>
        <w:jc w:val="center"/>
        <w:rPr>
          <w:rFonts w:hint="eastAsia" w:ascii="宋体" w:hAnsi="宋体" w:cs="宋体"/>
          <w:b/>
          <w:bCs/>
          <w:color w:val="auto"/>
          <w:sz w:val="44"/>
          <w:szCs w:val="44"/>
          <w:lang w:val="en-US" w:eastAsia="zh-CN"/>
        </w:rPr>
        <w:sectPr>
          <w:headerReference r:id="rId3" w:type="default"/>
          <w:footerReference r:id="rId4" w:type="default"/>
          <w:pgSz w:w="11906" w:h="16838"/>
          <w:pgMar w:top="1191" w:right="1587" w:bottom="1020" w:left="1587" w:header="567" w:footer="283" w:gutter="0"/>
          <w:pgNumType w:start="1"/>
          <w:cols w:space="720" w:num="1"/>
          <w:docGrid w:linePitch="312" w:charSpace="0"/>
        </w:sectPr>
      </w:pPr>
    </w:p>
    <w:p w14:paraId="0BDF83F3">
      <w:pPr>
        <w:pStyle w:val="6"/>
        <w:numPr>
          <w:ilvl w:val="0"/>
          <w:numId w:val="0"/>
        </w:numPr>
        <w:tabs>
          <w:tab w:val="left" w:pos="312"/>
        </w:tabs>
        <w:snapToGrid w:val="0"/>
        <w:spacing w:line="480" w:lineRule="auto"/>
        <w:jc w:val="center"/>
        <w:rPr>
          <w:rFonts w:hint="eastAsia" w:ascii="宋体" w:hAnsi="宋体" w:cs="宋体"/>
          <w:b/>
          <w:bCs/>
          <w:color w:val="auto"/>
          <w:sz w:val="44"/>
          <w:szCs w:val="44"/>
          <w:lang w:val="en-US" w:eastAsia="zh-CN"/>
        </w:rPr>
      </w:pPr>
      <w:r>
        <w:rPr>
          <w:rFonts w:hint="eastAsia" w:ascii="宋体" w:hAnsi="宋体" w:cs="宋体"/>
          <w:b/>
          <w:bCs/>
          <w:color w:val="auto"/>
          <w:sz w:val="44"/>
          <w:szCs w:val="44"/>
          <w:lang w:val="en-US" w:eastAsia="zh-CN"/>
        </w:rPr>
        <w:t>第二章采购需求</w:t>
      </w:r>
    </w:p>
    <w:p w14:paraId="5E514FC6">
      <w:pPr>
        <w:pageBreakBefore w:val="0"/>
        <w:kinsoku/>
        <w:wordWrap/>
        <w:overflowPunct/>
        <w:topLinePunct w:val="0"/>
        <w:bidi w:val="0"/>
        <w:spacing w:line="440" w:lineRule="exact"/>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一、采购项目交付</w:t>
      </w:r>
      <w:r>
        <w:rPr>
          <w:rFonts w:hint="eastAsia" w:ascii="仿宋_GB2312" w:eastAsia="仿宋_GB2312" w:cs="仿宋_GB2312"/>
          <w:bCs/>
          <w:color w:val="auto"/>
          <w:kern w:val="0"/>
          <w:sz w:val="28"/>
          <w:szCs w:val="28"/>
          <w:lang w:val="en-US" w:eastAsia="zh-CN" w:bidi="ar-SA"/>
        </w:rPr>
        <w:t>、</w:t>
      </w:r>
      <w:r>
        <w:rPr>
          <w:rFonts w:hint="eastAsia" w:ascii="仿宋_GB2312" w:hAnsi="Times New Roman" w:eastAsia="仿宋_GB2312" w:cs="仿宋_GB2312"/>
          <w:bCs/>
          <w:color w:val="auto"/>
          <w:kern w:val="0"/>
          <w:sz w:val="28"/>
          <w:szCs w:val="28"/>
          <w:lang w:val="en-US" w:eastAsia="zh-CN" w:bidi="ar-SA"/>
        </w:rPr>
        <w:t>实施的时间和地点</w:t>
      </w:r>
    </w:p>
    <w:p w14:paraId="2A5E429E">
      <w:pPr>
        <w:pageBreakBefore w:val="0"/>
        <w:kinsoku/>
        <w:wordWrap/>
        <w:overflowPunct/>
        <w:topLinePunct w:val="0"/>
        <w:bidi w:val="0"/>
        <w:spacing w:line="440" w:lineRule="exact"/>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1.采购项目</w:t>
      </w:r>
    </w:p>
    <w:tbl>
      <w:tblPr>
        <w:tblStyle w:val="13"/>
        <w:tblW w:w="95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63"/>
        <w:gridCol w:w="1997"/>
        <w:gridCol w:w="1998"/>
      </w:tblGrid>
      <w:tr w14:paraId="4903A0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9" w:hRule="atLeast"/>
          <w:jc w:val="center"/>
        </w:trPr>
        <w:tc>
          <w:tcPr>
            <w:tcW w:w="5563" w:type="dxa"/>
            <w:tcBorders>
              <w:top w:val="single" w:color="auto" w:sz="4" w:space="0"/>
              <w:left w:val="single" w:color="auto" w:sz="4" w:space="0"/>
              <w:bottom w:val="single" w:color="auto" w:sz="4" w:space="0"/>
              <w:right w:val="single" w:color="auto" w:sz="4" w:space="0"/>
            </w:tcBorders>
            <w:vAlign w:val="center"/>
          </w:tcPr>
          <w:p w14:paraId="11A48352">
            <w:pPr>
              <w:pageBreakBefore w:val="0"/>
              <w:kinsoku/>
              <w:wordWrap/>
              <w:overflowPunct/>
              <w:topLinePunct w:val="0"/>
              <w:bidi w:val="0"/>
              <w:spacing w:line="440" w:lineRule="exact"/>
              <w:jc w:val="center"/>
              <w:textAlignment w:val="auto"/>
              <w:rPr>
                <w:rFonts w:hint="default" w:ascii="仿宋_GB2312" w:hAnsi="Times New Roman" w:eastAsia="仿宋_GB2312" w:cs="仿宋_GB2312"/>
                <w:bCs/>
                <w:color w:val="auto"/>
                <w:kern w:val="0"/>
                <w:sz w:val="28"/>
                <w:szCs w:val="28"/>
                <w:lang w:val="en-US" w:eastAsia="zh-CN" w:bidi="ar-SA"/>
              </w:rPr>
            </w:pPr>
            <w:r>
              <w:rPr>
                <w:rFonts w:hint="default" w:ascii="仿宋_GB2312" w:hAnsi="Times New Roman" w:eastAsia="仿宋_GB2312" w:cs="仿宋_GB2312"/>
                <w:bCs/>
                <w:color w:val="auto"/>
                <w:kern w:val="0"/>
                <w:sz w:val="28"/>
                <w:szCs w:val="28"/>
                <w:lang w:val="en-US" w:eastAsia="zh-CN" w:bidi="ar-SA"/>
              </w:rPr>
              <w:t>项目名称</w:t>
            </w:r>
          </w:p>
        </w:tc>
        <w:tc>
          <w:tcPr>
            <w:tcW w:w="1997" w:type="dxa"/>
            <w:tcBorders>
              <w:top w:val="single" w:color="auto" w:sz="4" w:space="0"/>
              <w:left w:val="single" w:color="auto" w:sz="4" w:space="0"/>
              <w:bottom w:val="single" w:color="auto" w:sz="4" w:space="0"/>
              <w:right w:val="single" w:color="auto" w:sz="4" w:space="0"/>
            </w:tcBorders>
            <w:vAlign w:val="center"/>
          </w:tcPr>
          <w:p w14:paraId="7CC14976">
            <w:pPr>
              <w:pageBreakBefore w:val="0"/>
              <w:kinsoku/>
              <w:wordWrap/>
              <w:overflowPunct/>
              <w:topLinePunct w:val="0"/>
              <w:bidi w:val="0"/>
              <w:spacing w:line="440" w:lineRule="exact"/>
              <w:jc w:val="center"/>
              <w:textAlignment w:val="auto"/>
              <w:rPr>
                <w:rFonts w:hint="eastAsia" w:ascii="仿宋_GB2312"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总控制价(万元)</w:t>
            </w:r>
          </w:p>
        </w:tc>
        <w:tc>
          <w:tcPr>
            <w:tcW w:w="1998" w:type="dxa"/>
            <w:tcBorders>
              <w:top w:val="single" w:color="auto" w:sz="4" w:space="0"/>
              <w:left w:val="single" w:color="auto" w:sz="4" w:space="0"/>
              <w:bottom w:val="single" w:color="auto" w:sz="4" w:space="0"/>
              <w:right w:val="single" w:color="auto" w:sz="4" w:space="0"/>
            </w:tcBorders>
            <w:vAlign w:val="center"/>
          </w:tcPr>
          <w:p w14:paraId="0C754C51">
            <w:pPr>
              <w:pageBreakBefore w:val="0"/>
              <w:kinsoku/>
              <w:wordWrap/>
              <w:overflowPunct/>
              <w:topLinePunct w:val="0"/>
              <w:bidi w:val="0"/>
              <w:spacing w:line="440" w:lineRule="exact"/>
              <w:jc w:val="center"/>
              <w:textAlignment w:val="auto"/>
              <w:rPr>
                <w:rFonts w:hint="default" w:ascii="仿宋_GB2312"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服务期限</w:t>
            </w:r>
          </w:p>
        </w:tc>
      </w:tr>
      <w:tr w14:paraId="17DF69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5" w:hRule="atLeast"/>
          <w:jc w:val="center"/>
        </w:trPr>
        <w:tc>
          <w:tcPr>
            <w:tcW w:w="5563" w:type="dxa"/>
            <w:tcBorders>
              <w:top w:val="single" w:color="auto" w:sz="4" w:space="0"/>
              <w:left w:val="single" w:color="auto" w:sz="4" w:space="0"/>
              <w:bottom w:val="single" w:color="auto" w:sz="4" w:space="0"/>
              <w:right w:val="single" w:color="auto" w:sz="4" w:space="0"/>
            </w:tcBorders>
            <w:vAlign w:val="center"/>
          </w:tcPr>
          <w:p w14:paraId="27AD3FAD">
            <w:pPr>
              <w:pageBreakBefore w:val="0"/>
              <w:kinsoku/>
              <w:wordWrap/>
              <w:overflowPunct/>
              <w:topLinePunct w:val="0"/>
              <w:bidi w:val="0"/>
              <w:spacing w:line="440" w:lineRule="exact"/>
              <w:jc w:val="center"/>
              <w:textAlignment w:val="auto"/>
              <w:rPr>
                <w:rFonts w:hint="default" w:ascii="仿宋_GB2312" w:hAnsi="Times New Roman" w:eastAsia="仿宋_GB2312" w:cs="仿宋_GB2312"/>
                <w:bCs/>
                <w:color w:val="auto"/>
                <w:kern w:val="0"/>
                <w:sz w:val="28"/>
                <w:szCs w:val="28"/>
                <w:lang w:val="en-US" w:eastAsia="zh-CN" w:bidi="ar-SA"/>
              </w:rPr>
            </w:pPr>
            <w:r>
              <w:rPr>
                <w:rFonts w:hint="eastAsia" w:ascii="仿宋" w:hAnsi="仿宋" w:eastAsia="仿宋" w:cs="仿宋"/>
                <w:i w:val="0"/>
                <w:iCs w:val="0"/>
                <w:caps w:val="0"/>
                <w:color w:val="auto"/>
                <w:spacing w:val="0"/>
                <w:sz w:val="28"/>
                <w:szCs w:val="28"/>
                <w:shd w:val="clear" w:fill="FFFFFF"/>
                <w:lang w:eastAsia="zh-CN"/>
              </w:rPr>
              <w:t>娄底市中心医院（娄底医院）有害生物防治服务</w:t>
            </w:r>
          </w:p>
        </w:tc>
        <w:tc>
          <w:tcPr>
            <w:tcW w:w="1997" w:type="dxa"/>
            <w:tcBorders>
              <w:top w:val="single" w:color="auto" w:sz="4" w:space="0"/>
              <w:left w:val="single" w:color="auto" w:sz="4" w:space="0"/>
              <w:bottom w:val="single" w:color="auto" w:sz="4" w:space="0"/>
              <w:right w:val="single" w:color="auto" w:sz="4" w:space="0"/>
            </w:tcBorders>
            <w:vAlign w:val="center"/>
          </w:tcPr>
          <w:p w14:paraId="1B20F30B">
            <w:pPr>
              <w:pStyle w:val="3"/>
              <w:pageBreakBefore w:val="0"/>
              <w:kinsoku/>
              <w:wordWrap/>
              <w:overflowPunct/>
              <w:topLinePunct w:val="0"/>
              <w:bidi w:val="0"/>
              <w:spacing w:line="440" w:lineRule="exact"/>
              <w:jc w:val="center"/>
              <w:textAlignment w:val="auto"/>
              <w:rPr>
                <w:rFonts w:hint="eastAsia" w:ascii="仿宋" w:hAnsi="仿宋" w:eastAsia="仿宋" w:cs="仿宋"/>
                <w:b w:val="0"/>
                <w:bCs w:val="0"/>
                <w:i w:val="0"/>
                <w:iCs w:val="0"/>
                <w:caps w:val="0"/>
                <w:color w:val="auto"/>
                <w:spacing w:val="0"/>
                <w:kern w:val="2"/>
                <w:sz w:val="28"/>
                <w:szCs w:val="28"/>
                <w:shd w:val="clear" w:fill="FFFFFF"/>
                <w:lang w:val="en-US" w:eastAsia="zh-CN" w:bidi="ar-SA"/>
              </w:rPr>
            </w:pPr>
            <w:r>
              <w:rPr>
                <w:rFonts w:hint="eastAsia" w:ascii="仿宋" w:hAnsi="仿宋" w:eastAsia="仿宋" w:cs="仿宋"/>
                <w:b w:val="0"/>
                <w:bCs w:val="0"/>
                <w:i w:val="0"/>
                <w:iCs w:val="0"/>
                <w:caps w:val="0"/>
                <w:color w:val="auto"/>
                <w:spacing w:val="0"/>
                <w:sz w:val="32"/>
                <w:szCs w:val="32"/>
                <w:highlight w:val="none"/>
                <w:shd w:val="clear" w:fill="FFFFFF"/>
                <w:lang w:val="en-US" w:eastAsia="zh-CN"/>
              </w:rPr>
              <w:t>35.1</w:t>
            </w:r>
          </w:p>
        </w:tc>
        <w:tc>
          <w:tcPr>
            <w:tcW w:w="1998" w:type="dxa"/>
            <w:tcBorders>
              <w:top w:val="single" w:color="auto" w:sz="4" w:space="0"/>
              <w:left w:val="single" w:color="auto" w:sz="4" w:space="0"/>
              <w:bottom w:val="single" w:color="auto" w:sz="4" w:space="0"/>
              <w:right w:val="single" w:color="auto" w:sz="4" w:space="0"/>
            </w:tcBorders>
            <w:vAlign w:val="center"/>
          </w:tcPr>
          <w:p w14:paraId="7B4F0627">
            <w:pPr>
              <w:pStyle w:val="3"/>
              <w:pageBreakBefore w:val="0"/>
              <w:kinsoku/>
              <w:wordWrap/>
              <w:overflowPunct/>
              <w:topLinePunct w:val="0"/>
              <w:bidi w:val="0"/>
              <w:spacing w:line="440" w:lineRule="exact"/>
              <w:jc w:val="center"/>
              <w:textAlignment w:val="auto"/>
              <w:rPr>
                <w:rFonts w:hint="default" w:ascii="仿宋" w:hAnsi="仿宋" w:eastAsia="仿宋" w:cs="仿宋"/>
                <w:b w:val="0"/>
                <w:bCs w:val="0"/>
                <w:i w:val="0"/>
                <w:iCs w:val="0"/>
                <w:caps w:val="0"/>
                <w:color w:val="auto"/>
                <w:spacing w:val="0"/>
                <w:sz w:val="32"/>
                <w:szCs w:val="32"/>
                <w:highlight w:val="none"/>
                <w:shd w:val="clear" w:fill="FFFFFF"/>
                <w:lang w:val="en-US" w:eastAsia="zh-CN"/>
              </w:rPr>
            </w:pPr>
            <w:r>
              <w:rPr>
                <w:rFonts w:hint="eastAsia" w:ascii="仿宋" w:hAnsi="仿宋" w:eastAsia="仿宋" w:cs="仿宋"/>
                <w:b w:val="0"/>
                <w:bCs w:val="0"/>
                <w:i w:val="0"/>
                <w:iCs w:val="0"/>
                <w:caps w:val="0"/>
                <w:color w:val="auto"/>
                <w:spacing w:val="0"/>
                <w:sz w:val="32"/>
                <w:szCs w:val="32"/>
                <w:highlight w:val="none"/>
                <w:shd w:val="clear" w:fill="FFFFFF"/>
                <w:lang w:val="en-US" w:eastAsia="zh-CN"/>
              </w:rPr>
              <w:t>3年</w:t>
            </w:r>
          </w:p>
        </w:tc>
      </w:tr>
    </w:tbl>
    <w:p w14:paraId="77939CAB">
      <w:pPr>
        <w:pageBreakBefore w:val="0"/>
        <w:numPr>
          <w:ilvl w:val="0"/>
          <w:numId w:val="2"/>
        </w:numPr>
        <w:kinsoku/>
        <w:wordWrap/>
        <w:overflowPunct/>
        <w:topLinePunct w:val="0"/>
        <w:bidi w:val="0"/>
        <w:spacing w:line="440" w:lineRule="exact"/>
        <w:jc w:val="center"/>
        <w:textAlignment w:val="auto"/>
        <w:rPr>
          <w:rFonts w:hint="eastAsia" w:ascii="仿宋" w:hAnsi="仿宋" w:eastAsia="仿宋" w:cs="仿宋"/>
          <w:i w:val="0"/>
          <w:iCs w:val="0"/>
          <w:caps w:val="0"/>
          <w:color w:val="auto"/>
          <w:spacing w:val="0"/>
          <w:sz w:val="28"/>
          <w:szCs w:val="28"/>
          <w:shd w:val="clear" w:fill="FFFFFF"/>
          <w:lang w:val="en-US" w:eastAsia="zh-CN"/>
        </w:rPr>
      </w:pPr>
      <w:r>
        <w:rPr>
          <w:rFonts w:hint="eastAsia" w:ascii="仿宋" w:hAnsi="仿宋" w:eastAsia="仿宋" w:cs="仿宋"/>
          <w:i w:val="0"/>
          <w:iCs w:val="0"/>
          <w:caps w:val="0"/>
          <w:color w:val="auto"/>
          <w:spacing w:val="0"/>
          <w:sz w:val="28"/>
          <w:szCs w:val="28"/>
          <w:shd w:val="clear" w:fill="FFFFFF"/>
          <w:lang w:val="en-US" w:eastAsia="zh-CN"/>
        </w:rPr>
        <w:t>项目内容及要求，（以下内容必须全部响应，否则视为无效投标）</w:t>
      </w:r>
    </w:p>
    <w:p w14:paraId="79BDF2EF">
      <w:pPr>
        <w:pageBreakBefore w:val="0"/>
        <w:numPr>
          <w:ilvl w:val="0"/>
          <w:numId w:val="0"/>
        </w:numPr>
        <w:kinsoku/>
        <w:wordWrap/>
        <w:overflowPunct/>
        <w:topLinePunct w:val="0"/>
        <w:autoSpaceDE/>
        <w:autoSpaceDN/>
        <w:bidi w:val="0"/>
        <w:spacing w:line="560" w:lineRule="exact"/>
        <w:ind w:firstLine="643" w:firstLineChars="200"/>
        <w:textAlignment w:val="auto"/>
        <w:rPr>
          <w:rFonts w:hint="eastAsia" w:ascii="仿宋" w:hAnsi="仿宋" w:eastAsia="仿宋" w:cs="仿宋"/>
          <w:color w:val="auto"/>
          <w:sz w:val="32"/>
          <w:szCs w:val="32"/>
          <w:lang w:eastAsia="zh-CN"/>
        </w:rPr>
      </w:pPr>
      <w:r>
        <w:rPr>
          <w:rFonts w:hint="eastAsia" w:ascii="仿宋" w:hAnsi="仿宋" w:eastAsia="仿宋" w:cs="仿宋"/>
          <w:b/>
          <w:bCs/>
          <w:color w:val="auto"/>
          <w:kern w:val="2"/>
          <w:sz w:val="32"/>
          <w:szCs w:val="32"/>
          <w:lang w:val="en-US" w:eastAsia="zh-CN" w:bidi="ar-SA"/>
        </w:rPr>
        <w:t>（一）</w:t>
      </w:r>
      <w:r>
        <w:rPr>
          <w:rFonts w:hint="eastAsia" w:ascii="仿宋" w:hAnsi="仿宋" w:eastAsia="仿宋" w:cs="仿宋"/>
          <w:b/>
          <w:bCs/>
          <w:color w:val="auto"/>
          <w:sz w:val="32"/>
          <w:szCs w:val="32"/>
          <w:lang w:eastAsia="zh-CN"/>
        </w:rPr>
        <w:t>项目概况</w:t>
      </w:r>
    </w:p>
    <w:p w14:paraId="3FE97D52">
      <w:pPr>
        <w:pageBreakBefore w:val="0"/>
        <w:numPr>
          <w:ilvl w:val="0"/>
          <w:numId w:val="0"/>
        </w:numPr>
        <w:kinsoku/>
        <w:wordWrap/>
        <w:overflowPunct/>
        <w:topLinePunct w:val="0"/>
        <w:autoSpaceDE/>
        <w:autoSpaceDN/>
        <w:bidi w:val="0"/>
        <w:spacing w:line="560" w:lineRule="exact"/>
        <w:ind w:firstLine="600"/>
        <w:textAlignment w:val="auto"/>
        <w:rPr>
          <w:rFonts w:hint="eastAsia" w:ascii="仿宋" w:hAnsi="仿宋" w:eastAsia="仿宋" w:cs="仿宋"/>
          <w:color w:val="auto"/>
          <w:sz w:val="32"/>
          <w:szCs w:val="32"/>
        </w:rPr>
      </w:pPr>
      <w:r>
        <w:rPr>
          <w:rFonts w:hint="eastAsia" w:ascii="仿宋" w:hAnsi="仿宋" w:eastAsia="仿宋" w:cs="仿宋"/>
          <w:color w:val="auto"/>
          <w:sz w:val="32"/>
          <w:szCs w:val="32"/>
          <w:lang w:val="en-US" w:eastAsia="zh-CN"/>
        </w:rPr>
        <w:t>本项目为娄底市中心医院（娄底医院）有害生物防制服务，服务期为叁年，服务地点为广州医科大学附属第一医院娄底医院，消杀服务工程费用采取分次支付形式；消杀范围</w:t>
      </w:r>
      <w:r>
        <w:rPr>
          <w:rFonts w:hint="eastAsia" w:ascii="仿宋" w:hAnsi="仿宋" w:eastAsia="仿宋" w:cs="仿宋"/>
          <w:color w:val="auto"/>
          <w:kern w:val="2"/>
          <w:sz w:val="32"/>
          <w:szCs w:val="32"/>
          <w:lang w:val="en-US" w:eastAsia="zh-CN" w:bidi="ar-SA"/>
        </w:rPr>
        <w:t>涵盖医院内所有门急诊楼、住院1号楼、住院2号楼、行政科研楼、感染楼等建筑物内部的各个科室、病房、走廊、楼梯间、电梯间、卫生间、食堂、仓库、配电室等区域；建筑物外部的绿化带、停车场、道路、围墙周边、垃圾站、污水处理站以及医院所属的其他附属设施区域</w:t>
      </w:r>
      <w:r>
        <w:rPr>
          <w:rFonts w:hint="eastAsia" w:ascii="仿宋" w:hAnsi="仿宋" w:eastAsia="仿宋" w:cs="仿宋"/>
          <w:color w:val="auto"/>
          <w:sz w:val="32"/>
          <w:szCs w:val="32"/>
        </w:rPr>
        <w:t>和卫生检查划定</w:t>
      </w:r>
      <w:r>
        <w:rPr>
          <w:rFonts w:hint="eastAsia" w:ascii="仿宋" w:hAnsi="仿宋" w:eastAsia="仿宋" w:cs="仿宋"/>
          <w:color w:val="auto"/>
          <w:sz w:val="32"/>
          <w:szCs w:val="32"/>
          <w:lang w:eastAsia="zh-CN"/>
        </w:rPr>
        <w:t>采购人</w:t>
      </w:r>
      <w:r>
        <w:rPr>
          <w:rFonts w:hint="eastAsia" w:ascii="仿宋" w:hAnsi="仿宋" w:eastAsia="仿宋" w:cs="仿宋"/>
          <w:color w:val="auto"/>
          <w:sz w:val="32"/>
          <w:szCs w:val="32"/>
        </w:rPr>
        <w:t>负责的周边区域。</w:t>
      </w:r>
    </w:p>
    <w:p w14:paraId="5A6D9CA7">
      <w:pPr>
        <w:pageBreakBefore w:val="0"/>
        <w:numPr>
          <w:ilvl w:val="0"/>
          <w:numId w:val="0"/>
        </w:numPr>
        <w:kinsoku/>
        <w:wordWrap/>
        <w:overflowPunct/>
        <w:topLinePunct w:val="0"/>
        <w:autoSpaceDE/>
        <w:autoSpaceDN/>
        <w:bidi w:val="0"/>
        <w:spacing w:line="560" w:lineRule="exact"/>
        <w:ind w:left="0" w:leftChars="0" w:firstLine="643" w:firstLineChars="200"/>
        <w:textAlignment w:val="auto"/>
        <w:rPr>
          <w:rFonts w:hint="eastAsia" w:ascii="仿宋" w:hAnsi="仿宋" w:eastAsia="仿宋" w:cs="仿宋"/>
          <w:b/>
          <w:bCs/>
          <w:color w:val="auto"/>
          <w:sz w:val="32"/>
          <w:szCs w:val="32"/>
          <w:lang w:val="en-US" w:eastAsia="zh-CN"/>
        </w:rPr>
      </w:pPr>
      <w:r>
        <w:rPr>
          <w:rFonts w:hint="eastAsia" w:ascii="仿宋" w:hAnsi="仿宋" w:eastAsia="仿宋" w:cs="仿宋"/>
          <w:b/>
          <w:bCs/>
          <w:color w:val="auto"/>
          <w:kern w:val="2"/>
          <w:sz w:val="32"/>
          <w:szCs w:val="32"/>
          <w:lang w:val="en-US" w:eastAsia="zh-CN" w:bidi="ar-SA"/>
        </w:rPr>
        <w:t>（二）服务</w:t>
      </w:r>
      <w:r>
        <w:rPr>
          <w:rFonts w:hint="eastAsia" w:ascii="仿宋" w:hAnsi="仿宋" w:eastAsia="仿宋" w:cs="仿宋"/>
          <w:b/>
          <w:bCs/>
          <w:color w:val="auto"/>
          <w:sz w:val="32"/>
          <w:szCs w:val="32"/>
          <w:lang w:val="en-US" w:eastAsia="zh-CN"/>
        </w:rPr>
        <w:t>要求</w:t>
      </w:r>
    </w:p>
    <w:p w14:paraId="63F44F74">
      <w:pPr>
        <w:pageBreakBefore w:val="0"/>
        <w:numPr>
          <w:ilvl w:val="0"/>
          <w:numId w:val="0"/>
        </w:numPr>
        <w:kinsoku/>
        <w:wordWrap/>
        <w:overflowPunct/>
        <w:topLinePunct w:val="0"/>
        <w:autoSpaceDE/>
        <w:autoSpaceDN/>
        <w:bidi w:val="0"/>
        <w:spacing w:line="560" w:lineRule="exact"/>
        <w:ind w:firstLine="640" w:firstLineChars="200"/>
        <w:textAlignment w:val="auto"/>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（1）使用的药物和器械须经国家有关部门批准，保证不对采购人的环境和物品造成污染，不对采购人和与采购人相关的第三方人员的身体健康造成危害。采购人如有质疑或</w:t>
      </w:r>
      <w:r>
        <w:rPr>
          <w:rFonts w:hint="eastAsia" w:ascii="仿宋" w:hAnsi="仿宋" w:eastAsia="仿宋" w:cs="仿宋"/>
          <w:strike w:val="0"/>
          <w:dstrike w:val="0"/>
          <w:color w:val="auto"/>
          <w:sz w:val="32"/>
          <w:szCs w:val="32"/>
          <w:lang w:val="en-US" w:eastAsia="zh-CN"/>
        </w:rPr>
        <w:t>服务商</w:t>
      </w:r>
      <w:r>
        <w:rPr>
          <w:rFonts w:hint="eastAsia" w:ascii="仿宋" w:hAnsi="仿宋" w:eastAsia="仿宋" w:cs="仿宋"/>
          <w:color w:val="auto"/>
          <w:sz w:val="32"/>
          <w:szCs w:val="32"/>
          <w:lang w:val="en-US" w:eastAsia="zh-CN"/>
        </w:rPr>
        <w:t>可能因施工造成了不良后果，</w:t>
      </w:r>
      <w:r>
        <w:rPr>
          <w:rFonts w:hint="eastAsia" w:ascii="仿宋" w:hAnsi="仿宋" w:eastAsia="仿宋" w:cs="仿宋"/>
          <w:strike w:val="0"/>
          <w:dstrike w:val="0"/>
          <w:color w:val="auto"/>
          <w:sz w:val="32"/>
          <w:szCs w:val="32"/>
          <w:lang w:val="en-US" w:eastAsia="zh-CN"/>
        </w:rPr>
        <w:t>服务商</w:t>
      </w:r>
      <w:r>
        <w:rPr>
          <w:rFonts w:hint="eastAsia" w:ascii="仿宋" w:hAnsi="仿宋" w:eastAsia="仿宋" w:cs="仿宋"/>
          <w:color w:val="auto"/>
          <w:sz w:val="32"/>
          <w:szCs w:val="32"/>
          <w:lang w:val="en-US" w:eastAsia="zh-CN"/>
        </w:rPr>
        <w:t>负责解释、处理和承担赔偿等相应的全部责任。</w:t>
      </w:r>
    </w:p>
    <w:p w14:paraId="48936B04">
      <w:pPr>
        <w:pageBreakBefore w:val="0"/>
        <w:numPr>
          <w:ilvl w:val="0"/>
          <w:numId w:val="0"/>
        </w:numPr>
        <w:kinsoku/>
        <w:wordWrap/>
        <w:overflowPunct/>
        <w:topLinePunct w:val="0"/>
        <w:autoSpaceDE/>
        <w:autoSpaceDN/>
        <w:bidi w:val="0"/>
        <w:spacing w:line="560" w:lineRule="exact"/>
        <w:ind w:firstLine="640" w:firstLineChars="200"/>
        <w:textAlignment w:val="auto"/>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（2）施工人员、监理人员进入采购人场地工作需要提前约定，由采购人委派指定人员陪同。</w:t>
      </w:r>
      <w:r>
        <w:rPr>
          <w:rFonts w:hint="eastAsia" w:ascii="仿宋" w:hAnsi="仿宋" w:eastAsia="仿宋" w:cs="仿宋"/>
          <w:strike w:val="0"/>
          <w:dstrike w:val="0"/>
          <w:color w:val="auto"/>
          <w:sz w:val="32"/>
          <w:szCs w:val="32"/>
          <w:lang w:val="en-US" w:eastAsia="zh-CN"/>
        </w:rPr>
        <w:t>服务商</w:t>
      </w:r>
      <w:r>
        <w:rPr>
          <w:rFonts w:hint="eastAsia" w:ascii="仿宋" w:hAnsi="仿宋" w:eastAsia="仿宋" w:cs="仿宋"/>
          <w:color w:val="auto"/>
          <w:sz w:val="32"/>
          <w:szCs w:val="32"/>
          <w:lang w:val="en-US" w:eastAsia="zh-CN"/>
        </w:rPr>
        <w:t>人员应尽量减少对采购人工作的干扰，因施工需要产生不可避免的干扰，应事前得到采购人的同意。</w:t>
      </w:r>
    </w:p>
    <w:p w14:paraId="2C785A97">
      <w:pPr>
        <w:pageBreakBefore w:val="0"/>
        <w:numPr>
          <w:ilvl w:val="0"/>
          <w:numId w:val="0"/>
        </w:numPr>
        <w:kinsoku/>
        <w:wordWrap/>
        <w:overflowPunct/>
        <w:topLinePunct w:val="0"/>
        <w:autoSpaceDE/>
        <w:autoSpaceDN/>
        <w:bidi w:val="0"/>
        <w:spacing w:line="560" w:lineRule="exact"/>
        <w:ind w:firstLine="640" w:firstLineChars="200"/>
        <w:textAlignment w:val="auto"/>
        <w:rPr>
          <w:rFonts w:hint="eastAsia" w:ascii="仿宋" w:hAnsi="仿宋" w:eastAsia="仿宋" w:cs="仿宋"/>
          <w:color w:val="auto"/>
          <w:sz w:val="32"/>
          <w:szCs w:val="32"/>
          <w:lang w:val="en-US" w:eastAsia="zh-CN"/>
        </w:rPr>
      </w:pPr>
      <w:r>
        <w:rPr>
          <w:rFonts w:hint="eastAsia" w:ascii="仿宋" w:hAnsi="仿宋" w:eastAsia="仿宋" w:cs="仿宋"/>
          <w:color w:val="auto"/>
          <w:kern w:val="2"/>
          <w:sz w:val="32"/>
          <w:szCs w:val="32"/>
          <w:lang w:val="en-US" w:eastAsia="zh-CN" w:bidi="ar-SA"/>
        </w:rPr>
        <w:t>（3）</w:t>
      </w:r>
      <w:r>
        <w:rPr>
          <w:rFonts w:hint="eastAsia" w:ascii="仿宋" w:hAnsi="仿宋" w:eastAsia="仿宋" w:cs="仿宋"/>
          <w:color w:val="auto"/>
          <w:sz w:val="32"/>
          <w:szCs w:val="32"/>
          <w:lang w:val="en-US" w:eastAsia="zh-CN"/>
        </w:rPr>
        <w:t>服务期限内，双方签订的合同限定的有害生物对采购人造成的财产损害、对采购人的人员和与采购人有关的第三方人员的身体危害以及老鼠对太平间存放遗体的损害概由</w:t>
      </w:r>
      <w:r>
        <w:rPr>
          <w:rFonts w:hint="eastAsia" w:ascii="仿宋" w:hAnsi="仿宋" w:eastAsia="仿宋" w:cs="仿宋"/>
          <w:strike w:val="0"/>
          <w:dstrike w:val="0"/>
          <w:color w:val="auto"/>
          <w:sz w:val="32"/>
          <w:szCs w:val="32"/>
          <w:lang w:val="en-US" w:eastAsia="zh-CN"/>
        </w:rPr>
        <w:t>服务商</w:t>
      </w:r>
      <w:r>
        <w:rPr>
          <w:rFonts w:hint="eastAsia" w:ascii="仿宋" w:hAnsi="仿宋" w:eastAsia="仿宋" w:cs="仿宋"/>
          <w:color w:val="auto"/>
          <w:sz w:val="32"/>
          <w:szCs w:val="32"/>
          <w:lang w:val="en-US" w:eastAsia="zh-CN"/>
        </w:rPr>
        <w:t>负责赔偿。</w:t>
      </w:r>
    </w:p>
    <w:p w14:paraId="762E1D04">
      <w:pPr>
        <w:pageBreakBefore w:val="0"/>
        <w:numPr>
          <w:ilvl w:val="0"/>
          <w:numId w:val="0"/>
        </w:numPr>
        <w:kinsoku/>
        <w:wordWrap/>
        <w:overflowPunct/>
        <w:topLinePunct w:val="0"/>
        <w:autoSpaceDE/>
        <w:autoSpaceDN/>
        <w:bidi w:val="0"/>
        <w:spacing w:line="560" w:lineRule="exact"/>
        <w:ind w:firstLine="640" w:firstLineChars="200"/>
        <w:textAlignment w:val="auto"/>
        <w:rPr>
          <w:rFonts w:hint="eastAsia" w:ascii="仿宋" w:hAnsi="仿宋" w:eastAsia="仿宋" w:cs="仿宋"/>
          <w:color w:val="auto"/>
          <w:sz w:val="32"/>
          <w:szCs w:val="32"/>
          <w:lang w:val="en-US" w:eastAsia="zh-CN"/>
        </w:rPr>
      </w:pPr>
      <w:r>
        <w:rPr>
          <w:rFonts w:hint="eastAsia" w:ascii="仿宋" w:hAnsi="仿宋" w:eastAsia="仿宋" w:cs="仿宋"/>
          <w:color w:val="auto"/>
          <w:kern w:val="2"/>
          <w:sz w:val="32"/>
          <w:szCs w:val="32"/>
          <w:lang w:val="en-US" w:eastAsia="zh-CN" w:bidi="ar-SA"/>
        </w:rPr>
        <w:t>（4）</w:t>
      </w:r>
      <w:r>
        <w:rPr>
          <w:rFonts w:hint="eastAsia" w:ascii="仿宋" w:hAnsi="仿宋" w:eastAsia="仿宋" w:cs="仿宋"/>
          <w:color w:val="auto"/>
          <w:sz w:val="32"/>
          <w:szCs w:val="32"/>
          <w:lang w:val="en-US" w:eastAsia="zh-CN"/>
        </w:rPr>
        <w:t>发现采购人房屋结构（如外向孔洞）、内外环境等可能影响对上述有害生物防治的改变应及时与采购人联系，协商处理，且不能以此为由影响工作质量或追加费用。</w:t>
      </w:r>
    </w:p>
    <w:p w14:paraId="3260DD53">
      <w:pPr>
        <w:pageBreakBefore w:val="0"/>
        <w:numPr>
          <w:ilvl w:val="0"/>
          <w:numId w:val="0"/>
        </w:numPr>
        <w:kinsoku/>
        <w:wordWrap/>
        <w:overflowPunct/>
        <w:topLinePunct w:val="0"/>
        <w:autoSpaceDE/>
        <w:autoSpaceDN/>
        <w:bidi w:val="0"/>
        <w:spacing w:line="560" w:lineRule="exact"/>
        <w:ind w:firstLine="640" w:firstLineChars="200"/>
        <w:textAlignment w:val="auto"/>
        <w:rPr>
          <w:rFonts w:hint="eastAsia" w:ascii="仿宋" w:hAnsi="仿宋" w:eastAsia="仿宋" w:cs="仿宋"/>
          <w:color w:val="auto"/>
          <w:sz w:val="32"/>
          <w:szCs w:val="32"/>
          <w:lang w:val="en-US" w:eastAsia="zh-CN"/>
        </w:rPr>
      </w:pPr>
      <w:r>
        <w:rPr>
          <w:rFonts w:hint="eastAsia" w:ascii="仿宋" w:hAnsi="仿宋" w:eastAsia="仿宋" w:cs="仿宋"/>
          <w:color w:val="auto"/>
          <w:kern w:val="2"/>
          <w:sz w:val="32"/>
          <w:szCs w:val="32"/>
          <w:lang w:val="en-US" w:eastAsia="zh-CN" w:bidi="ar-SA"/>
        </w:rPr>
        <w:t>（5）</w:t>
      </w:r>
      <w:r>
        <w:rPr>
          <w:rFonts w:hint="eastAsia" w:ascii="仿宋" w:hAnsi="仿宋" w:eastAsia="仿宋" w:cs="仿宋"/>
          <w:color w:val="auto"/>
          <w:sz w:val="32"/>
          <w:szCs w:val="32"/>
          <w:lang w:val="en-US" w:eastAsia="zh-CN"/>
        </w:rPr>
        <w:t>采购人如接到</w:t>
      </w:r>
      <w:r>
        <w:rPr>
          <w:rFonts w:hint="eastAsia" w:ascii="仿宋" w:hAnsi="仿宋" w:eastAsia="仿宋" w:cs="仿宋"/>
          <w:strike w:val="0"/>
          <w:dstrike w:val="0"/>
          <w:color w:val="auto"/>
          <w:sz w:val="32"/>
          <w:szCs w:val="32"/>
          <w:lang w:val="en-US" w:eastAsia="zh-CN"/>
        </w:rPr>
        <w:t>服务商</w:t>
      </w:r>
      <w:r>
        <w:rPr>
          <w:rFonts w:hint="eastAsia" w:ascii="仿宋" w:hAnsi="仿宋" w:eastAsia="仿宋" w:cs="仿宋"/>
          <w:color w:val="auto"/>
          <w:sz w:val="32"/>
          <w:szCs w:val="32"/>
          <w:lang w:val="en-US" w:eastAsia="zh-CN"/>
        </w:rPr>
        <w:t>关于预防设施毁损和卫生管理规定未落实的报告，采购人尽可能按要求予以落实，但因客观原因不能落实的，</w:t>
      </w:r>
      <w:r>
        <w:rPr>
          <w:rFonts w:hint="eastAsia" w:ascii="仿宋" w:hAnsi="仿宋" w:eastAsia="仿宋" w:cs="仿宋"/>
          <w:strike w:val="0"/>
          <w:dstrike w:val="0"/>
          <w:color w:val="auto"/>
          <w:sz w:val="32"/>
          <w:szCs w:val="32"/>
          <w:lang w:val="en-US" w:eastAsia="zh-CN"/>
        </w:rPr>
        <w:t>服务商</w:t>
      </w:r>
      <w:r>
        <w:rPr>
          <w:rFonts w:hint="eastAsia" w:ascii="仿宋" w:hAnsi="仿宋" w:eastAsia="仿宋" w:cs="仿宋"/>
          <w:color w:val="auto"/>
          <w:sz w:val="32"/>
          <w:szCs w:val="32"/>
          <w:lang w:val="en-US" w:eastAsia="zh-CN"/>
        </w:rPr>
        <w:t>不能以此为由降低服务质量。</w:t>
      </w:r>
    </w:p>
    <w:p w14:paraId="1DAD3C98">
      <w:pPr>
        <w:pageBreakBefore w:val="0"/>
        <w:numPr>
          <w:ilvl w:val="0"/>
          <w:numId w:val="0"/>
        </w:numPr>
        <w:kinsoku/>
        <w:wordWrap/>
        <w:overflowPunct/>
        <w:topLinePunct w:val="0"/>
        <w:autoSpaceDE/>
        <w:autoSpaceDN/>
        <w:bidi w:val="0"/>
        <w:spacing w:line="560" w:lineRule="exact"/>
        <w:ind w:firstLine="640" w:firstLineChars="200"/>
        <w:textAlignment w:val="auto"/>
        <w:rPr>
          <w:rFonts w:hint="eastAsia" w:ascii="仿宋" w:hAnsi="仿宋" w:eastAsia="仿宋" w:cs="仿宋"/>
          <w:color w:val="auto"/>
          <w:sz w:val="32"/>
          <w:szCs w:val="32"/>
          <w:lang w:val="en-US" w:eastAsia="zh-CN"/>
        </w:rPr>
      </w:pPr>
      <w:r>
        <w:rPr>
          <w:rFonts w:hint="eastAsia" w:ascii="仿宋" w:hAnsi="仿宋" w:eastAsia="仿宋" w:cs="仿宋"/>
          <w:color w:val="auto"/>
          <w:kern w:val="2"/>
          <w:sz w:val="32"/>
          <w:szCs w:val="32"/>
          <w:lang w:val="en-US" w:eastAsia="zh-CN" w:bidi="ar-SA"/>
        </w:rPr>
        <w:t>（6）</w:t>
      </w:r>
      <w:r>
        <w:rPr>
          <w:rFonts w:hint="eastAsia" w:ascii="仿宋" w:hAnsi="仿宋" w:eastAsia="仿宋" w:cs="仿宋"/>
          <w:color w:val="auto"/>
          <w:sz w:val="32"/>
          <w:szCs w:val="32"/>
          <w:lang w:val="en-US" w:eastAsia="zh-CN"/>
        </w:rPr>
        <w:t>接到采购人投诉或采购人遭遇突发事件时，应在2小时内到位处理；如2小时内未能到位，采购人有权自行处理或委托第三方处理，由此产生的费用全部由</w:t>
      </w:r>
      <w:r>
        <w:rPr>
          <w:rFonts w:hint="eastAsia" w:ascii="仿宋" w:hAnsi="仿宋" w:eastAsia="仿宋" w:cs="仿宋"/>
          <w:strike w:val="0"/>
          <w:dstrike w:val="0"/>
          <w:color w:val="auto"/>
          <w:sz w:val="32"/>
          <w:szCs w:val="32"/>
          <w:lang w:val="en-US" w:eastAsia="zh-CN"/>
        </w:rPr>
        <w:t>服务商</w:t>
      </w:r>
      <w:r>
        <w:rPr>
          <w:rFonts w:hint="eastAsia" w:ascii="仿宋" w:hAnsi="仿宋" w:eastAsia="仿宋" w:cs="仿宋"/>
          <w:color w:val="auto"/>
          <w:sz w:val="32"/>
          <w:szCs w:val="32"/>
          <w:lang w:val="en-US" w:eastAsia="zh-CN"/>
        </w:rPr>
        <w:t>承担。</w:t>
      </w:r>
    </w:p>
    <w:p w14:paraId="4A244672">
      <w:pPr>
        <w:pageBreakBefore w:val="0"/>
        <w:numPr>
          <w:ilvl w:val="0"/>
          <w:numId w:val="0"/>
        </w:numPr>
        <w:kinsoku/>
        <w:wordWrap/>
        <w:overflowPunct/>
        <w:topLinePunct w:val="0"/>
        <w:autoSpaceDE/>
        <w:autoSpaceDN/>
        <w:bidi w:val="0"/>
        <w:spacing w:line="560" w:lineRule="exact"/>
        <w:ind w:firstLine="640" w:firstLineChars="200"/>
        <w:textAlignment w:val="auto"/>
        <w:rPr>
          <w:rFonts w:hint="eastAsia" w:ascii="仿宋" w:hAnsi="仿宋" w:eastAsia="仿宋" w:cs="仿宋"/>
          <w:color w:val="auto"/>
          <w:sz w:val="32"/>
          <w:szCs w:val="32"/>
          <w:lang w:val="en-US" w:eastAsia="zh-CN"/>
        </w:rPr>
      </w:pPr>
      <w:r>
        <w:rPr>
          <w:rFonts w:hint="eastAsia" w:ascii="仿宋" w:hAnsi="仿宋" w:eastAsia="仿宋" w:cs="仿宋"/>
          <w:color w:val="auto"/>
          <w:kern w:val="2"/>
          <w:sz w:val="32"/>
          <w:szCs w:val="32"/>
          <w:lang w:val="en-US" w:eastAsia="zh-CN" w:bidi="ar-SA"/>
        </w:rPr>
        <w:t>（7）</w:t>
      </w:r>
      <w:r>
        <w:rPr>
          <w:rFonts w:hint="eastAsia" w:ascii="仿宋" w:hAnsi="仿宋" w:eastAsia="仿宋" w:cs="仿宋"/>
          <w:color w:val="auto"/>
          <w:sz w:val="32"/>
          <w:szCs w:val="32"/>
          <w:lang w:val="en-US" w:eastAsia="zh-CN"/>
        </w:rPr>
        <w:t>负责提供各级卫生行政部门卫生检查要求的有关有害生物防治施工治理记录并保证顺利通过检查。</w:t>
      </w:r>
    </w:p>
    <w:p w14:paraId="60241C0E">
      <w:pPr>
        <w:pageBreakBefore w:val="0"/>
        <w:numPr>
          <w:ilvl w:val="0"/>
          <w:numId w:val="0"/>
        </w:numPr>
        <w:kinsoku/>
        <w:wordWrap/>
        <w:overflowPunct/>
        <w:topLinePunct w:val="0"/>
        <w:autoSpaceDE/>
        <w:autoSpaceDN/>
        <w:bidi w:val="0"/>
        <w:spacing w:line="560" w:lineRule="exact"/>
        <w:ind w:left="0" w:leftChars="0" w:firstLine="643" w:firstLineChars="200"/>
        <w:textAlignment w:val="auto"/>
        <w:rPr>
          <w:rFonts w:hint="eastAsia" w:ascii="仿宋" w:hAnsi="仿宋" w:eastAsia="仿宋" w:cs="仿宋"/>
          <w:b/>
          <w:bCs/>
          <w:color w:val="auto"/>
          <w:sz w:val="32"/>
          <w:szCs w:val="32"/>
          <w:lang w:val="en-US" w:eastAsia="zh-CN"/>
        </w:rPr>
      </w:pPr>
      <w:r>
        <w:rPr>
          <w:rFonts w:hint="eastAsia" w:ascii="仿宋" w:hAnsi="仿宋" w:eastAsia="仿宋" w:cs="仿宋"/>
          <w:b/>
          <w:bCs/>
          <w:color w:val="auto"/>
          <w:kern w:val="2"/>
          <w:sz w:val="32"/>
          <w:szCs w:val="32"/>
          <w:lang w:val="en-US" w:eastAsia="zh-CN" w:bidi="ar-SA"/>
        </w:rPr>
        <w:t>（三）</w:t>
      </w:r>
      <w:r>
        <w:rPr>
          <w:rFonts w:hint="eastAsia" w:ascii="仿宋" w:hAnsi="仿宋" w:eastAsia="仿宋" w:cs="仿宋"/>
          <w:b/>
          <w:bCs/>
          <w:color w:val="auto"/>
          <w:sz w:val="32"/>
          <w:szCs w:val="32"/>
          <w:lang w:val="en-US" w:eastAsia="zh-CN"/>
        </w:rPr>
        <w:t>消杀频次</w:t>
      </w:r>
    </w:p>
    <w:p w14:paraId="2B28537A">
      <w:pPr>
        <w:pageBreakBefore w:val="0"/>
        <w:widowControl w:val="0"/>
        <w:numPr>
          <w:ilvl w:val="0"/>
          <w:numId w:val="0"/>
        </w:numPr>
        <w:kinsoku/>
        <w:wordWrap/>
        <w:overflowPunct/>
        <w:topLinePunct w:val="0"/>
        <w:autoSpaceDE/>
        <w:autoSpaceDN/>
        <w:bidi w:val="0"/>
        <w:spacing w:line="560" w:lineRule="exact"/>
        <w:ind w:firstLine="640" w:firstLineChars="200"/>
        <w:jc w:val="both"/>
        <w:textAlignment w:val="auto"/>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医院有害生物包括但不限于（如鼠类、蟑类、蚊类、蝇类、臭虫、隐翅虫、蚤类、蚂蚁类、蛾类等）的查杀频次并非固定标准，需结合医院类型、科室功能、有害生物种类、季节变化、区域环境风险及《医院感染管理规范》《病媒生物预防控制管理规定》等法规要求综合制定，核心原则是“按需防控、动态调整”，同时避免对医疗环境、患者及医护人员造成二次影响。以下是不同场景下的通用频次标准及核心要求：</w:t>
      </w:r>
    </w:p>
    <w:p w14:paraId="503BF238">
      <w:pPr>
        <w:pageBreakBefore w:val="0"/>
        <w:widowControl w:val="0"/>
        <w:numPr>
          <w:ilvl w:val="0"/>
          <w:numId w:val="0"/>
        </w:numPr>
        <w:kinsoku/>
        <w:wordWrap/>
        <w:overflowPunct/>
        <w:topLinePunct w:val="0"/>
        <w:autoSpaceDE/>
        <w:autoSpaceDN/>
        <w:bidi w:val="0"/>
        <w:spacing w:line="560" w:lineRule="exact"/>
        <w:ind w:firstLine="640" w:firstLineChars="200"/>
        <w:jc w:val="both"/>
        <w:textAlignment w:val="auto"/>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前期对全院采取一次大规模的蟑螂控制消杀，将医院公共区域的蟑螂，货物及其他物料中夹带的蟑螂利用 3-5 天的时间进行全方位、立体式的清剿杀灭；经过开荒作业将蟑密度降低至国家 C 级标准</w:t>
      </w:r>
      <w:r>
        <w:rPr>
          <w:rFonts w:hint="eastAsia" w:ascii="仿宋" w:hAnsi="仿宋" w:eastAsia="仿宋" w:cs="仿宋"/>
          <w:color w:val="auto"/>
          <w:sz w:val="32"/>
          <w:szCs w:val="32"/>
          <w:lang w:val="en-US" w:eastAsia="zh-CN"/>
        </w:rPr>
        <w:t>（依据《病媒生物密度控制水平 蜚蠊》GB/T 27770-2011），并向采购人提交开荒消杀验收报告（含消杀区域明细、用药清单、密度检测数据、现场照片等），</w:t>
      </w:r>
      <w:r>
        <w:rPr>
          <w:rFonts w:hint="eastAsia" w:ascii="仿宋" w:hAnsi="仿宋" w:eastAsia="仿宋" w:cs="仿宋"/>
          <w:color w:val="auto"/>
          <w:sz w:val="32"/>
          <w:szCs w:val="32"/>
          <w:highlight w:val="none"/>
          <w:lang w:val="en-US" w:eastAsia="zh-CN"/>
        </w:rPr>
        <w:t>采购人在收到报告后5个工作日内完成验收。如经采购人验收不合格，供应商应在5个工作日内无条件返工并通过采购人再次验收，由此产生的费用均由供应商承担。</w:t>
      </w:r>
    </w:p>
    <w:p w14:paraId="384228E7">
      <w:pPr>
        <w:pageBreakBefore w:val="0"/>
        <w:widowControl w:val="0"/>
        <w:numPr>
          <w:ilvl w:val="0"/>
          <w:numId w:val="0"/>
        </w:numPr>
        <w:kinsoku/>
        <w:wordWrap/>
        <w:overflowPunct/>
        <w:topLinePunct w:val="0"/>
        <w:autoSpaceDE/>
        <w:autoSpaceDN/>
        <w:bidi w:val="0"/>
        <w:spacing w:line="560" w:lineRule="exact"/>
        <w:ind w:left="0" w:leftChars="0" w:firstLine="640" w:firstLineChars="200"/>
        <w:jc w:val="both"/>
        <w:textAlignment w:val="auto"/>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1、基础通用查杀频次（适用于普通门诊、行政区域、住院部非高危科室）</w:t>
      </w:r>
    </w:p>
    <w:p w14:paraId="4456EEB3">
      <w:pPr>
        <w:pageBreakBefore w:val="0"/>
        <w:widowControl w:val="0"/>
        <w:numPr>
          <w:ilvl w:val="0"/>
          <w:numId w:val="0"/>
        </w:numPr>
        <w:kinsoku/>
        <w:wordWrap/>
        <w:overflowPunct/>
        <w:topLinePunct w:val="0"/>
        <w:autoSpaceDE/>
        <w:autoSpaceDN/>
        <w:bidi w:val="0"/>
        <w:spacing w:line="560" w:lineRule="exact"/>
        <w:ind w:left="0" w:leftChars="0" w:firstLine="640" w:firstLineChars="200"/>
        <w:jc w:val="both"/>
        <w:textAlignment w:val="auto"/>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1.1针对医院公共区域（走廊、大厅、卫生间、垃圾暂存点）及低风险科室，以“预防为主、减少滋生”为目标，常规频次如下：</w:t>
      </w:r>
    </w:p>
    <w:p w14:paraId="1E4F50FF">
      <w:pPr>
        <w:pageBreakBefore w:val="0"/>
        <w:widowControl w:val="0"/>
        <w:numPr>
          <w:ilvl w:val="0"/>
          <w:numId w:val="0"/>
        </w:numPr>
        <w:kinsoku/>
        <w:wordWrap/>
        <w:overflowPunct/>
        <w:topLinePunct w:val="0"/>
        <w:autoSpaceDE/>
        <w:autoSpaceDN/>
        <w:bidi w:val="0"/>
        <w:spacing w:line="560" w:lineRule="exact"/>
        <w:ind w:left="0" w:leftChars="0" w:firstLine="640" w:firstLineChars="200"/>
        <w:jc w:val="both"/>
        <w:textAlignment w:val="auto"/>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蟑螂：1次/周（重点区域）；1 次/ 2周（普通区域）；</w:t>
      </w:r>
    </w:p>
    <w:p w14:paraId="4FA3C2EF">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hint="eastAsia" w:ascii="仿宋" w:hAnsi="仿宋" w:eastAsia="仿宋" w:cs="仿宋"/>
          <w:color w:val="auto"/>
          <w:sz w:val="32"/>
          <w:szCs w:val="32"/>
          <w:lang w:val="en-US" w:eastAsia="zh-CN"/>
        </w:rPr>
      </w:pPr>
      <w:r>
        <w:rPr>
          <w:rFonts w:hint="eastAsia" w:ascii="仿宋" w:hAnsi="仿宋" w:eastAsia="仿宋" w:cs="仿宋"/>
          <w:color w:val="auto"/>
          <w:kern w:val="2"/>
          <w:sz w:val="32"/>
          <w:szCs w:val="32"/>
          <w:lang w:val="en-US" w:eastAsia="zh-CN" w:bidi="ar-SA"/>
        </w:rPr>
        <w:t>老鼠：全年动态防控，</w:t>
      </w:r>
      <w:r>
        <w:rPr>
          <w:rFonts w:hint="eastAsia" w:ascii="仿宋" w:hAnsi="仿宋" w:eastAsia="仿宋" w:cs="仿宋"/>
          <w:color w:val="auto"/>
          <w:sz w:val="32"/>
          <w:szCs w:val="32"/>
          <w:lang w:val="en-US" w:eastAsia="zh-CN"/>
        </w:rPr>
        <w:t>采用物理防治（粘鼠板、捕鼠笼）与化学防治（毒饵站）相结合的方式，每月对毒饵站进行检查、补充或更换。</w:t>
      </w:r>
    </w:p>
    <w:p w14:paraId="2DE75CEF">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蚊、蝇：4-10月（孳生旺季）：1次/1周；11-3月：1次/月</w:t>
      </w:r>
      <w:r>
        <w:rPr>
          <w:rFonts w:hint="eastAsia" w:ascii="仿宋" w:hAnsi="仿宋" w:eastAsia="仿宋" w:cs="仿宋"/>
          <w:color w:val="auto"/>
          <w:sz w:val="32"/>
          <w:szCs w:val="32"/>
          <w:lang w:val="en-US" w:eastAsia="zh-CN"/>
        </w:rPr>
        <w:t>，重点对院区绿化带、下水道口、垃圾桶周边等孳生地进行处理。</w:t>
      </w:r>
    </w:p>
    <w:p w14:paraId="59D38333">
      <w:pPr>
        <w:pageBreakBefore w:val="0"/>
        <w:widowControl w:val="0"/>
        <w:numPr>
          <w:ilvl w:val="0"/>
          <w:numId w:val="0"/>
        </w:numPr>
        <w:kinsoku/>
        <w:wordWrap/>
        <w:overflowPunct/>
        <w:topLinePunct w:val="0"/>
        <w:autoSpaceDE/>
        <w:autoSpaceDN/>
        <w:bidi w:val="0"/>
        <w:spacing w:line="560" w:lineRule="exact"/>
        <w:ind w:leftChars="200"/>
        <w:jc w:val="both"/>
        <w:textAlignment w:val="auto"/>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2、高危科室特殊查杀要求（感染性疾病科、手术室、ICU、检验科、病理科、药房、配餐间等对环境卫生要求极高的区域）。</w:t>
      </w:r>
    </w:p>
    <w:p w14:paraId="2DDF85DD">
      <w:pPr>
        <w:pageBreakBefore w:val="0"/>
        <w:widowControl w:val="0"/>
        <w:numPr>
          <w:ilvl w:val="0"/>
          <w:numId w:val="0"/>
        </w:numPr>
        <w:kinsoku/>
        <w:wordWrap/>
        <w:overflowPunct/>
        <w:topLinePunct w:val="0"/>
        <w:autoSpaceDE/>
        <w:autoSpaceDN/>
        <w:bidi w:val="0"/>
        <w:spacing w:line="560" w:lineRule="exact"/>
        <w:ind w:leftChars="200" w:firstLine="320" w:firstLineChars="100"/>
        <w:jc w:val="both"/>
        <w:textAlignment w:val="auto"/>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2.1感染性疾病科 / 发热门诊：</w:t>
      </w:r>
    </w:p>
    <w:p w14:paraId="7BE76780">
      <w:pPr>
        <w:pageBreakBefore w:val="0"/>
        <w:widowControl w:val="0"/>
        <w:numPr>
          <w:ilvl w:val="0"/>
          <w:numId w:val="0"/>
        </w:numPr>
        <w:kinsoku/>
        <w:wordWrap/>
        <w:overflowPunct/>
        <w:topLinePunct w:val="0"/>
        <w:autoSpaceDE/>
        <w:autoSpaceDN/>
        <w:bidi w:val="0"/>
        <w:spacing w:line="560" w:lineRule="exact"/>
        <w:ind w:firstLine="640" w:firstLineChars="200"/>
        <w:jc w:val="both"/>
        <w:textAlignment w:val="auto"/>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蚊、蝇、蟑螂：1 次 / 3 天（以紫外线灭蚊灯、密封式粘蟑盒等物理防制为主，</w:t>
      </w:r>
      <w:r>
        <w:rPr>
          <w:rFonts w:hint="eastAsia" w:ascii="仿宋" w:hAnsi="仿宋" w:eastAsia="仿宋" w:cs="仿宋"/>
          <w:color w:val="auto"/>
          <w:sz w:val="32"/>
          <w:szCs w:val="32"/>
          <w:lang w:val="en-US" w:eastAsia="zh-CN"/>
        </w:rPr>
        <w:t>禁止使用挥发性化学药剂）</w:t>
      </w:r>
      <w:r>
        <w:rPr>
          <w:rFonts w:hint="eastAsia" w:ascii="仿宋" w:hAnsi="仿宋" w:eastAsia="仿宋" w:cs="仿宋"/>
          <w:color w:val="auto"/>
          <w:kern w:val="2"/>
          <w:sz w:val="32"/>
          <w:szCs w:val="32"/>
          <w:lang w:val="en-US" w:eastAsia="zh-CN" w:bidi="ar-SA"/>
        </w:rPr>
        <w:t>；</w:t>
      </w:r>
    </w:p>
    <w:p w14:paraId="3885FE65">
      <w:pPr>
        <w:pageBreakBefore w:val="0"/>
        <w:widowControl w:val="0"/>
        <w:numPr>
          <w:ilvl w:val="0"/>
          <w:numId w:val="0"/>
        </w:numPr>
        <w:kinsoku/>
        <w:wordWrap/>
        <w:overflowPunct/>
        <w:topLinePunct w:val="0"/>
        <w:autoSpaceDE/>
        <w:autoSpaceDN/>
        <w:bidi w:val="0"/>
        <w:spacing w:line="560" w:lineRule="exact"/>
        <w:ind w:firstLine="640" w:firstLineChars="200"/>
        <w:jc w:val="both"/>
        <w:textAlignment w:val="auto"/>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老鼠：每日检查粘鼠板 / 毒饵站，发现痕迹 24 小时内处理，</w:t>
      </w:r>
      <w:r>
        <w:rPr>
          <w:rFonts w:hint="eastAsia" w:ascii="仿宋" w:hAnsi="仿宋" w:eastAsia="仿宋" w:cs="仿宋"/>
          <w:color w:val="auto"/>
          <w:sz w:val="32"/>
          <w:szCs w:val="32"/>
          <w:lang w:val="en-US" w:eastAsia="zh-CN"/>
        </w:rPr>
        <w:t>并书面记录处理情况。</w:t>
      </w:r>
    </w:p>
    <w:p w14:paraId="45F68F15">
      <w:pPr>
        <w:pageBreakBefore w:val="0"/>
        <w:widowControl w:val="0"/>
        <w:numPr>
          <w:ilvl w:val="0"/>
          <w:numId w:val="0"/>
        </w:numPr>
        <w:kinsoku/>
        <w:wordWrap/>
        <w:overflowPunct/>
        <w:topLinePunct w:val="0"/>
        <w:autoSpaceDE/>
        <w:autoSpaceDN/>
        <w:bidi w:val="0"/>
        <w:spacing w:line="560" w:lineRule="exact"/>
        <w:ind w:left="0" w:leftChars="0" w:firstLine="640" w:firstLineChars="200"/>
        <w:jc w:val="both"/>
        <w:textAlignment w:val="auto"/>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2.2手术室 / ICU （洁净区域）：</w:t>
      </w:r>
    </w:p>
    <w:p w14:paraId="1661B606">
      <w:pPr>
        <w:pageBreakBefore w:val="0"/>
        <w:widowControl w:val="0"/>
        <w:numPr>
          <w:ilvl w:val="0"/>
          <w:numId w:val="0"/>
        </w:numPr>
        <w:kinsoku/>
        <w:wordWrap/>
        <w:overflowPunct/>
        <w:topLinePunct w:val="0"/>
        <w:autoSpaceDE/>
        <w:autoSpaceDN/>
        <w:bidi w:val="0"/>
        <w:spacing w:line="560" w:lineRule="exact"/>
        <w:ind w:firstLine="640" w:firstLineChars="200"/>
        <w:jc w:val="both"/>
        <w:textAlignment w:val="auto"/>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禁止化学消杀，仅通过 “物理屏障 + 环境控制” 预防；</w:t>
      </w:r>
    </w:p>
    <w:p w14:paraId="26379B0D">
      <w:pPr>
        <w:pageBreakBefore w:val="0"/>
        <w:widowControl w:val="0"/>
        <w:numPr>
          <w:ilvl w:val="0"/>
          <w:numId w:val="0"/>
        </w:numPr>
        <w:kinsoku/>
        <w:wordWrap/>
        <w:overflowPunct/>
        <w:topLinePunct w:val="0"/>
        <w:autoSpaceDE/>
        <w:autoSpaceDN/>
        <w:bidi w:val="0"/>
        <w:spacing w:line="560" w:lineRule="exact"/>
        <w:ind w:firstLine="640" w:firstLineChars="200"/>
        <w:jc w:val="both"/>
        <w:textAlignment w:val="auto"/>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每月 1 次专业排查（含管道缝隙、设备底部</w:t>
      </w:r>
      <w:r>
        <w:rPr>
          <w:rFonts w:hint="eastAsia" w:ascii="仿宋" w:hAnsi="仿宋" w:eastAsia="仿宋" w:cs="仿宋"/>
          <w:color w:val="auto"/>
          <w:sz w:val="32"/>
          <w:szCs w:val="32"/>
          <w:lang w:val="en-US" w:eastAsia="zh-CN"/>
        </w:rPr>
        <w:t>、吊顶夹层等隐蔽区域</w:t>
      </w:r>
      <w:r>
        <w:rPr>
          <w:rFonts w:hint="eastAsia" w:ascii="仿宋" w:hAnsi="仿宋" w:eastAsia="仿宋" w:cs="仿宋"/>
          <w:color w:val="auto"/>
          <w:kern w:val="2"/>
          <w:sz w:val="32"/>
          <w:szCs w:val="32"/>
          <w:lang w:val="en-US" w:eastAsia="zh-CN" w:bidi="ar-SA"/>
        </w:rPr>
        <w:t>），发现有害生物立即启动“隔离消杀”（采用医用级消毒剂擦拭，</w:t>
      </w:r>
      <w:r>
        <w:rPr>
          <w:rFonts w:hint="eastAsia" w:ascii="仿宋" w:hAnsi="仿宋" w:eastAsia="仿宋" w:cs="仿宋"/>
          <w:color w:val="auto"/>
          <w:sz w:val="32"/>
          <w:szCs w:val="32"/>
          <w:lang w:val="en-US" w:eastAsia="zh-CN"/>
        </w:rPr>
        <w:t>使用一次性消杀工具，</w:t>
      </w:r>
      <w:r>
        <w:rPr>
          <w:rFonts w:hint="eastAsia" w:ascii="仿宋" w:hAnsi="仿宋" w:eastAsia="仿宋" w:cs="仿宋"/>
          <w:color w:val="auto"/>
          <w:kern w:val="2"/>
          <w:sz w:val="32"/>
          <w:szCs w:val="32"/>
          <w:lang w:val="en-US" w:eastAsia="zh-CN" w:bidi="ar-SA"/>
        </w:rPr>
        <w:t>避免污染无菌环境）</w:t>
      </w:r>
      <w:r>
        <w:rPr>
          <w:rFonts w:hint="eastAsia" w:ascii="仿宋" w:hAnsi="仿宋" w:eastAsia="仿宋" w:cs="仿宋"/>
          <w:color w:val="auto"/>
          <w:sz w:val="32"/>
          <w:szCs w:val="32"/>
          <w:lang w:val="en-US" w:eastAsia="zh-CN"/>
        </w:rPr>
        <w:t>并在24小时内提交处理报告。</w:t>
      </w:r>
      <w:r>
        <w:rPr>
          <w:rFonts w:hint="eastAsia" w:ascii="仿宋" w:hAnsi="仿宋" w:eastAsia="仿宋" w:cs="仿宋"/>
          <w:color w:val="auto"/>
          <w:kern w:val="2"/>
          <w:sz w:val="32"/>
          <w:szCs w:val="32"/>
          <w:lang w:val="en-US" w:eastAsia="zh-CN" w:bidi="ar-SA"/>
        </w:rPr>
        <w:t>。</w:t>
      </w:r>
    </w:p>
    <w:p w14:paraId="60B225B9">
      <w:pPr>
        <w:pageBreakBefore w:val="0"/>
        <w:widowControl w:val="0"/>
        <w:numPr>
          <w:ilvl w:val="0"/>
          <w:numId w:val="0"/>
        </w:numPr>
        <w:kinsoku/>
        <w:wordWrap/>
        <w:overflowPunct/>
        <w:topLinePunct w:val="0"/>
        <w:autoSpaceDE/>
        <w:autoSpaceDN/>
        <w:bidi w:val="0"/>
        <w:spacing w:line="560" w:lineRule="exact"/>
        <w:ind w:left="0" w:leftChars="0" w:firstLine="640" w:firstLineChars="200"/>
        <w:jc w:val="both"/>
        <w:textAlignment w:val="auto"/>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2.3药房 / 配餐间 / 检验科：</w:t>
      </w:r>
    </w:p>
    <w:p w14:paraId="5D63A9B8">
      <w:pPr>
        <w:pageBreakBefore w:val="0"/>
        <w:widowControl w:val="0"/>
        <w:numPr>
          <w:ilvl w:val="0"/>
          <w:numId w:val="0"/>
        </w:numPr>
        <w:kinsoku/>
        <w:wordWrap/>
        <w:overflowPunct/>
        <w:topLinePunct w:val="0"/>
        <w:autoSpaceDE/>
        <w:autoSpaceDN/>
        <w:bidi w:val="0"/>
        <w:spacing w:line="560" w:lineRule="exact"/>
        <w:ind w:firstLine="640" w:firstLineChars="200"/>
        <w:jc w:val="both"/>
        <w:textAlignment w:val="auto"/>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蟑螂：1次/ 3 天（仅用凝胶饵剂，投放于货架底部、冰箱后方</w:t>
      </w:r>
      <w:r>
        <w:rPr>
          <w:rFonts w:hint="eastAsia" w:ascii="仿宋" w:hAnsi="仿宋" w:eastAsia="仿宋" w:cs="仿宋"/>
          <w:color w:val="auto"/>
          <w:sz w:val="32"/>
          <w:szCs w:val="32"/>
          <w:lang w:val="en-US" w:eastAsia="zh-CN"/>
        </w:rPr>
        <w:t>、柜子缝隙等隐蔽处，张贴警示标识）</w:t>
      </w:r>
      <w:r>
        <w:rPr>
          <w:rFonts w:hint="eastAsia" w:ascii="仿宋" w:hAnsi="仿宋" w:eastAsia="仿宋" w:cs="仿宋"/>
          <w:color w:val="auto"/>
          <w:kern w:val="2"/>
          <w:sz w:val="32"/>
          <w:szCs w:val="32"/>
          <w:lang w:val="en-US" w:eastAsia="zh-CN" w:bidi="ar-SA"/>
        </w:rPr>
        <w:t>；</w:t>
      </w:r>
    </w:p>
    <w:p w14:paraId="51619FD3">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老鼠：每周更换粘鼠板，毒饵站每10米1个（远离药品/食品储存区</w:t>
      </w:r>
      <w:r>
        <w:rPr>
          <w:rFonts w:hint="eastAsia" w:ascii="仿宋" w:hAnsi="仿宋" w:eastAsia="仿宋" w:cs="仿宋"/>
          <w:color w:val="auto"/>
          <w:sz w:val="32"/>
          <w:szCs w:val="32"/>
          <w:lang w:val="en-US" w:eastAsia="zh-CN"/>
        </w:rPr>
        <w:t>、操作台面，距离不小于1.5米），每月检查毒饵站使用情况并记录。​</w:t>
      </w:r>
    </w:p>
    <w:p w14:paraId="1097CB24">
      <w:pPr>
        <w:pageBreakBefore w:val="0"/>
        <w:widowControl w:val="0"/>
        <w:numPr>
          <w:ilvl w:val="0"/>
          <w:numId w:val="0"/>
        </w:numPr>
        <w:kinsoku/>
        <w:wordWrap/>
        <w:overflowPunct/>
        <w:topLinePunct w:val="0"/>
        <w:autoSpaceDE/>
        <w:autoSpaceDN/>
        <w:bidi w:val="0"/>
        <w:spacing w:line="560" w:lineRule="exact"/>
        <w:ind w:firstLine="640" w:firstLineChars="200"/>
        <w:jc w:val="both"/>
        <w:textAlignment w:val="auto"/>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3、特殊情况的应急调整：</w:t>
      </w:r>
    </w:p>
    <w:p w14:paraId="3EF4C9F0">
      <w:pPr>
        <w:pageBreakBefore w:val="0"/>
        <w:widowControl w:val="0"/>
        <w:numPr>
          <w:ilvl w:val="0"/>
          <w:numId w:val="0"/>
        </w:numPr>
        <w:kinsoku/>
        <w:wordWrap/>
        <w:overflowPunct/>
        <w:topLinePunct w:val="0"/>
        <w:autoSpaceDE/>
        <w:autoSpaceDN/>
        <w:bidi w:val="0"/>
        <w:spacing w:line="560" w:lineRule="exact"/>
        <w:ind w:firstLine="640" w:firstLineChars="200"/>
        <w:jc w:val="both"/>
        <w:textAlignment w:val="auto"/>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3.1有害生物暴发：单科室 1 周内发现≥5只蟑螂/1只活鼠，需24小时内开展全域消杀，后续3天内每日复查，直至连续7天无活动痕迹，复查结果需经采购人科室负责人签字确认。</w:t>
      </w:r>
    </w:p>
    <w:p w14:paraId="6A0D4C50">
      <w:pPr>
        <w:pageBreakBefore w:val="0"/>
        <w:widowControl w:val="0"/>
        <w:numPr>
          <w:ilvl w:val="0"/>
          <w:numId w:val="0"/>
        </w:numPr>
        <w:kinsoku/>
        <w:wordWrap/>
        <w:overflowPunct/>
        <w:topLinePunct w:val="0"/>
        <w:autoSpaceDE/>
        <w:autoSpaceDN/>
        <w:bidi w:val="0"/>
        <w:spacing w:line="560" w:lineRule="exact"/>
        <w:ind w:firstLine="640" w:firstLineChars="200"/>
        <w:jc w:val="both"/>
        <w:textAlignment w:val="auto"/>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3.2传染病流行：如流感、登革热（蚊媒传播）期间，蚊蝇消杀频次提升至1次/3天，增加院区公共区域、患者活动区域的消杀覆盖范围。</w:t>
      </w:r>
    </w:p>
    <w:p w14:paraId="4E026F00">
      <w:pPr>
        <w:pageBreakBefore w:val="0"/>
        <w:widowControl w:val="0"/>
        <w:numPr>
          <w:ilvl w:val="0"/>
          <w:numId w:val="0"/>
        </w:numPr>
        <w:kinsoku/>
        <w:wordWrap/>
        <w:overflowPunct/>
        <w:topLinePunct w:val="0"/>
        <w:autoSpaceDE/>
        <w:autoSpaceDN/>
        <w:bidi w:val="0"/>
        <w:spacing w:line="560" w:lineRule="exact"/>
        <w:ind w:firstLine="640" w:firstLineChars="200"/>
        <w:jc w:val="both"/>
        <w:textAlignment w:val="auto"/>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3.3环境变动后：采购人装修、周边施工期间，供应商需1次/ 2天进行排查（重点检查施工区域周边、物料堆放区），施工后1个月内保持1次/周消杀，防止有害生物迁移扩散。</w:t>
      </w:r>
    </w:p>
    <w:p w14:paraId="3C7A897C">
      <w:pPr>
        <w:pageBreakBefore w:val="0"/>
        <w:widowControl w:val="0"/>
        <w:numPr>
          <w:ilvl w:val="0"/>
          <w:numId w:val="0"/>
        </w:numPr>
        <w:kinsoku/>
        <w:wordWrap/>
        <w:overflowPunct/>
        <w:topLinePunct w:val="0"/>
        <w:autoSpaceDE/>
        <w:autoSpaceDN/>
        <w:bidi w:val="0"/>
        <w:spacing w:line="560" w:lineRule="exact"/>
        <w:ind w:firstLine="640" w:firstLineChars="200"/>
        <w:jc w:val="both"/>
        <w:textAlignment w:val="auto"/>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（四）不同区域特殊防治需求​</w:t>
      </w:r>
    </w:p>
    <w:p w14:paraId="5CB63A63">
      <w:pPr>
        <w:pageBreakBefore w:val="0"/>
        <w:widowControl w:val="0"/>
        <w:numPr>
          <w:ilvl w:val="0"/>
          <w:numId w:val="0"/>
        </w:numPr>
        <w:kinsoku/>
        <w:wordWrap/>
        <w:overflowPunct/>
        <w:topLinePunct w:val="0"/>
        <w:autoSpaceDE/>
        <w:autoSpaceDN/>
        <w:bidi w:val="0"/>
        <w:spacing w:line="560" w:lineRule="exact"/>
        <w:ind w:firstLine="640" w:firstLineChars="200"/>
        <w:jc w:val="both"/>
        <w:textAlignment w:val="auto"/>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病房区域：优先采用物理防治和生物防治方法（如放置粘鼠板）；确需使用化学药剂的，必须选择低毒、无刺激性气味、对人体危害极小的产品（提供产品检测报告），且在患者外出检查、治疗等非休息时间段（建议每日 10:00-11:30、15:00-16:30）施药，施药后关闭门窗30分钟以上，确保充分通风（通风时间不少于1小时），并及时清理残留药剂，不得影响患者治疗和休息；施药区域需提前告知科室护士站，张贴临时警示标识。​</w:t>
      </w:r>
    </w:p>
    <w:p w14:paraId="0C5B97E7">
      <w:pPr>
        <w:pageBreakBefore w:val="0"/>
        <w:widowControl w:val="0"/>
        <w:numPr>
          <w:ilvl w:val="0"/>
          <w:numId w:val="0"/>
        </w:numPr>
        <w:kinsoku/>
        <w:wordWrap/>
        <w:overflowPunct/>
        <w:topLinePunct w:val="0"/>
        <w:autoSpaceDE/>
        <w:autoSpaceDN/>
        <w:bidi w:val="0"/>
        <w:spacing w:line="560" w:lineRule="exact"/>
        <w:ind w:firstLine="640" w:firstLineChars="200"/>
        <w:jc w:val="both"/>
        <w:textAlignment w:val="auto"/>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食堂区域：严格遵守《中华人民共和国食品安全法》等相关法规和标准，防止药剂污染食品及食品加工区域。食品加工操作间内禁止使用化学喷雾类药剂，采用物理捕蝇器、粘鼠板，远离食品操作台）等设备；下水道、垃圾桶等易滋生有害生物的区域，可使用环保型杀虫剂（如生物制剂）定期喷洒，但需确保药剂不进入食品加工和储存区域，施药后对周边环境进行擦拭清理。</w:t>
      </w:r>
    </w:p>
    <w:p w14:paraId="7577C761">
      <w:pPr>
        <w:pageBreakBefore w:val="0"/>
        <w:numPr>
          <w:ilvl w:val="0"/>
          <w:numId w:val="0"/>
        </w:numPr>
        <w:kinsoku/>
        <w:wordWrap/>
        <w:overflowPunct/>
        <w:topLinePunct w:val="0"/>
        <w:autoSpaceDE/>
        <w:autoSpaceDN/>
        <w:bidi w:val="0"/>
        <w:spacing w:line="560" w:lineRule="exact"/>
        <w:ind w:firstLine="643" w:firstLineChars="200"/>
        <w:textAlignment w:val="auto"/>
        <w:rPr>
          <w:rFonts w:hint="eastAsia" w:ascii="仿宋" w:hAnsi="仿宋" w:eastAsia="仿宋" w:cs="仿宋"/>
          <w:b/>
          <w:bCs/>
          <w:color w:val="auto"/>
          <w:sz w:val="32"/>
          <w:szCs w:val="32"/>
          <w:lang w:val="en-US" w:eastAsia="zh-CN"/>
        </w:rPr>
      </w:pPr>
      <w:r>
        <w:rPr>
          <w:rFonts w:hint="eastAsia" w:ascii="仿宋" w:hAnsi="仿宋" w:eastAsia="仿宋" w:cs="仿宋"/>
          <w:b/>
          <w:bCs/>
          <w:color w:val="auto"/>
          <w:kern w:val="2"/>
          <w:sz w:val="32"/>
          <w:szCs w:val="32"/>
          <w:lang w:val="en-US" w:eastAsia="zh-CN" w:bidi="ar-SA"/>
        </w:rPr>
        <w:t>（五）安全与环保要求</w:t>
      </w:r>
    </w:p>
    <w:p w14:paraId="6B0AB56B">
      <w:pPr>
        <w:pageBreakBefore w:val="0"/>
        <w:numPr>
          <w:ilvl w:val="0"/>
          <w:numId w:val="0"/>
        </w:numPr>
        <w:kinsoku/>
        <w:wordWrap/>
        <w:overflowPunct/>
        <w:topLinePunct w:val="0"/>
        <w:autoSpaceDE/>
        <w:autoSpaceDN/>
        <w:bidi w:val="0"/>
        <w:spacing w:line="560" w:lineRule="exact"/>
        <w:ind w:firstLine="640" w:firstLineChars="200"/>
        <w:textAlignment w:val="auto"/>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安全要求：</w:t>
      </w:r>
      <w:r>
        <w:rPr>
          <w:rFonts w:hint="eastAsia" w:ascii="仿宋" w:hAnsi="仿宋" w:eastAsia="仿宋" w:cs="仿宋"/>
          <w:color w:val="auto"/>
          <w:sz w:val="32"/>
          <w:szCs w:val="32"/>
          <w:lang w:val="en-US" w:eastAsia="zh-CN"/>
        </w:rPr>
        <w:t>供应商应确保防治过程中操作人员、采购人医护人员、患者及第三方人员的安全。供应商操作人员必须经过专业培训，持有相关从业资格证书（提供复印件），熟悉药剂使用方法和安全注意事项，作业时穿戴齐全防护服、口罩、手套、护目镜等防护用品。防治药剂应单独妥善存放于密封容器内，远离儿童、宠物及食品、药品可接触范围，防止误食、误触事故发生；药剂运输过程中需做好防泄漏措施。大面积使用化学药剂消杀时，供应商应在作业区域设置明显警示标识（含“正在消杀，请勿靠近”字样及联系方式），提醒人员远离；作业完成后，警示标识保留至通风达标后拆除。若发生药剂泄漏、人员接触中毒等安全事故，供应商应立即启动应急处理，组织救治，并承担全部责任和费用。</w:t>
      </w:r>
    </w:p>
    <w:p w14:paraId="2D0D1BE3">
      <w:pPr>
        <w:pStyle w:val="15"/>
        <w:keepNext w:val="0"/>
        <w:keepLines w:val="0"/>
        <w:pageBreakBefore w:val="0"/>
        <w:kinsoku/>
        <w:wordWrap/>
        <w:overflowPunct/>
        <w:topLinePunct w:val="0"/>
        <w:autoSpaceDE/>
        <w:autoSpaceDN/>
        <w:bidi w:val="0"/>
        <w:spacing w:line="480" w:lineRule="exact"/>
        <w:ind w:firstLine="640" w:firstLineChars="200"/>
        <w:rPr>
          <w:rFonts w:hint="eastAsia" w:ascii="仿宋" w:hAnsi="仿宋" w:eastAsia="仿宋" w:cs="仿宋"/>
          <w:color w:val="auto"/>
          <w:sz w:val="32"/>
          <w:szCs w:val="32"/>
          <w:lang w:val="en-US" w:eastAsia="zh-CN"/>
        </w:rPr>
      </w:pPr>
      <w:r>
        <w:rPr>
          <w:rFonts w:hint="eastAsia" w:ascii="仿宋" w:hAnsi="仿宋" w:eastAsia="仿宋" w:cs="仿宋"/>
          <w:color w:val="auto"/>
          <w:kern w:val="2"/>
          <w:sz w:val="32"/>
          <w:szCs w:val="32"/>
          <w:lang w:val="en-US" w:eastAsia="zh-CN" w:bidi="ar-SA"/>
        </w:rPr>
        <w:t>环保要求：</w:t>
      </w:r>
      <w:r>
        <w:rPr>
          <w:rFonts w:hint="eastAsia" w:ascii="仿宋" w:hAnsi="仿宋" w:eastAsia="仿宋" w:cs="仿宋"/>
          <w:color w:val="auto"/>
          <w:sz w:val="32"/>
          <w:szCs w:val="32"/>
          <w:lang w:val="en-US" w:eastAsia="zh-CN"/>
        </w:rPr>
        <w:t>供应商优先选择环保型防治方法和药剂，所使用的化学药剂必须符合国家相关环保标准（如《农药登记管理办法》），具备低毒、低残留、易降解特性，提供药剂的农药登记证、生产许可证、产品质量检验报告等相关证明文件复印件。不得使用国家明令禁止的高毒、高残留农药（如甲胺磷、六六六等）。防治过程中产生的废弃物（如药剂包装、使用后的粘鼠板、捕虫器具等），需按危险废物或可回收物分类收集，交由具备相应资质的单位处理（提供处理单位资质证明及处置协议复印件），避免污染土壤、水体等环境。同时，应保护有益生物（如鸟类、蜻蜓等）和生态环境，避免对非靶标生物造成伤害。</w:t>
      </w:r>
    </w:p>
    <w:p w14:paraId="38F9B2B6">
      <w:pPr>
        <w:pageBreakBefore w:val="0"/>
        <w:numPr>
          <w:ilvl w:val="0"/>
          <w:numId w:val="0"/>
        </w:numPr>
        <w:kinsoku/>
        <w:wordWrap/>
        <w:overflowPunct/>
        <w:topLinePunct w:val="0"/>
        <w:autoSpaceDE/>
        <w:autoSpaceDN/>
        <w:bidi w:val="0"/>
        <w:spacing w:line="560" w:lineRule="exact"/>
        <w:ind w:left="0" w:leftChars="0" w:firstLine="643" w:firstLineChars="200"/>
        <w:textAlignment w:val="auto"/>
        <w:rPr>
          <w:rFonts w:hint="eastAsia" w:ascii="仿宋" w:hAnsi="仿宋" w:eastAsia="仿宋" w:cs="仿宋"/>
          <w:b/>
          <w:bCs/>
          <w:color w:val="auto"/>
          <w:sz w:val="32"/>
          <w:szCs w:val="32"/>
          <w:lang w:val="en-US" w:eastAsia="zh-CN"/>
        </w:rPr>
      </w:pPr>
      <w:r>
        <w:rPr>
          <w:rFonts w:hint="eastAsia" w:ascii="仿宋" w:hAnsi="仿宋" w:eastAsia="仿宋" w:cs="仿宋"/>
          <w:b/>
          <w:bCs/>
          <w:color w:val="auto"/>
          <w:kern w:val="2"/>
          <w:sz w:val="32"/>
          <w:szCs w:val="32"/>
          <w:lang w:val="en-US" w:eastAsia="zh-CN" w:bidi="ar-SA"/>
        </w:rPr>
        <w:t>（六）</w:t>
      </w:r>
      <w:r>
        <w:rPr>
          <w:rFonts w:hint="eastAsia" w:ascii="仿宋" w:hAnsi="仿宋" w:eastAsia="仿宋" w:cs="仿宋"/>
          <w:b/>
          <w:bCs/>
          <w:color w:val="auto"/>
          <w:sz w:val="32"/>
          <w:szCs w:val="32"/>
          <w:lang w:val="en-US" w:eastAsia="zh-CN"/>
        </w:rPr>
        <w:t>投标人其他资格条件</w:t>
      </w:r>
    </w:p>
    <w:p w14:paraId="15699BA7">
      <w:pPr>
        <w:pageBreakBefore w:val="0"/>
        <w:widowControl w:val="0"/>
        <w:numPr>
          <w:ilvl w:val="0"/>
          <w:numId w:val="0"/>
        </w:numPr>
        <w:kinsoku/>
        <w:wordWrap/>
        <w:overflowPunct/>
        <w:topLinePunct w:val="0"/>
        <w:autoSpaceDE/>
        <w:autoSpaceDN/>
        <w:bidi w:val="0"/>
        <w:spacing w:line="560" w:lineRule="exact"/>
        <w:ind w:firstLine="640" w:firstLineChars="200"/>
        <w:jc w:val="both"/>
        <w:textAlignment w:val="auto"/>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1、投标人必须是在中华人民共和国境内注册，具有独立法人资格的企业或事业单位，持有有效的营业执照或事业单位法人证书，具备独立承担民事责任的能力。​</w:t>
      </w:r>
    </w:p>
    <w:p w14:paraId="28A4982A">
      <w:pPr>
        <w:pageBreakBefore w:val="0"/>
        <w:widowControl w:val="0"/>
        <w:numPr>
          <w:ilvl w:val="0"/>
          <w:numId w:val="0"/>
        </w:numPr>
        <w:kinsoku/>
        <w:wordWrap/>
        <w:overflowPunct/>
        <w:topLinePunct w:val="0"/>
        <w:autoSpaceDE/>
        <w:autoSpaceDN/>
        <w:bidi w:val="0"/>
        <w:spacing w:line="560" w:lineRule="exact"/>
        <w:ind w:left="0" w:leftChars="0" w:firstLine="560" w:firstLineChars="0"/>
        <w:jc w:val="both"/>
        <w:textAlignment w:val="auto"/>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2、具有良好的商业信誉，在近三年内无重大商业欺诈行为、合同违约行为以及其他不良商业记录，在“信用中国” 网站（</w:t>
      </w:r>
      <w:r>
        <w:rPr>
          <w:rFonts w:hint="eastAsia" w:ascii="仿宋" w:hAnsi="仿宋" w:eastAsia="仿宋" w:cs="仿宋"/>
          <w:color w:val="auto"/>
          <w:kern w:val="2"/>
          <w:sz w:val="32"/>
          <w:szCs w:val="32"/>
          <w:lang w:val="en-US" w:eastAsia="zh-CN" w:bidi="ar-SA"/>
        </w:rPr>
        <w:fldChar w:fldCharType="begin"/>
      </w:r>
      <w:r>
        <w:rPr>
          <w:rFonts w:hint="eastAsia" w:ascii="仿宋" w:hAnsi="仿宋" w:eastAsia="仿宋" w:cs="仿宋"/>
          <w:color w:val="auto"/>
          <w:kern w:val="2"/>
          <w:sz w:val="32"/>
          <w:szCs w:val="32"/>
          <w:lang w:val="en-US" w:eastAsia="zh-CN" w:bidi="ar-SA"/>
        </w:rPr>
        <w:instrText xml:space="preserve"> HYPERLINK "https://www.creditchina.gov.cn/" \t "https://www.doubao.com/chat/_blank" </w:instrText>
      </w:r>
      <w:r>
        <w:rPr>
          <w:rFonts w:hint="eastAsia" w:ascii="仿宋" w:hAnsi="仿宋" w:eastAsia="仿宋" w:cs="仿宋"/>
          <w:color w:val="auto"/>
          <w:kern w:val="2"/>
          <w:sz w:val="32"/>
          <w:szCs w:val="32"/>
          <w:lang w:val="en-US" w:eastAsia="zh-CN" w:bidi="ar-SA"/>
        </w:rPr>
        <w:fldChar w:fldCharType="separate"/>
      </w:r>
      <w:r>
        <w:rPr>
          <w:rFonts w:hint="eastAsia" w:ascii="仿宋" w:hAnsi="仿宋" w:eastAsia="仿宋" w:cs="仿宋"/>
          <w:color w:val="auto"/>
          <w:kern w:val="2"/>
          <w:sz w:val="32"/>
          <w:szCs w:val="32"/>
          <w:lang w:val="en-US" w:eastAsia="zh-CN" w:bidi="ar-SA"/>
        </w:rPr>
        <w:t>www.creditchina.gov.cn</w:t>
      </w:r>
      <w:r>
        <w:rPr>
          <w:rFonts w:hint="eastAsia" w:ascii="仿宋" w:hAnsi="仿宋" w:eastAsia="仿宋" w:cs="仿宋"/>
          <w:color w:val="auto"/>
          <w:kern w:val="2"/>
          <w:sz w:val="32"/>
          <w:szCs w:val="32"/>
          <w:lang w:val="en-US" w:eastAsia="zh-CN" w:bidi="ar-SA"/>
        </w:rPr>
        <w:fldChar w:fldCharType="end"/>
      </w:r>
      <w:r>
        <w:rPr>
          <w:rFonts w:hint="eastAsia" w:ascii="仿宋" w:hAnsi="仿宋" w:eastAsia="仿宋" w:cs="仿宋"/>
          <w:color w:val="auto"/>
          <w:kern w:val="2"/>
          <w:sz w:val="32"/>
          <w:szCs w:val="32"/>
          <w:lang w:val="en-US" w:eastAsia="zh-CN" w:bidi="ar-SA"/>
        </w:rPr>
        <w:t>）和中国政府采购网（</w:t>
      </w:r>
      <w:r>
        <w:rPr>
          <w:rFonts w:hint="eastAsia" w:ascii="仿宋" w:hAnsi="仿宋" w:eastAsia="仿宋" w:cs="仿宋"/>
          <w:color w:val="auto"/>
          <w:kern w:val="2"/>
          <w:sz w:val="32"/>
          <w:szCs w:val="32"/>
          <w:lang w:val="en-US" w:eastAsia="zh-CN" w:bidi="ar-SA"/>
        </w:rPr>
        <w:fldChar w:fldCharType="begin"/>
      </w:r>
      <w:r>
        <w:rPr>
          <w:rFonts w:hint="eastAsia" w:ascii="仿宋" w:hAnsi="仿宋" w:eastAsia="仿宋" w:cs="仿宋"/>
          <w:color w:val="auto"/>
          <w:kern w:val="2"/>
          <w:sz w:val="32"/>
          <w:szCs w:val="32"/>
          <w:lang w:val="en-US" w:eastAsia="zh-CN" w:bidi="ar-SA"/>
        </w:rPr>
        <w:instrText xml:space="preserve"> HYPERLINK "https://www.ccgp.gov.cn/" \t "https://www.doubao.com/chat/_blank" </w:instrText>
      </w:r>
      <w:r>
        <w:rPr>
          <w:rFonts w:hint="eastAsia" w:ascii="仿宋" w:hAnsi="仿宋" w:eastAsia="仿宋" w:cs="仿宋"/>
          <w:color w:val="auto"/>
          <w:kern w:val="2"/>
          <w:sz w:val="32"/>
          <w:szCs w:val="32"/>
          <w:lang w:val="en-US" w:eastAsia="zh-CN" w:bidi="ar-SA"/>
        </w:rPr>
        <w:fldChar w:fldCharType="separate"/>
      </w:r>
      <w:r>
        <w:rPr>
          <w:rFonts w:hint="eastAsia" w:ascii="仿宋" w:hAnsi="仿宋" w:eastAsia="仿宋" w:cs="仿宋"/>
          <w:color w:val="auto"/>
          <w:kern w:val="2"/>
          <w:sz w:val="32"/>
          <w:szCs w:val="32"/>
          <w:lang w:val="en-US" w:eastAsia="zh-CN" w:bidi="ar-SA"/>
        </w:rPr>
        <w:t>www.ccgp.gov.cn</w:t>
      </w:r>
      <w:r>
        <w:rPr>
          <w:rFonts w:hint="eastAsia" w:ascii="仿宋" w:hAnsi="仿宋" w:eastAsia="仿宋" w:cs="仿宋"/>
          <w:color w:val="auto"/>
          <w:kern w:val="2"/>
          <w:sz w:val="32"/>
          <w:szCs w:val="32"/>
          <w:lang w:val="en-US" w:eastAsia="zh-CN" w:bidi="ar-SA"/>
        </w:rPr>
        <w:fldChar w:fldCharType="end"/>
      </w:r>
      <w:r>
        <w:rPr>
          <w:rFonts w:hint="eastAsia" w:ascii="仿宋" w:hAnsi="仿宋" w:eastAsia="仿宋" w:cs="仿宋"/>
          <w:color w:val="auto"/>
          <w:kern w:val="2"/>
          <w:sz w:val="32"/>
          <w:szCs w:val="32"/>
          <w:lang w:val="en-US" w:eastAsia="zh-CN" w:bidi="ar-SA"/>
        </w:rPr>
        <w:t>）等相关信用查询平台上无失信记录。</w:t>
      </w:r>
    </w:p>
    <w:p w14:paraId="7F316696">
      <w:pPr>
        <w:pageBreakBefore w:val="0"/>
        <w:widowControl w:val="0"/>
        <w:numPr>
          <w:ilvl w:val="0"/>
          <w:numId w:val="0"/>
        </w:numPr>
        <w:kinsoku/>
        <w:wordWrap/>
        <w:overflowPunct/>
        <w:topLinePunct w:val="0"/>
        <w:autoSpaceDE/>
        <w:autoSpaceDN/>
        <w:bidi w:val="0"/>
        <w:spacing w:line="560" w:lineRule="exact"/>
        <w:ind w:left="0" w:leftChars="0" w:firstLine="560" w:firstLineChars="0"/>
        <w:jc w:val="both"/>
        <w:textAlignment w:val="auto"/>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3、拥有健全的财务会计制度，提供近3年经审计的财务报告，包括资产负债表、利润表、现金流量表等，财务状况良好，具有较强的资金实力和抗风险能力。​</w:t>
      </w:r>
    </w:p>
    <w:p w14:paraId="1C997CBF">
      <w:pPr>
        <w:pageBreakBefore w:val="0"/>
        <w:widowControl w:val="0"/>
        <w:numPr>
          <w:ilvl w:val="0"/>
          <w:numId w:val="0"/>
        </w:numPr>
        <w:kinsoku/>
        <w:wordWrap/>
        <w:overflowPunct/>
        <w:topLinePunct w:val="0"/>
        <w:autoSpaceDE/>
        <w:autoSpaceDN/>
        <w:bidi w:val="0"/>
        <w:spacing w:line="560" w:lineRule="exact"/>
        <w:ind w:left="0" w:leftChars="0" w:firstLine="560" w:firstLineChars="0"/>
        <w:jc w:val="both"/>
        <w:textAlignment w:val="auto"/>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4、具备依法缴纳税收和社会保障资金的良好记录，提供近 6个月依法缴纳税收和社会保障资金的证明材料，如纳税凭证、社保缴纳凭证等。​</w:t>
      </w:r>
    </w:p>
    <w:p w14:paraId="0E261BA8">
      <w:pPr>
        <w:pageBreakBefore w:val="0"/>
        <w:widowControl w:val="0"/>
        <w:numPr>
          <w:ilvl w:val="0"/>
          <w:numId w:val="0"/>
        </w:numPr>
        <w:kinsoku/>
        <w:wordWrap/>
        <w:overflowPunct/>
        <w:topLinePunct w:val="0"/>
        <w:autoSpaceDE/>
        <w:autoSpaceDN/>
        <w:bidi w:val="0"/>
        <w:spacing w:line="560" w:lineRule="exact"/>
        <w:ind w:left="0" w:leftChars="0" w:firstLine="560" w:firstLineChars="0"/>
        <w:jc w:val="both"/>
        <w:textAlignment w:val="auto"/>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5、参加本次招标活动前三年内，在经营活动中没有重大违法记录，提供书面声明函，声明在过往经营中未发生过重大违法违规事件，未受到相关行政部门的重大处罚。​</w:t>
      </w:r>
    </w:p>
    <w:p w14:paraId="43F6BE87">
      <w:pPr>
        <w:pageBreakBefore w:val="0"/>
        <w:widowControl w:val="0"/>
        <w:numPr>
          <w:ilvl w:val="0"/>
          <w:numId w:val="0"/>
        </w:numPr>
        <w:kinsoku/>
        <w:wordWrap/>
        <w:overflowPunct/>
        <w:topLinePunct w:val="0"/>
        <w:autoSpaceDE/>
        <w:autoSpaceDN/>
        <w:bidi w:val="0"/>
        <w:spacing w:line="560" w:lineRule="exact"/>
        <w:ind w:left="0" w:leftChars="0" w:firstLine="560" w:firstLineChars="0"/>
        <w:jc w:val="both"/>
        <w:textAlignment w:val="auto"/>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6、专业资质</w:t>
      </w:r>
    </w:p>
    <w:p w14:paraId="7EEBE492">
      <w:pPr>
        <w:pageBreakBefore w:val="0"/>
        <w:widowControl w:val="0"/>
        <w:numPr>
          <w:ilvl w:val="0"/>
          <w:numId w:val="0"/>
        </w:numPr>
        <w:kinsoku/>
        <w:wordWrap/>
        <w:overflowPunct/>
        <w:topLinePunct w:val="0"/>
        <w:autoSpaceDE/>
        <w:autoSpaceDN/>
        <w:bidi w:val="0"/>
        <w:spacing w:line="560" w:lineRule="exact"/>
        <w:ind w:left="0" w:leftChars="0" w:firstLine="640" w:firstLineChars="200"/>
        <w:jc w:val="both"/>
        <w:textAlignment w:val="auto"/>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6.1具备有效的《有害生物防治服务企业》资质证书，且资质达到国家 B 级及以上，该证书需由合法的行业认证机构或相关主管部门颁发，以证明其在有害生物防治领域的专业能力和技术水平。</w:t>
      </w:r>
    </w:p>
    <w:p w14:paraId="2AA5D8C8">
      <w:pPr>
        <w:pageBreakBefore w:val="0"/>
        <w:widowControl w:val="0"/>
        <w:numPr>
          <w:ilvl w:val="0"/>
          <w:numId w:val="0"/>
        </w:numPr>
        <w:kinsoku/>
        <w:wordWrap/>
        <w:overflowPunct/>
        <w:topLinePunct w:val="0"/>
        <w:autoSpaceDE/>
        <w:autoSpaceDN/>
        <w:bidi w:val="0"/>
        <w:spacing w:line="560" w:lineRule="exact"/>
        <w:ind w:left="0" w:leftChars="0" w:firstLine="560" w:firstLineChars="0"/>
        <w:jc w:val="both"/>
        <w:textAlignment w:val="auto"/>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6.2若涉及农药使用，投标人须持有有效的《农药经营许可证》，且许可经营范围涵盖本项目所需的农药品类，确保其具备合法经营和使用农药的资格。​</w:t>
      </w:r>
    </w:p>
    <w:p w14:paraId="006CD94E">
      <w:pPr>
        <w:pageBreakBefore w:val="0"/>
        <w:widowControl w:val="0"/>
        <w:numPr>
          <w:ilvl w:val="0"/>
          <w:numId w:val="0"/>
        </w:numPr>
        <w:kinsoku/>
        <w:wordWrap/>
        <w:overflowPunct/>
        <w:topLinePunct w:val="0"/>
        <w:autoSpaceDE/>
        <w:autoSpaceDN/>
        <w:bidi w:val="0"/>
        <w:spacing w:line="560" w:lineRule="exact"/>
        <w:ind w:left="0" w:leftChars="0" w:firstLine="560" w:firstLineChars="0"/>
        <w:jc w:val="both"/>
        <w:textAlignment w:val="auto"/>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6.3主要技术人员需持有相关的有害生物防治职业资格证书，如有害生物防治员证等，且人数不少于4人，以保障服务团队具备专业的技术能力和操作技能。</w:t>
      </w:r>
    </w:p>
    <w:p w14:paraId="336C296E">
      <w:pPr>
        <w:pageBreakBefore w:val="0"/>
        <w:widowControl w:val="0"/>
        <w:numPr>
          <w:ilvl w:val="0"/>
          <w:numId w:val="0"/>
        </w:numPr>
        <w:kinsoku/>
        <w:wordWrap/>
        <w:overflowPunct/>
        <w:topLinePunct w:val="0"/>
        <w:autoSpaceDE/>
        <w:autoSpaceDN/>
        <w:bidi w:val="0"/>
        <w:spacing w:line="560" w:lineRule="exact"/>
        <w:ind w:left="0" w:leftChars="0" w:firstLine="560" w:firstLineChars="0"/>
        <w:jc w:val="both"/>
        <w:textAlignment w:val="auto"/>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7、业绩要求​</w:t>
      </w:r>
    </w:p>
    <w:p w14:paraId="006F871C">
      <w:pPr>
        <w:pageBreakBefore w:val="0"/>
        <w:widowControl w:val="0"/>
        <w:numPr>
          <w:ilvl w:val="0"/>
          <w:numId w:val="0"/>
        </w:numPr>
        <w:kinsoku/>
        <w:wordWrap/>
        <w:overflowPunct/>
        <w:topLinePunct w:val="0"/>
        <w:autoSpaceDE/>
        <w:autoSpaceDN/>
        <w:bidi w:val="0"/>
        <w:spacing w:line="560" w:lineRule="exact"/>
        <w:ind w:left="0" w:leftChars="0" w:firstLine="640" w:firstLineChars="200"/>
        <w:jc w:val="both"/>
        <w:textAlignment w:val="auto"/>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7.1投标人需提供近 5年内类似项目业绩合同至少3份，类似项目指医疗区或生活区的有害生物防治项目，以证明其具备丰富的实践经验和成功案例。</w:t>
      </w:r>
    </w:p>
    <w:p w14:paraId="5FAA9C97">
      <w:pPr>
        <w:pageBreakBefore w:val="0"/>
        <w:widowControl w:val="0"/>
        <w:numPr>
          <w:ilvl w:val="0"/>
          <w:numId w:val="0"/>
        </w:numPr>
        <w:kinsoku/>
        <w:wordWrap/>
        <w:overflowPunct/>
        <w:topLinePunct w:val="0"/>
        <w:autoSpaceDE/>
        <w:autoSpaceDN/>
        <w:bidi w:val="0"/>
        <w:spacing w:line="560" w:lineRule="exact"/>
        <w:ind w:left="0" w:leftChars="0" w:firstLine="560" w:firstLineChars="0"/>
        <w:jc w:val="both"/>
        <w:textAlignment w:val="auto"/>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7.2提供的业绩合同需包含项目名称、服务内容、服务期限、合同金额、采购人联系方式等关键信息，以便招标人进行核实和评估。</w:t>
      </w:r>
    </w:p>
    <w:p w14:paraId="4415F74B">
      <w:pPr>
        <w:pageBreakBefore w:val="0"/>
        <w:widowControl w:val="0"/>
        <w:numPr>
          <w:ilvl w:val="0"/>
          <w:numId w:val="0"/>
        </w:numPr>
        <w:kinsoku/>
        <w:wordWrap/>
        <w:overflowPunct/>
        <w:topLinePunct w:val="0"/>
        <w:autoSpaceDE/>
        <w:autoSpaceDN/>
        <w:bidi w:val="0"/>
        <w:spacing w:line="560" w:lineRule="exact"/>
        <w:ind w:left="0" w:leftChars="0" w:firstLine="560" w:firstLineChars="0"/>
        <w:jc w:val="both"/>
        <w:textAlignment w:val="auto"/>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7.3需提供至少一份由采购人出具的服务质量评价报告或满意度证明，评价结果为良好及以上，以证明其过往服务得到客户认可，具备良好的服务能力和服务质量。​</w:t>
      </w:r>
    </w:p>
    <w:p w14:paraId="21A2FB6B">
      <w:pPr>
        <w:pageBreakBefore w:val="0"/>
        <w:numPr>
          <w:ilvl w:val="0"/>
          <w:numId w:val="0"/>
        </w:numPr>
        <w:kinsoku/>
        <w:wordWrap/>
        <w:overflowPunct/>
        <w:topLinePunct w:val="0"/>
        <w:autoSpaceDE/>
        <w:autoSpaceDN/>
        <w:bidi w:val="0"/>
        <w:spacing w:line="560" w:lineRule="exact"/>
        <w:ind w:firstLine="643" w:firstLineChars="200"/>
        <w:textAlignment w:val="auto"/>
        <w:rPr>
          <w:rFonts w:hint="eastAsia" w:ascii="仿宋" w:hAnsi="仿宋" w:eastAsia="仿宋" w:cs="仿宋"/>
          <w:b/>
          <w:bCs/>
          <w:color w:val="auto"/>
          <w:sz w:val="32"/>
          <w:szCs w:val="32"/>
          <w:lang w:val="en-US" w:eastAsia="zh-CN"/>
        </w:rPr>
      </w:pPr>
      <w:r>
        <w:rPr>
          <w:rFonts w:hint="eastAsia" w:ascii="仿宋" w:hAnsi="仿宋" w:eastAsia="仿宋" w:cs="仿宋"/>
          <w:b/>
          <w:bCs/>
          <w:color w:val="auto"/>
          <w:sz w:val="32"/>
          <w:szCs w:val="32"/>
          <w:lang w:val="en-US" w:eastAsia="zh-CN"/>
        </w:rPr>
        <w:t>（七）其他要求</w:t>
      </w:r>
    </w:p>
    <w:p w14:paraId="025E6B63">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b/>
          <w:bCs/>
          <w:color w:val="auto"/>
          <w:sz w:val="32"/>
          <w:szCs w:val="32"/>
        </w:rPr>
      </w:pPr>
      <w:r>
        <w:rPr>
          <w:rFonts w:hint="eastAsia" w:ascii="仿宋" w:hAnsi="仿宋" w:eastAsia="仿宋" w:cs="仿宋"/>
          <w:b/>
          <w:bCs/>
          <w:color w:val="auto"/>
          <w:sz w:val="32"/>
          <w:szCs w:val="32"/>
          <w:lang w:val="en-US" w:eastAsia="zh-CN"/>
        </w:rPr>
        <w:t>1、</w:t>
      </w:r>
      <w:r>
        <w:rPr>
          <w:rFonts w:hint="eastAsia" w:ascii="仿宋" w:hAnsi="仿宋" w:eastAsia="仿宋" w:cs="仿宋"/>
          <w:b/>
          <w:bCs/>
          <w:color w:val="auto"/>
          <w:sz w:val="32"/>
          <w:szCs w:val="32"/>
          <w:highlight w:val="none"/>
          <w:lang w:val="en-US" w:eastAsia="zh-CN"/>
        </w:rPr>
        <w:t>采购人</w:t>
      </w:r>
      <w:r>
        <w:rPr>
          <w:rFonts w:hint="eastAsia" w:ascii="仿宋" w:hAnsi="仿宋" w:eastAsia="仿宋" w:cs="仿宋"/>
          <w:b/>
          <w:bCs/>
          <w:color w:val="auto"/>
          <w:sz w:val="32"/>
          <w:szCs w:val="32"/>
          <w:highlight w:val="none"/>
        </w:rPr>
        <w:t>每季度</w:t>
      </w:r>
      <w:r>
        <w:rPr>
          <w:rFonts w:hint="eastAsia" w:ascii="仿宋" w:hAnsi="仿宋" w:eastAsia="仿宋" w:cs="仿宋"/>
          <w:b/>
          <w:bCs/>
          <w:color w:val="auto"/>
          <w:sz w:val="32"/>
          <w:szCs w:val="32"/>
          <w:highlight w:val="none"/>
          <w:lang w:val="en-US" w:eastAsia="zh-CN"/>
        </w:rPr>
        <w:t>进行服务质量科室满意度调查</w:t>
      </w:r>
      <w:r>
        <w:rPr>
          <w:rFonts w:hint="eastAsia" w:ascii="仿宋" w:hAnsi="仿宋" w:eastAsia="仿宋" w:cs="仿宋"/>
          <w:b/>
          <w:bCs/>
          <w:color w:val="auto"/>
          <w:sz w:val="32"/>
          <w:szCs w:val="32"/>
          <w:highlight w:val="none"/>
        </w:rPr>
        <w:t>（所有科室名单由</w:t>
      </w:r>
      <w:r>
        <w:rPr>
          <w:rFonts w:hint="eastAsia" w:ascii="仿宋" w:hAnsi="仿宋" w:eastAsia="仿宋" w:cs="仿宋"/>
          <w:b/>
          <w:bCs/>
          <w:color w:val="auto"/>
          <w:sz w:val="32"/>
          <w:szCs w:val="32"/>
          <w:highlight w:val="none"/>
          <w:lang w:eastAsia="zh-CN"/>
        </w:rPr>
        <w:t>采购人</w:t>
      </w:r>
      <w:r>
        <w:rPr>
          <w:rFonts w:hint="eastAsia" w:ascii="仿宋" w:hAnsi="仿宋" w:eastAsia="仿宋" w:cs="仿宋"/>
          <w:b/>
          <w:bCs/>
          <w:color w:val="auto"/>
          <w:sz w:val="32"/>
          <w:szCs w:val="32"/>
          <w:highlight w:val="none"/>
        </w:rPr>
        <w:t>提供，每季度满意度调查以</w:t>
      </w:r>
      <w:r>
        <w:rPr>
          <w:rFonts w:hint="eastAsia" w:ascii="仿宋" w:hAnsi="仿宋" w:eastAsia="仿宋" w:cs="仿宋"/>
          <w:b/>
          <w:bCs/>
          <w:color w:val="auto"/>
          <w:sz w:val="32"/>
          <w:szCs w:val="32"/>
          <w:highlight w:val="none"/>
          <w:lang w:val="en-US" w:eastAsia="zh-CN"/>
        </w:rPr>
        <w:t>5</w:t>
      </w:r>
      <w:r>
        <w:rPr>
          <w:rFonts w:hint="eastAsia" w:ascii="仿宋" w:hAnsi="仿宋" w:eastAsia="仿宋" w:cs="仿宋"/>
          <w:b/>
          <w:bCs/>
          <w:color w:val="auto"/>
          <w:sz w:val="32"/>
          <w:szCs w:val="32"/>
          <w:highlight w:val="none"/>
        </w:rPr>
        <w:t>个科室以上为基数，每季度调查科室须不同）</w:t>
      </w:r>
      <w:r>
        <w:rPr>
          <w:rFonts w:hint="eastAsia" w:ascii="仿宋" w:hAnsi="仿宋" w:eastAsia="仿宋" w:cs="仿宋"/>
          <w:b/>
          <w:bCs/>
          <w:color w:val="auto"/>
          <w:sz w:val="32"/>
          <w:szCs w:val="32"/>
          <w:highlight w:val="none"/>
          <w:lang w:val="en-US" w:eastAsia="zh-CN"/>
        </w:rPr>
        <w:t>，供应商确保每次</w:t>
      </w:r>
      <w:r>
        <w:rPr>
          <w:rFonts w:hint="eastAsia" w:ascii="仿宋" w:hAnsi="仿宋" w:eastAsia="仿宋" w:cs="仿宋"/>
          <w:b/>
          <w:bCs/>
          <w:color w:val="auto"/>
          <w:sz w:val="32"/>
          <w:szCs w:val="32"/>
          <w:highlight w:val="none"/>
        </w:rPr>
        <w:t>调查</w:t>
      </w:r>
      <w:r>
        <w:rPr>
          <w:rFonts w:hint="eastAsia" w:ascii="仿宋" w:hAnsi="仿宋" w:eastAsia="仿宋" w:cs="仿宋"/>
          <w:b/>
          <w:bCs/>
          <w:color w:val="auto"/>
          <w:sz w:val="32"/>
          <w:szCs w:val="32"/>
          <w:highlight w:val="none"/>
          <w:lang w:val="en-US" w:eastAsia="zh-CN"/>
        </w:rPr>
        <w:t>满意率</w:t>
      </w:r>
      <w:r>
        <w:rPr>
          <w:rFonts w:hint="eastAsia" w:ascii="仿宋" w:hAnsi="仿宋" w:eastAsia="仿宋" w:cs="仿宋"/>
          <w:b/>
          <w:bCs/>
          <w:color w:val="auto"/>
          <w:sz w:val="32"/>
          <w:szCs w:val="32"/>
          <w:highlight w:val="none"/>
        </w:rPr>
        <w:t>达到90%以上</w:t>
      </w:r>
      <w:r>
        <w:rPr>
          <w:rFonts w:hint="eastAsia" w:ascii="仿宋" w:hAnsi="仿宋" w:eastAsia="仿宋" w:cs="仿宋"/>
          <w:b/>
          <w:bCs/>
          <w:color w:val="auto"/>
          <w:sz w:val="32"/>
          <w:szCs w:val="32"/>
        </w:rPr>
        <w:t>。</w:t>
      </w:r>
      <w:r>
        <w:rPr>
          <w:rFonts w:hint="eastAsia" w:ascii="仿宋" w:hAnsi="仿宋" w:eastAsia="仿宋" w:cs="仿宋"/>
          <w:b/>
          <w:bCs/>
          <w:color w:val="auto"/>
          <w:sz w:val="32"/>
          <w:szCs w:val="32"/>
          <w:highlight w:val="none"/>
          <w:lang w:val="en-US" w:eastAsia="zh-CN"/>
        </w:rPr>
        <w:t>如因医院运营需要调整满意度调查科室基数，甲、乙双方另行协商并签订补充协议。</w:t>
      </w:r>
    </w:p>
    <w:p w14:paraId="0DB111D5">
      <w:pPr>
        <w:pageBreakBefore w:val="0"/>
        <w:numPr>
          <w:ilvl w:val="0"/>
          <w:numId w:val="0"/>
        </w:numPr>
        <w:kinsoku/>
        <w:wordWrap/>
        <w:overflowPunct/>
        <w:topLinePunct w:val="0"/>
        <w:autoSpaceDE/>
        <w:autoSpaceDN/>
        <w:bidi w:val="0"/>
        <w:spacing w:line="560" w:lineRule="exact"/>
        <w:ind w:firstLine="640" w:firstLineChars="200"/>
        <w:textAlignment w:val="auto"/>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2、严禁转包、分包，否则采购人可单方面终止合同。</w:t>
      </w:r>
    </w:p>
    <w:p w14:paraId="7CFBB2B8">
      <w:pPr>
        <w:pageBreakBefore w:val="0"/>
        <w:numPr>
          <w:ilvl w:val="0"/>
          <w:numId w:val="0"/>
        </w:numPr>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s="仿宋"/>
          <w:b w:val="0"/>
          <w:bCs w:val="0"/>
          <w:color w:val="auto"/>
          <w:sz w:val="32"/>
          <w:szCs w:val="32"/>
          <w:lang w:val="en-US" w:eastAsia="zh-CN"/>
        </w:rPr>
      </w:pPr>
      <w:r>
        <w:rPr>
          <w:rFonts w:hint="eastAsia" w:ascii="仿宋" w:hAnsi="仿宋" w:eastAsia="仿宋" w:cs="仿宋"/>
          <w:b w:val="0"/>
          <w:bCs w:val="0"/>
          <w:color w:val="auto"/>
          <w:sz w:val="32"/>
          <w:szCs w:val="32"/>
          <w:lang w:val="en-US" w:eastAsia="zh-CN"/>
        </w:rPr>
        <w:t>3、固定经营场所，须提供场所租赁合同或产权证明材料复印件，原件备查。</w:t>
      </w:r>
    </w:p>
    <w:p w14:paraId="3F9947D8">
      <w:pPr>
        <w:pageBreakBefore w:val="0"/>
        <w:numPr>
          <w:ilvl w:val="0"/>
          <w:numId w:val="0"/>
        </w:numPr>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s="仿宋"/>
          <w:b w:val="0"/>
          <w:bCs w:val="0"/>
          <w:color w:val="auto"/>
          <w:sz w:val="32"/>
          <w:szCs w:val="32"/>
          <w:lang w:val="en-US" w:eastAsia="zh-CN"/>
        </w:rPr>
      </w:pPr>
      <w:r>
        <w:rPr>
          <w:rFonts w:hint="eastAsia" w:ascii="仿宋" w:hAnsi="仿宋" w:eastAsia="仿宋" w:cs="仿宋"/>
          <w:b w:val="0"/>
          <w:bCs w:val="0"/>
          <w:color w:val="auto"/>
          <w:sz w:val="32"/>
          <w:szCs w:val="32"/>
          <w:lang w:val="en-US" w:eastAsia="zh-CN"/>
        </w:rPr>
        <w:t>4、有害生物防制应符合创建国家卫生城市标准。</w:t>
      </w:r>
    </w:p>
    <w:p w14:paraId="77F5880F">
      <w:pPr>
        <w:pageBreakBefore w:val="0"/>
        <w:numPr>
          <w:ilvl w:val="0"/>
          <w:numId w:val="0"/>
        </w:numPr>
        <w:kinsoku/>
        <w:wordWrap/>
        <w:overflowPunct/>
        <w:topLinePunct w:val="0"/>
        <w:autoSpaceDE/>
        <w:autoSpaceDN/>
        <w:bidi w:val="0"/>
        <w:spacing w:line="560" w:lineRule="exact"/>
        <w:ind w:firstLine="643" w:firstLineChars="200"/>
        <w:textAlignment w:val="auto"/>
        <w:rPr>
          <w:rFonts w:hint="eastAsia" w:ascii="仿宋" w:hAnsi="仿宋" w:eastAsia="仿宋" w:cs="仿宋"/>
          <w:b/>
          <w:bCs/>
          <w:color w:val="auto"/>
          <w:sz w:val="32"/>
          <w:szCs w:val="32"/>
          <w:lang w:val="en-US" w:eastAsia="zh-CN"/>
        </w:rPr>
      </w:pPr>
      <w:r>
        <w:rPr>
          <w:rFonts w:hint="eastAsia" w:ascii="仿宋" w:hAnsi="仿宋" w:eastAsia="仿宋" w:cs="仿宋"/>
          <w:b/>
          <w:bCs/>
          <w:color w:val="auto"/>
          <w:sz w:val="32"/>
          <w:szCs w:val="32"/>
          <w:lang w:val="en-US" w:eastAsia="zh-CN"/>
        </w:rPr>
        <w:t>（八）付款方式</w:t>
      </w:r>
    </w:p>
    <w:p w14:paraId="7E4F0BBB">
      <w:pPr>
        <w:pageBreakBefore w:val="0"/>
        <w:numPr>
          <w:ilvl w:val="0"/>
          <w:numId w:val="0"/>
        </w:numPr>
        <w:kinsoku/>
        <w:wordWrap/>
        <w:overflowPunct/>
        <w:topLinePunct w:val="0"/>
        <w:autoSpaceDE/>
        <w:autoSpaceDN/>
        <w:bidi w:val="0"/>
        <w:spacing w:line="560" w:lineRule="exact"/>
        <w:ind w:firstLine="640" w:firstLineChars="200"/>
        <w:textAlignment w:val="auto"/>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采取分期结算方式，服务期每满一年后支付服务费用总额的30%，第三年结束、服务期限届满后支付服务费用总额的40%。所有款项均按财务规定付款。</w:t>
      </w:r>
    </w:p>
    <w:p w14:paraId="7DD41F85">
      <w:pPr>
        <w:pageBreakBefore w:val="0"/>
        <w:numPr>
          <w:ilvl w:val="0"/>
          <w:numId w:val="0"/>
        </w:numPr>
        <w:kinsoku/>
        <w:wordWrap/>
        <w:overflowPunct/>
        <w:topLinePunct w:val="0"/>
        <w:autoSpaceDE/>
        <w:autoSpaceDN/>
        <w:bidi w:val="0"/>
        <w:spacing w:line="560" w:lineRule="exact"/>
        <w:ind w:firstLine="643" w:firstLineChars="200"/>
        <w:textAlignment w:val="auto"/>
        <w:rPr>
          <w:rFonts w:hint="eastAsia" w:ascii="仿宋" w:hAnsi="仿宋" w:eastAsia="仿宋" w:cs="仿宋"/>
          <w:b/>
          <w:bCs/>
          <w:color w:val="auto"/>
          <w:sz w:val="32"/>
          <w:szCs w:val="32"/>
          <w:lang w:val="en-US" w:eastAsia="zh-CN"/>
        </w:rPr>
      </w:pPr>
      <w:r>
        <w:rPr>
          <w:rFonts w:hint="eastAsia" w:ascii="仿宋" w:hAnsi="仿宋" w:eastAsia="仿宋" w:cs="仿宋"/>
          <w:b/>
          <w:bCs/>
          <w:color w:val="auto"/>
          <w:sz w:val="32"/>
          <w:szCs w:val="32"/>
          <w:lang w:val="en-US" w:eastAsia="zh-CN"/>
        </w:rPr>
        <w:t>（九）违约责任</w:t>
      </w:r>
    </w:p>
    <w:p w14:paraId="2161030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如服务商单方面解除合同或采购人因服务商原因解除合同，服务商除赔偿采购人由此造成的全部经济损失外，还须按服务费用总额30%的标准支付违约金。</w:t>
      </w:r>
    </w:p>
    <w:p w14:paraId="74F55D57">
      <w:pPr>
        <w:pStyle w:val="15"/>
        <w:rPr>
          <w:rFonts w:hint="default"/>
          <w:lang w:val="en-US" w:eastAsia="zh-CN"/>
        </w:rPr>
      </w:pPr>
    </w:p>
    <w:p w14:paraId="41EA6699">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562"/>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三</w:t>
      </w:r>
      <w:r>
        <w:rPr>
          <w:rFonts w:hint="eastAsia" w:ascii="仿宋_GB2312" w:hAnsi="Times New Roman" w:eastAsia="仿宋_GB2312" w:cs="仿宋_GB2312"/>
          <w:bCs/>
          <w:color w:val="auto"/>
          <w:kern w:val="0"/>
          <w:sz w:val="28"/>
          <w:szCs w:val="28"/>
          <w:lang w:val="en-US" w:eastAsia="zh-CN" w:bidi="ar-SA"/>
        </w:rPr>
        <w:t>、</w:t>
      </w:r>
      <w:r>
        <w:rPr>
          <w:rFonts w:hint="default" w:ascii="仿宋_GB2312" w:hAnsi="Times New Roman" w:eastAsia="仿宋_GB2312" w:cs="仿宋_GB2312"/>
          <w:bCs/>
          <w:color w:val="auto"/>
          <w:kern w:val="0"/>
          <w:sz w:val="28"/>
          <w:szCs w:val="28"/>
          <w:lang w:val="en-US" w:eastAsia="zh-CN" w:bidi="ar-SA"/>
        </w:rPr>
        <w:t>标书要求</w:t>
      </w:r>
    </w:p>
    <w:p w14:paraId="2CC67DB6">
      <w:pPr>
        <w:keepNext w:val="0"/>
        <w:keepLines w:val="0"/>
        <w:pageBreakBefore w:val="0"/>
        <w:kinsoku/>
        <w:wordWrap/>
        <w:overflowPunct/>
        <w:topLinePunct w:val="0"/>
        <w:autoSpaceDE/>
        <w:autoSpaceDN/>
        <w:bidi w:val="0"/>
        <w:adjustRightInd/>
        <w:snapToGrid/>
        <w:spacing w:line="440" w:lineRule="exact"/>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1、封面：需注明标的名称、投标文件、单位、时间；</w:t>
      </w:r>
    </w:p>
    <w:p w14:paraId="2199F5FB">
      <w:pPr>
        <w:pageBreakBefore w:val="0"/>
        <w:kinsoku/>
        <w:wordWrap/>
        <w:overflowPunct/>
        <w:topLinePunct w:val="0"/>
        <w:bidi w:val="0"/>
        <w:spacing w:line="440" w:lineRule="exact"/>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2、“三证合一”或“五证合一”营业执照；</w:t>
      </w:r>
    </w:p>
    <w:p w14:paraId="45409F28">
      <w:pPr>
        <w:pageBreakBefore w:val="0"/>
        <w:kinsoku/>
        <w:wordWrap/>
        <w:overflowPunct/>
        <w:topLinePunct w:val="0"/>
        <w:bidi w:val="0"/>
        <w:spacing w:line="440" w:lineRule="exact"/>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3</w:t>
      </w:r>
      <w:r>
        <w:rPr>
          <w:rFonts w:hint="eastAsia" w:ascii="仿宋_GB2312" w:hAnsi="Times New Roman" w:eastAsia="仿宋_GB2312" w:cs="仿宋_GB2312"/>
          <w:bCs/>
          <w:color w:val="auto"/>
          <w:kern w:val="0"/>
          <w:sz w:val="28"/>
          <w:szCs w:val="28"/>
          <w:lang w:val="en-US" w:eastAsia="zh-CN" w:bidi="ar-SA"/>
        </w:rPr>
        <w:t>、履行本项目所必需的资质证明；</w:t>
      </w:r>
    </w:p>
    <w:p w14:paraId="7CA238F1">
      <w:pPr>
        <w:pageBreakBefore w:val="0"/>
        <w:kinsoku/>
        <w:wordWrap/>
        <w:overflowPunct/>
        <w:topLinePunct w:val="0"/>
        <w:bidi w:val="0"/>
        <w:spacing w:line="440" w:lineRule="exact"/>
        <w:ind w:firstLine="560" w:firstLineChars="200"/>
        <w:textAlignment w:val="auto"/>
        <w:rPr>
          <w:rFonts w:hint="default"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4</w:t>
      </w:r>
      <w:r>
        <w:rPr>
          <w:rFonts w:hint="eastAsia" w:ascii="仿宋_GB2312" w:hAnsi="Times New Roman" w:eastAsia="仿宋_GB2312" w:cs="仿宋_GB2312"/>
          <w:bCs/>
          <w:color w:val="auto"/>
          <w:kern w:val="0"/>
          <w:sz w:val="28"/>
          <w:szCs w:val="28"/>
          <w:lang w:val="en-US" w:eastAsia="zh-CN" w:bidi="ar-SA"/>
        </w:rPr>
        <w:t>、投标人认为需提供的其他和评审有关的资料；</w:t>
      </w:r>
    </w:p>
    <w:p w14:paraId="0572E21A">
      <w:pPr>
        <w:pageBreakBefore w:val="0"/>
        <w:kinsoku/>
        <w:wordWrap/>
        <w:overflowPunct/>
        <w:topLinePunct w:val="0"/>
        <w:bidi w:val="0"/>
        <w:spacing w:line="440" w:lineRule="exact"/>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5</w:t>
      </w:r>
      <w:r>
        <w:rPr>
          <w:rFonts w:hint="eastAsia" w:ascii="仿宋_GB2312" w:hAnsi="Times New Roman" w:eastAsia="仿宋_GB2312" w:cs="仿宋_GB2312"/>
          <w:bCs/>
          <w:color w:val="auto"/>
          <w:kern w:val="0"/>
          <w:sz w:val="28"/>
          <w:szCs w:val="28"/>
          <w:lang w:val="en-US" w:eastAsia="zh-CN" w:bidi="ar-SA"/>
        </w:rPr>
        <w:t>、投标文件的每一页都必须加盖投标单位的公章；</w:t>
      </w:r>
    </w:p>
    <w:p w14:paraId="0ADCA157">
      <w:pPr>
        <w:pStyle w:val="12"/>
        <w:pageBreakBefore w:val="0"/>
        <w:kinsoku/>
        <w:wordWrap/>
        <w:overflowPunct/>
        <w:topLinePunct w:val="0"/>
        <w:bidi w:val="0"/>
        <w:spacing w:line="440" w:lineRule="exact"/>
        <w:ind w:left="0" w:leftChars="0"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6、投标文件一正一副，均需加盖公章；</w:t>
      </w:r>
    </w:p>
    <w:p w14:paraId="7AA24E65">
      <w:pPr>
        <w:pageBreakBefore w:val="0"/>
        <w:kinsoku/>
        <w:wordWrap/>
        <w:overflowPunct/>
        <w:topLinePunct w:val="0"/>
        <w:bidi w:val="0"/>
        <w:spacing w:line="440" w:lineRule="exact"/>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7、投标文件参数响应表中必须标注响应项佐证材料所对应页面。</w:t>
      </w:r>
    </w:p>
    <w:p w14:paraId="6844EC8E">
      <w:pPr>
        <w:pageBreakBefore w:val="0"/>
        <w:kinsoku/>
        <w:wordWrap/>
        <w:overflowPunct/>
        <w:topLinePunct w:val="0"/>
        <w:bidi w:val="0"/>
        <w:spacing w:line="440" w:lineRule="exact"/>
        <w:ind w:firstLine="560" w:firstLineChars="200"/>
        <w:textAlignment w:val="auto"/>
        <w:rPr>
          <w:rFonts w:hint="default"/>
          <w:color w:val="auto"/>
          <w:lang w:val="en-US" w:eastAsia="zh-CN"/>
        </w:rPr>
      </w:pPr>
      <w:r>
        <w:rPr>
          <w:rFonts w:hint="eastAsia" w:ascii="仿宋_GB2312" w:hAnsi="Times New Roman" w:eastAsia="仿宋_GB2312" w:cs="仿宋_GB2312"/>
          <w:bCs/>
          <w:color w:val="auto"/>
          <w:kern w:val="0"/>
          <w:sz w:val="28"/>
          <w:szCs w:val="28"/>
          <w:lang w:val="en-US" w:eastAsia="zh-CN" w:bidi="ar-SA"/>
        </w:rPr>
        <w:t>8、所有资料均应编入投标文件，胶装并用纸质文件袋封好（一正一副），标书必须“A4规格纸张胶制（非打孔或夹装）装订成册，并编制总目录”,要求密封，否则视为符合性审查不合格，作无效投标处理，在开标现场验证时打开，采用现场开标的方式。</w:t>
      </w:r>
    </w:p>
    <w:p w14:paraId="67AA749F">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eastAsia" w:ascii="仿宋" w:hAnsi="仿宋" w:eastAsia="仿宋" w:cs="仿宋"/>
          <w:b w:val="0"/>
          <w:bCs w:val="0"/>
          <w:color w:val="000000" w:themeColor="text1"/>
          <w:sz w:val="24"/>
          <w:szCs w:val="24"/>
          <w:highlight w:val="none"/>
          <w:lang w:val="en-US" w:eastAsia="zh-CN"/>
          <w14:textFill>
            <w14:solidFill>
              <w14:schemeClr w14:val="tx1"/>
            </w14:solidFill>
          </w14:textFill>
        </w:rPr>
      </w:pPr>
      <w:r>
        <w:rPr>
          <w:rFonts w:hint="eastAsia" w:ascii="仿宋_GB2312" w:eastAsia="仿宋_GB2312" w:cs="仿宋_GB2312"/>
          <w:bCs/>
          <w:color w:val="auto"/>
          <w:kern w:val="0"/>
          <w:sz w:val="28"/>
          <w:szCs w:val="28"/>
          <w:lang w:val="en-US" w:eastAsia="zh-CN" w:bidi="ar-SA"/>
        </w:rPr>
        <w:t>四、合同</w:t>
      </w:r>
      <w:r>
        <w:rPr>
          <w:rFonts w:hint="eastAsia" w:ascii="仿宋" w:hAnsi="仿宋" w:eastAsia="仿宋" w:cs="仿宋"/>
          <w:b w:val="0"/>
          <w:bCs/>
          <w:color w:val="auto"/>
          <w:sz w:val="28"/>
          <w:szCs w:val="28"/>
        </w:rPr>
        <w:t xml:space="preserve"> </w:t>
      </w: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 xml:space="preserve">                                               </w:t>
      </w:r>
    </w:p>
    <w:p w14:paraId="6EF0592D">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sz w:val="28"/>
          <w:szCs w:val="28"/>
          <w:lang w:val="en-US" w:eastAsia="zh-CN"/>
        </w:rPr>
      </w:pPr>
      <w:r>
        <w:rPr>
          <w:rFonts w:hint="eastAsia" w:ascii="仿宋" w:hAnsi="仿宋" w:eastAsia="仿宋" w:cs="仿宋"/>
          <w:color w:val="auto"/>
          <w:sz w:val="28"/>
          <w:szCs w:val="28"/>
          <w:lang w:val="en-US" w:eastAsia="zh-CN"/>
        </w:rPr>
        <w:t xml:space="preserve">                                                                        合同编号：  </w:t>
      </w:r>
      <w:r>
        <w:rPr>
          <w:rFonts w:hint="eastAsia"/>
          <w:sz w:val="28"/>
          <w:szCs w:val="28"/>
          <w:lang w:val="en-US" w:eastAsia="zh-CN"/>
        </w:rPr>
        <w:t xml:space="preserve">      </w:t>
      </w:r>
    </w:p>
    <w:p w14:paraId="5857D658">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方正小标宋简体" w:hAnsi="方正小标宋简体" w:eastAsia="方正小标宋简体" w:cs="方正小标宋简体"/>
          <w:b w:val="0"/>
          <w:bCs w:val="0"/>
          <w:sz w:val="36"/>
          <w:szCs w:val="36"/>
        </w:rPr>
      </w:pPr>
      <w:r>
        <w:rPr>
          <w:rFonts w:hint="eastAsia" w:ascii="方正小标宋简体" w:hAnsi="方正小标宋简体" w:eastAsia="方正小标宋简体" w:cs="方正小标宋简体"/>
          <w:b w:val="0"/>
          <w:bCs w:val="0"/>
          <w:color w:val="000000"/>
          <w:sz w:val="36"/>
          <w:szCs w:val="36"/>
        </w:rPr>
        <w:t>娄底市中心医院</w:t>
      </w:r>
      <w:r>
        <w:rPr>
          <w:rFonts w:hint="eastAsia" w:ascii="方正小标宋简体" w:hAnsi="方正小标宋简体" w:eastAsia="方正小标宋简体" w:cs="方正小标宋简体"/>
          <w:b w:val="0"/>
          <w:bCs w:val="0"/>
          <w:color w:val="000000"/>
          <w:sz w:val="36"/>
          <w:szCs w:val="36"/>
          <w:lang w:eastAsia="zh-CN"/>
        </w:rPr>
        <w:t>（</w:t>
      </w:r>
      <w:r>
        <w:rPr>
          <w:rFonts w:hint="eastAsia" w:ascii="方正小标宋简体" w:hAnsi="方正小标宋简体" w:eastAsia="方正小标宋简体" w:cs="方正小标宋简体"/>
          <w:b w:val="0"/>
          <w:bCs w:val="0"/>
          <w:color w:val="000000"/>
          <w:sz w:val="36"/>
          <w:szCs w:val="36"/>
          <w:lang w:val="en-US" w:eastAsia="zh-CN"/>
        </w:rPr>
        <w:t>娄底医院</w:t>
      </w:r>
      <w:r>
        <w:rPr>
          <w:rFonts w:hint="eastAsia" w:ascii="方正小标宋简体" w:hAnsi="方正小标宋简体" w:eastAsia="方正小标宋简体" w:cs="方正小标宋简体"/>
          <w:b w:val="0"/>
          <w:bCs w:val="0"/>
          <w:color w:val="000000"/>
          <w:sz w:val="36"/>
          <w:szCs w:val="36"/>
          <w:lang w:eastAsia="zh-CN"/>
        </w:rPr>
        <w:t>）</w:t>
      </w:r>
      <w:r>
        <w:rPr>
          <w:rFonts w:hint="eastAsia" w:ascii="方正小标宋简体" w:hAnsi="方正小标宋简体" w:eastAsia="方正小标宋简体" w:cs="方正小标宋简体"/>
          <w:b w:val="0"/>
          <w:bCs w:val="0"/>
          <w:sz w:val="36"/>
          <w:szCs w:val="36"/>
        </w:rPr>
        <w:t>有害生物防</w:t>
      </w:r>
      <w:r>
        <w:rPr>
          <w:rFonts w:hint="eastAsia" w:ascii="方正小标宋简体" w:hAnsi="方正小标宋简体" w:eastAsia="方正小标宋简体" w:cs="方正小标宋简体"/>
          <w:b w:val="0"/>
          <w:bCs w:val="0"/>
          <w:sz w:val="36"/>
          <w:szCs w:val="36"/>
          <w:lang w:val="en-US" w:eastAsia="zh-CN"/>
        </w:rPr>
        <w:t>治</w:t>
      </w:r>
      <w:r>
        <w:rPr>
          <w:rFonts w:hint="eastAsia" w:ascii="方正小标宋简体" w:hAnsi="方正小标宋简体" w:eastAsia="方正小标宋简体" w:cs="方正小标宋简体"/>
          <w:b w:val="0"/>
          <w:bCs w:val="0"/>
          <w:sz w:val="36"/>
          <w:szCs w:val="36"/>
        </w:rPr>
        <w:t>服务合同​</w:t>
      </w:r>
    </w:p>
    <w:p w14:paraId="1E9E2D4F">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甲方（采购方）：娄底市中心医院</w:t>
      </w:r>
    </w:p>
    <w:p w14:paraId="41F28BD5">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法定代表人：杨吉军</w:t>
      </w:r>
    </w:p>
    <w:p w14:paraId="1BC3C9A6">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统一社会信用代码：12431300447162073W</w:t>
      </w:r>
    </w:p>
    <w:p w14:paraId="4F7DC043">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地址：湖南省娄底市娄星区长青中街51号</w:t>
      </w:r>
    </w:p>
    <w:p w14:paraId="4CB2C745">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eastAsia" w:ascii="仿宋" w:hAnsi="仿宋" w:eastAsia="仿宋" w:cs="仿宋"/>
          <w:color w:val="auto"/>
          <w:sz w:val="28"/>
          <w:szCs w:val="28"/>
          <w:lang w:val="en-US" w:eastAsia="zh-CN"/>
        </w:rPr>
      </w:pPr>
    </w:p>
    <w:p w14:paraId="5BFACD47">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乙方（供货方）：</w:t>
      </w:r>
    </w:p>
    <w:p w14:paraId="2325DE1D">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法定代表人：</w:t>
      </w:r>
    </w:p>
    <w:p w14:paraId="5B0F4783">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统一社会信用代码：</w:t>
      </w:r>
    </w:p>
    <w:p w14:paraId="1349890C">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地址：</w:t>
      </w:r>
    </w:p>
    <w:p w14:paraId="6C69A8EB">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 w:hAnsi="仿宋" w:eastAsia="仿宋" w:cs="仿宋"/>
          <w:color w:val="auto"/>
          <w:sz w:val="28"/>
          <w:szCs w:val="28"/>
          <w:lang w:val="en-US" w:eastAsia="zh-CN"/>
        </w:rPr>
      </w:pPr>
    </w:p>
    <w:p w14:paraId="65F2B845">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甲方通过（□公开招标☑医院公开挂网□医院院内议价□湖南政府采购电子卖场竞价）方式采购</w:t>
      </w:r>
      <w:r>
        <w:rPr>
          <w:rFonts w:hint="eastAsia" w:ascii="仿宋" w:hAnsi="仿宋" w:eastAsia="仿宋" w:cs="仿宋"/>
          <w:color w:val="auto"/>
          <w:sz w:val="28"/>
          <w:szCs w:val="28"/>
          <w:u w:val="single"/>
          <w:lang w:val="en-US" w:eastAsia="zh-CN"/>
        </w:rPr>
        <w:t xml:space="preserve"> 有害生物防治服务 </w:t>
      </w:r>
      <w:r>
        <w:rPr>
          <w:rFonts w:hint="eastAsia" w:ascii="仿宋" w:hAnsi="仿宋" w:eastAsia="仿宋" w:cs="仿宋"/>
          <w:color w:val="auto"/>
          <w:sz w:val="28"/>
          <w:szCs w:val="28"/>
          <w:lang w:val="en-US" w:eastAsia="zh-CN"/>
        </w:rPr>
        <w:t>，乙方为中标/中选供应商，项目编号：</w:t>
      </w:r>
      <w:r>
        <w:rPr>
          <w:rFonts w:hint="eastAsia" w:ascii="仿宋" w:hAnsi="仿宋" w:eastAsia="仿宋" w:cs="仿宋"/>
          <w:color w:val="auto"/>
          <w:sz w:val="28"/>
          <w:szCs w:val="28"/>
          <w:u w:val="single"/>
          <w:lang w:val="en-US" w:eastAsia="zh-CN"/>
        </w:rPr>
        <w:t xml:space="preserve"> / </w:t>
      </w:r>
      <w:r>
        <w:rPr>
          <w:rFonts w:hint="eastAsia" w:ascii="仿宋" w:hAnsi="仿宋" w:eastAsia="仿宋" w:cs="仿宋"/>
          <w:color w:val="auto"/>
          <w:sz w:val="28"/>
          <w:szCs w:val="28"/>
          <w:lang w:val="en-US" w:eastAsia="zh-CN"/>
        </w:rPr>
        <w:t>。根据《中华人民共和国民法典》《中华人民共和国政府采购法》等相关法律规定，甲乙双方在采购项目确定的基础上，就采购</w:t>
      </w:r>
      <w:r>
        <w:rPr>
          <w:rFonts w:hint="eastAsia" w:ascii="仿宋" w:hAnsi="仿宋" w:eastAsia="仿宋" w:cs="仿宋"/>
          <w:color w:val="auto"/>
          <w:sz w:val="28"/>
          <w:szCs w:val="28"/>
          <w:u w:val="single"/>
          <w:lang w:val="en-US" w:eastAsia="zh-CN"/>
        </w:rPr>
        <w:t xml:space="preserve"> 有害生物防治服务 </w:t>
      </w:r>
      <w:r>
        <w:rPr>
          <w:rFonts w:hint="eastAsia" w:ascii="仿宋" w:hAnsi="仿宋" w:eastAsia="仿宋" w:cs="仿宋"/>
          <w:color w:val="auto"/>
          <w:sz w:val="28"/>
          <w:szCs w:val="28"/>
          <w:lang w:val="en-US" w:eastAsia="zh-CN"/>
        </w:rPr>
        <w:t>相关事宜平等、自愿、公平、诚信协商，达成一致，特订立本合同，以资共同遵守。</w:t>
      </w:r>
    </w:p>
    <w:p w14:paraId="4D4059E0">
      <w:pPr>
        <w:keepNext w:val="0"/>
        <w:keepLines w:val="0"/>
        <w:pageBreakBefore w:val="0"/>
        <w:widowControl w:val="0"/>
        <w:kinsoku/>
        <w:wordWrap/>
        <w:overflowPunct/>
        <w:topLinePunct w:val="0"/>
        <w:autoSpaceDE/>
        <w:autoSpaceDN/>
        <w:bidi w:val="0"/>
        <w:adjustRightInd/>
        <w:snapToGrid/>
        <w:spacing w:line="480" w:lineRule="exact"/>
        <w:ind w:firstLine="562" w:firstLineChars="200"/>
        <w:textAlignment w:val="auto"/>
        <w:rPr>
          <w:rFonts w:hint="default" w:ascii="仿宋" w:hAnsi="仿宋" w:eastAsia="仿宋" w:cs="仿宋"/>
          <w:b/>
          <w:bCs/>
          <w:color w:val="0000FF"/>
          <w:sz w:val="28"/>
          <w:szCs w:val="28"/>
          <w:lang w:val="en-US" w:eastAsia="zh-CN"/>
        </w:rPr>
      </w:pPr>
      <w:r>
        <w:rPr>
          <w:rFonts w:hint="eastAsia" w:ascii="仿宋" w:hAnsi="仿宋" w:eastAsia="仿宋" w:cs="仿宋"/>
          <w:b/>
          <w:bCs/>
          <w:color w:val="0000FF"/>
          <w:sz w:val="28"/>
          <w:szCs w:val="28"/>
          <w:lang w:val="en-US" w:eastAsia="zh-CN"/>
        </w:rPr>
        <w:t>第一条 服务项目、范围、</w:t>
      </w:r>
      <w:r>
        <w:rPr>
          <w:rFonts w:hint="eastAsia" w:ascii="仿宋" w:hAnsi="仿宋" w:eastAsia="仿宋" w:cs="仿宋"/>
          <w:b/>
          <w:bCs/>
          <w:color w:val="FF0000"/>
          <w:sz w:val="28"/>
          <w:szCs w:val="28"/>
          <w:lang w:val="en-US" w:eastAsia="zh-CN"/>
        </w:rPr>
        <w:t>地点、</w:t>
      </w:r>
      <w:r>
        <w:rPr>
          <w:rFonts w:hint="eastAsia" w:ascii="仿宋" w:hAnsi="仿宋" w:eastAsia="仿宋" w:cs="仿宋"/>
          <w:b/>
          <w:bCs/>
          <w:color w:val="0000FF"/>
          <w:sz w:val="28"/>
          <w:szCs w:val="28"/>
          <w:lang w:val="en-US" w:eastAsia="zh-CN"/>
        </w:rPr>
        <w:t>内容及要求</w:t>
      </w:r>
    </w:p>
    <w:p w14:paraId="6AE9E707">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default" w:ascii="仿宋" w:hAnsi="仿宋" w:eastAsia="仿宋" w:cs="仿宋"/>
          <w:color w:val="auto"/>
          <w:sz w:val="28"/>
          <w:szCs w:val="28"/>
          <w:lang w:val="en-US" w:eastAsia="zh-CN"/>
        </w:rPr>
      </w:pPr>
      <w:r>
        <w:rPr>
          <w:rFonts w:hint="eastAsia" w:ascii="仿宋" w:hAnsi="仿宋" w:eastAsia="仿宋" w:cs="仿宋"/>
          <w:color w:val="0000FF"/>
          <w:sz w:val="28"/>
          <w:szCs w:val="28"/>
          <w:lang w:val="en-US" w:eastAsia="zh-CN"/>
        </w:rPr>
        <w:t xml:space="preserve">1.1 </w:t>
      </w:r>
      <w:r>
        <w:rPr>
          <w:rFonts w:hint="eastAsia" w:ascii="仿宋" w:hAnsi="仿宋" w:eastAsia="仿宋" w:cs="仿宋"/>
          <w:color w:val="0000FF"/>
          <w:kern w:val="2"/>
          <w:sz w:val="28"/>
          <w:szCs w:val="28"/>
          <w:lang w:val="en-US" w:eastAsia="zh-CN" w:bidi="ar-SA"/>
        </w:rPr>
        <w:t>服务项目：乙方为甲方娄底医院提供</w:t>
      </w:r>
      <w:r>
        <w:rPr>
          <w:rFonts w:hint="eastAsia" w:ascii="仿宋" w:hAnsi="仿宋" w:eastAsia="仿宋" w:cs="仿宋"/>
          <w:color w:val="auto"/>
          <w:sz w:val="28"/>
          <w:szCs w:val="28"/>
          <w:lang w:val="en-US" w:eastAsia="zh-CN"/>
        </w:rPr>
        <w:t>有害生物防治服务，包括但不限于鼠类、蟑类、蚊类、蝇类、臭虫、隐翅虫、蚤类、蚂蚁类、蛾类等。</w:t>
      </w:r>
    </w:p>
    <w:p w14:paraId="350FBAF4">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color w:val="0000FF"/>
          <w:sz w:val="28"/>
          <w:szCs w:val="28"/>
          <w:lang w:val="en-US" w:eastAsia="zh-CN"/>
        </w:rPr>
      </w:pPr>
      <w:r>
        <w:rPr>
          <w:rFonts w:hint="eastAsia" w:ascii="仿宋" w:hAnsi="仿宋" w:eastAsia="仿宋" w:cs="仿宋"/>
          <w:color w:val="0000FF"/>
          <w:sz w:val="28"/>
          <w:szCs w:val="28"/>
          <w:lang w:val="en-US" w:eastAsia="zh-CN"/>
        </w:rPr>
        <w:t>1.2 服务地点、范围</w:t>
      </w:r>
    </w:p>
    <w:p w14:paraId="58A4E55C">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color w:val="FF0000"/>
          <w:sz w:val="28"/>
          <w:szCs w:val="28"/>
          <w:lang w:val="en-US" w:eastAsia="zh-CN"/>
        </w:rPr>
      </w:pPr>
      <w:r>
        <w:rPr>
          <w:rFonts w:hint="eastAsia" w:ascii="仿宋" w:hAnsi="仿宋" w:eastAsia="仿宋" w:cs="仿宋"/>
          <w:color w:val="0000FF"/>
          <w:sz w:val="28"/>
          <w:szCs w:val="28"/>
          <w:lang w:val="en-US" w:eastAsia="zh-CN"/>
        </w:rPr>
        <w:t>1.2.1</w:t>
      </w:r>
      <w:r>
        <w:rPr>
          <w:rFonts w:hint="eastAsia" w:ascii="仿宋" w:hAnsi="仿宋" w:eastAsia="仿宋" w:cs="仿宋"/>
          <w:color w:val="FF0000"/>
          <w:sz w:val="28"/>
          <w:szCs w:val="28"/>
          <w:lang w:val="en-US" w:eastAsia="zh-CN"/>
        </w:rPr>
        <w:t>服务地点：广州医科大学附属第一医院娄底医院。</w:t>
      </w:r>
    </w:p>
    <w:p w14:paraId="56AE2560">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color w:val="0000FF"/>
          <w:sz w:val="28"/>
          <w:szCs w:val="28"/>
          <w:lang w:val="en-US" w:eastAsia="zh-CN"/>
        </w:rPr>
      </w:pPr>
      <w:r>
        <w:rPr>
          <w:rFonts w:hint="eastAsia" w:ascii="仿宋" w:hAnsi="仿宋" w:eastAsia="仿宋" w:cs="仿宋"/>
          <w:color w:val="0000FF"/>
          <w:sz w:val="28"/>
          <w:szCs w:val="28"/>
          <w:lang w:val="en-US" w:eastAsia="zh-CN"/>
        </w:rPr>
        <w:t>1.2.2 服务范围：娄底医院所有门急诊楼、住院1号楼、住院2号楼、行政科研楼、感染楼等建筑物内部的各个科室、病房、走廊、楼梯间、电梯间、卫生间、食堂、仓库、配电室等区域；建筑物外部的绿化带、停车场、道路、围墙周边、垃圾站、污水处理站以及医院所属的其他附属设施区域和卫生检查划定为甲方负责的周边区域。</w:t>
      </w:r>
    </w:p>
    <w:p w14:paraId="6A67233F">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default" w:ascii="仿宋" w:hAnsi="仿宋" w:eastAsia="仿宋" w:cs="仿宋"/>
          <w:color w:val="0000FF"/>
          <w:kern w:val="2"/>
          <w:sz w:val="28"/>
          <w:szCs w:val="28"/>
          <w:lang w:val="en-US" w:eastAsia="zh-CN" w:bidi="ar-SA"/>
        </w:rPr>
      </w:pPr>
      <w:r>
        <w:rPr>
          <w:rFonts w:hint="eastAsia" w:ascii="仿宋" w:hAnsi="仿宋" w:eastAsia="仿宋" w:cs="仿宋"/>
          <w:color w:val="0000FF"/>
          <w:kern w:val="2"/>
          <w:sz w:val="28"/>
          <w:szCs w:val="28"/>
          <w:lang w:val="en-US" w:eastAsia="zh-CN" w:bidi="ar-SA"/>
        </w:rPr>
        <w:t>1.3 服务内容及要求：</w:t>
      </w:r>
    </w:p>
    <w:p w14:paraId="67D9EA2D">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color w:val="0000FF"/>
          <w:sz w:val="28"/>
          <w:szCs w:val="28"/>
          <w:highlight w:val="none"/>
          <w:lang w:val="en-US" w:eastAsia="zh-CN"/>
        </w:rPr>
      </w:pPr>
      <w:r>
        <w:rPr>
          <w:rFonts w:hint="eastAsia" w:ascii="仿宋" w:hAnsi="仿宋" w:eastAsia="仿宋" w:cs="仿宋"/>
          <w:color w:val="auto"/>
          <w:sz w:val="28"/>
          <w:szCs w:val="28"/>
          <w:lang w:val="en-US" w:eastAsia="zh-CN"/>
        </w:rPr>
        <w:t>1.3.1 前期开荒消杀：乙方应在本合同签订后10个工作日内，对全院开展一次大规模蟑螂控制消杀，利用3-5天时间对医院公共区域、货物及其他物料中夹带的蟑螂进行全方位、立体式清剿杀灭，将蟑密度降低至国家 C 级标准（依据《病媒生物密度控制水平 蜚蠊》GB/T 27770-2011），并向甲方提交开荒消杀验收报告（含消杀区域明细、用药清单、密度检测数据、现场照片等），</w:t>
      </w:r>
      <w:r>
        <w:rPr>
          <w:rFonts w:hint="eastAsia" w:ascii="仿宋" w:hAnsi="仿宋" w:eastAsia="仿宋" w:cs="仿宋"/>
          <w:color w:val="auto"/>
          <w:sz w:val="28"/>
          <w:szCs w:val="28"/>
          <w:highlight w:val="none"/>
          <w:lang w:val="en-US" w:eastAsia="zh-CN"/>
        </w:rPr>
        <w:t>甲方在收到报告后5个工作日内完成验收。</w:t>
      </w:r>
      <w:r>
        <w:rPr>
          <w:rFonts w:hint="eastAsia" w:ascii="仿宋" w:hAnsi="仿宋" w:eastAsia="仿宋" w:cs="仿宋"/>
          <w:color w:val="0000FF"/>
          <w:sz w:val="28"/>
          <w:szCs w:val="28"/>
          <w:highlight w:val="none"/>
          <w:lang w:val="en-US" w:eastAsia="zh-CN"/>
        </w:rPr>
        <w:t>如经甲方验收不合格，乙方应在5个工作日内无条件返工并通过甲方再次验收，由此产生的费用均由乙方承担。</w:t>
      </w:r>
    </w:p>
    <w:p w14:paraId="66420E7D">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1.3.2 基础通用查杀频次（适用于普通门诊、行政区域、住院部非高危科室）​</w:t>
      </w:r>
    </w:p>
    <w:p w14:paraId="0D8F3C31">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1.3.2.1 蟑螂：重点区域（走廊、卫生间、茶水间）1次/周，普通区域（办公室、病房走廊）1次/2周。​</w:t>
      </w:r>
    </w:p>
    <w:p w14:paraId="0DCE8159">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1.3.2.2 老鼠：全年动态防控，采用物理防治（粘鼠板、捕鼠笼）与化学防治（毒饵站）相结合的方式，每月对毒饵站进行检查、补充或更换。​</w:t>
      </w:r>
    </w:p>
    <w:p w14:paraId="01DD0C24">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1.3.2.3 蚊、蝇：4-10月（孳生旺季）1次/周，11-3月1次/月，重点对院区绿化带、下水道口、垃圾桶周边等孳生地进行处理。</w:t>
      </w:r>
    </w:p>
    <w:p w14:paraId="08A6DC5A">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1.3.3 高危科室特殊查杀要求（感染性疾病科、手术室、ICU、检验科、病理科、药房、配餐间</w:t>
      </w:r>
      <w:r>
        <w:rPr>
          <w:rFonts w:hint="eastAsia" w:ascii="仿宋" w:hAnsi="仿宋" w:eastAsia="仿宋" w:cs="仿宋"/>
          <w:color w:val="0000FF"/>
          <w:sz w:val="28"/>
          <w:szCs w:val="28"/>
          <w:lang w:val="en-US" w:eastAsia="zh-CN"/>
        </w:rPr>
        <w:t>等对环境卫生要求极高的区域</w:t>
      </w:r>
      <w:r>
        <w:rPr>
          <w:rFonts w:hint="eastAsia" w:ascii="仿宋" w:hAnsi="仿宋" w:eastAsia="仿宋" w:cs="仿宋"/>
          <w:color w:val="auto"/>
          <w:sz w:val="28"/>
          <w:szCs w:val="28"/>
          <w:lang w:val="en-US" w:eastAsia="zh-CN"/>
        </w:rPr>
        <w:t>）​</w:t>
      </w:r>
    </w:p>
    <w:p w14:paraId="34B1C948">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1.3.3.1 感染性疾病科/发热门诊：蚊、蝇、蟑螂1次/ 3天（以紫外线灭蚊灯、密封式粘蟑盒等物理防制为主，禁止使用挥发性化学药剂）；老鼠每日检查粘鼠板/毒饵站，发现活动痕迹24小时内处理，并书面记录处理情况。​</w:t>
      </w:r>
    </w:p>
    <w:p w14:paraId="573D19E2">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1.3.3.2 手术室/ ICU（洁净区域）：禁止使用化学消杀，仅通过“物理屏障+环境控制”预防；每月开展1次专业排查（含管道缝隙、设备底部、吊顶夹层等隐蔽区域），发现有害生物立即启动“隔离消杀”（采用医用级消毒剂擦拭，使用一次性消杀工具，避免污染无菌环境），并在24小时内提交处理报告。​</w:t>
      </w:r>
    </w:p>
    <w:p w14:paraId="7491BA03">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1.3.3.3 药房/配餐间/检验科：蟑螂1次/3天（仅使用凝胶饵剂，投放于货架底部、冰箱后方、柜子缝隙等隐蔽处，张贴警示标识）；老鼠每周更换粘鼠板，毒饵站每10米设置1个（远离药品/食品储存区、操作台面，距离不小于1.5米），每月检查毒饵站使用情况并记录。​</w:t>
      </w:r>
    </w:p>
    <w:p w14:paraId="760E8794">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1.3.4 特殊情况应急调整​</w:t>
      </w:r>
    </w:p>
    <w:p w14:paraId="09FFBC46">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1.3.4.1 有害生物暴发：单科室1周内发现≥5只蟑螂或1只活鼠，乙方需24小时内开展全域消杀，后续3天内每日复查，直至连续7天无有害生物活动痕迹，复查结果需经甲方科室负责人签字确认。</w:t>
      </w:r>
    </w:p>
    <w:p w14:paraId="3E6FC3CA">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1.3.4.2 传染病流行：如流感、登革热（蚊媒传播）等期间，蚊蝇消杀频次提升至1次/ 3天，增加院区公共区域、患者活动区域的消杀覆盖范围。​</w:t>
      </w:r>
    </w:p>
    <w:p w14:paraId="58B4D6A2">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1.3.4.3 环境变动后：甲方装修、周边施工期间，乙方需1次/ 2天进行排查（重点检查施工区域周边、物料堆放区），施工后1个月内保持1次/周消杀，防止有害生物迁移扩散。​</w:t>
      </w:r>
    </w:p>
    <w:p w14:paraId="13F6C0D0">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default"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1.3.5 不同区域特殊防治要求</w:t>
      </w:r>
    </w:p>
    <w:p w14:paraId="0E2A1BB3">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1.3.5.1 病房区域：优先采用物理防治和生物防治方法（如放置粘鼠板）；确需使用化学药剂的，必须选择低毒、无刺激性气味、对人体危害极小的产品（提供产品检测报告），且在患者外出检查、治疗等非休息时间段（建议每日 10:00-11:30、15:00-16:30）施药，施药后关闭门窗30分钟以上，确保充分通风（通风时间不少于1小时），并及时清理残留药剂，不得影响患者治疗和休息；施药区域需提前告知科室护士站，张贴临时警示标识。​</w:t>
      </w:r>
    </w:p>
    <w:p w14:paraId="5D7172FB">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1.3.5.2 食堂区域：严格遵守《中华人民共和国食品安全法》等相关法规和标准，防止药剂污染食品及食品加工区域。食品加工操作间内禁止使用化学喷雾类药剂，采用物理捕蝇器、粘鼠板，远离食品操作台）等设备；下水道、垃圾桶等易滋生有害生物的区域，可使用环保型杀虫剂（如生物制剂）定期喷洒，但需确保药剂不进入食品加工和储存区域，施药后对周边环境进行擦拭清理。</w:t>
      </w:r>
    </w:p>
    <w:p w14:paraId="22075A11">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1.3.6 安全与环保要求​</w:t>
      </w:r>
    </w:p>
    <w:p w14:paraId="32CBD47F">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1.3.6.1 安全要求​</w:t>
      </w:r>
    </w:p>
    <w:p w14:paraId="56ED4D90">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乙方应确保防治过程中操作人员、甲方医护人员、患者及第三方人员的安全。乙方操作人员必须经过专业培训，持有相关从业资格证书（提供复印件），熟悉药剂使用方法和安全注意事项，作业时穿戴齐全防护服、口罩、手套、护目镜等防护用品。防治药剂应单独妥善存放于密封容器内，远离儿童、宠物及食品、药品可接触范围，防止误食、误触事故发生；药剂运输过程中需做好防泄漏措施。大面积使用化学药剂消杀时，乙方应在作业区域设置明显警示标识（含“正在消杀，请勿靠近”字样及联系方式），提醒人员远离；作业完成后，警示标识保留至通风达标后拆除。若发生药剂泄漏、人员接触中毒等安全事故，乙方应立即启动应急处理，组织救治，并承担全部责任和费用。​</w:t>
      </w:r>
    </w:p>
    <w:p w14:paraId="51348375">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1.3.6.2 环保要求​</w:t>
      </w:r>
    </w:p>
    <w:p w14:paraId="7E041781">
      <w:pPr>
        <w:pStyle w:val="15"/>
        <w:keepNext w:val="0"/>
        <w:keepLines w:val="0"/>
        <w:pageBreakBefore w:val="0"/>
        <w:kinsoku/>
        <w:wordWrap/>
        <w:overflowPunct/>
        <w:topLinePunct w:val="0"/>
        <w:autoSpaceDE/>
        <w:autoSpaceDN/>
        <w:bidi w:val="0"/>
        <w:spacing w:line="480" w:lineRule="exact"/>
        <w:ind w:firstLine="560" w:firstLineChars="200"/>
        <w:rPr>
          <w:rFonts w:hint="default"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乙方优先选择环保型防治方法和药剂，所使用的化学药剂必须符合国家相关环保标准（如《农药登记管理办法》），具备低毒、低残留、易降解特性，提供药剂的农药登记证、生产许可证、产品质量检验报告等相关证明文件复印件。不得使用国家明令禁止的高毒、高残留农药（如甲胺磷、六六六等）。防治过程中产生的废弃物（如药剂包装、使用后的粘鼠板、捕虫器具等），需按危险废物或可回收物分类收集，交由具备相应资质的单位处理（提供处理单位资质证明及处置协议复印件），避免污染土壤、水体等环境。同时，应保护有益生物（如鸟类、蜻蜓等）和生态环境，避免对非靶标生物造成伤害。</w:t>
      </w:r>
    </w:p>
    <w:p w14:paraId="608A3EC1">
      <w:pPr>
        <w:keepNext w:val="0"/>
        <w:keepLines w:val="0"/>
        <w:pageBreakBefore w:val="0"/>
        <w:widowControl w:val="0"/>
        <w:kinsoku/>
        <w:wordWrap/>
        <w:overflowPunct/>
        <w:topLinePunct w:val="0"/>
        <w:autoSpaceDE/>
        <w:autoSpaceDN/>
        <w:bidi w:val="0"/>
        <w:adjustRightInd/>
        <w:snapToGrid/>
        <w:spacing w:line="480" w:lineRule="exact"/>
        <w:ind w:firstLine="562"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b/>
          <w:bCs/>
          <w:color w:val="auto"/>
          <w:sz w:val="28"/>
          <w:szCs w:val="28"/>
          <w:lang w:val="en-US" w:eastAsia="zh-CN"/>
        </w:rPr>
        <w:t>第二条 服务期限</w:t>
      </w:r>
      <w:r>
        <w:rPr>
          <w:rFonts w:hint="eastAsia" w:ascii="仿宋" w:hAnsi="仿宋" w:eastAsia="仿宋" w:cs="仿宋"/>
          <w:color w:val="auto"/>
          <w:sz w:val="28"/>
          <w:szCs w:val="28"/>
          <w:lang w:val="en-US" w:eastAsia="zh-CN"/>
        </w:rPr>
        <w:t>​</w:t>
      </w:r>
    </w:p>
    <w:p w14:paraId="165EBAEB">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color w:val="auto"/>
          <w:sz w:val="28"/>
          <w:szCs w:val="28"/>
          <w:lang w:eastAsia="zh-CN"/>
        </w:rPr>
      </w:pPr>
      <w:r>
        <w:rPr>
          <w:rFonts w:hint="eastAsia" w:ascii="仿宋" w:hAnsi="仿宋" w:eastAsia="仿宋" w:cs="仿宋"/>
          <w:color w:val="auto"/>
          <w:sz w:val="28"/>
          <w:szCs w:val="28"/>
          <w:lang w:val="en-US" w:eastAsia="zh-CN"/>
        </w:rPr>
        <w:t>服务期限为三年，</w:t>
      </w:r>
      <w:r>
        <w:rPr>
          <w:rFonts w:hint="eastAsia" w:ascii="仿宋" w:hAnsi="仿宋" w:eastAsia="仿宋" w:cs="仿宋"/>
          <w:color w:val="auto"/>
          <w:sz w:val="28"/>
          <w:szCs w:val="28"/>
          <w:lang w:eastAsia="zh-CN"/>
        </w:rPr>
        <w:t>自</w:t>
      </w:r>
      <w:r>
        <w:rPr>
          <w:rFonts w:hint="eastAsia" w:ascii="仿宋" w:hAnsi="仿宋" w:eastAsia="仿宋" w:cs="仿宋"/>
          <w:color w:val="auto"/>
          <w:sz w:val="28"/>
          <w:szCs w:val="28"/>
        </w:rPr>
        <w:t>20</w:t>
      </w:r>
      <w:r>
        <w:rPr>
          <w:rFonts w:hint="eastAsia" w:ascii="仿宋" w:hAnsi="仿宋" w:eastAsia="仿宋" w:cs="仿宋"/>
          <w:color w:val="auto"/>
          <w:sz w:val="28"/>
          <w:szCs w:val="28"/>
          <w:lang w:val="en-US" w:eastAsia="zh-CN"/>
        </w:rPr>
        <w:t>26</w:t>
      </w:r>
      <w:r>
        <w:rPr>
          <w:rFonts w:hint="eastAsia" w:ascii="仿宋" w:hAnsi="仿宋" w:eastAsia="仿宋" w:cs="仿宋"/>
          <w:color w:val="auto"/>
          <w:sz w:val="28"/>
          <w:szCs w:val="28"/>
        </w:rPr>
        <w:t>年</w:t>
      </w:r>
      <w:r>
        <w:rPr>
          <w:rFonts w:hint="eastAsia" w:ascii="仿宋" w:hAnsi="仿宋" w:eastAsia="仿宋" w:cs="仿宋"/>
          <w:color w:val="auto"/>
          <w:sz w:val="28"/>
          <w:szCs w:val="28"/>
          <w:lang w:val="en-US" w:eastAsia="zh-CN"/>
        </w:rPr>
        <w:t xml:space="preserve">  </w:t>
      </w:r>
      <w:r>
        <w:rPr>
          <w:rFonts w:hint="eastAsia" w:ascii="仿宋" w:hAnsi="仿宋" w:eastAsia="仿宋" w:cs="仿宋"/>
          <w:color w:val="auto"/>
          <w:sz w:val="28"/>
          <w:szCs w:val="28"/>
        </w:rPr>
        <w:t>月</w:t>
      </w:r>
      <w:r>
        <w:rPr>
          <w:rFonts w:hint="eastAsia" w:ascii="仿宋" w:hAnsi="仿宋" w:eastAsia="仿宋" w:cs="仿宋"/>
          <w:color w:val="auto"/>
          <w:sz w:val="28"/>
          <w:szCs w:val="28"/>
          <w:lang w:val="en-US" w:eastAsia="zh-CN"/>
        </w:rPr>
        <w:t xml:space="preserve">  </w:t>
      </w:r>
      <w:r>
        <w:rPr>
          <w:rFonts w:hint="eastAsia" w:ascii="仿宋" w:hAnsi="仿宋" w:eastAsia="仿宋" w:cs="仿宋"/>
          <w:color w:val="auto"/>
          <w:sz w:val="28"/>
          <w:szCs w:val="28"/>
        </w:rPr>
        <w:t>日</w:t>
      </w:r>
      <w:r>
        <w:rPr>
          <w:rFonts w:hint="eastAsia" w:ascii="仿宋" w:hAnsi="仿宋" w:eastAsia="仿宋" w:cs="仿宋"/>
          <w:color w:val="auto"/>
          <w:sz w:val="28"/>
          <w:szCs w:val="28"/>
          <w:lang w:eastAsia="zh-CN"/>
        </w:rPr>
        <w:t>起</w:t>
      </w:r>
      <w:r>
        <w:rPr>
          <w:rFonts w:hint="eastAsia" w:ascii="仿宋" w:hAnsi="仿宋" w:eastAsia="仿宋" w:cs="仿宋"/>
          <w:color w:val="auto"/>
          <w:sz w:val="28"/>
          <w:szCs w:val="28"/>
        </w:rPr>
        <w:t>至202</w:t>
      </w:r>
      <w:r>
        <w:rPr>
          <w:rFonts w:hint="eastAsia" w:ascii="仿宋" w:hAnsi="仿宋" w:eastAsia="仿宋" w:cs="仿宋"/>
          <w:color w:val="auto"/>
          <w:sz w:val="28"/>
          <w:szCs w:val="28"/>
          <w:lang w:val="en-US" w:eastAsia="zh-CN"/>
        </w:rPr>
        <w:t>9</w:t>
      </w:r>
      <w:r>
        <w:rPr>
          <w:rFonts w:hint="eastAsia" w:ascii="仿宋" w:hAnsi="仿宋" w:eastAsia="仿宋" w:cs="仿宋"/>
          <w:color w:val="auto"/>
          <w:sz w:val="28"/>
          <w:szCs w:val="28"/>
        </w:rPr>
        <w:t>年</w:t>
      </w:r>
      <w:r>
        <w:rPr>
          <w:rFonts w:hint="eastAsia" w:ascii="仿宋" w:hAnsi="仿宋" w:eastAsia="仿宋" w:cs="仿宋"/>
          <w:color w:val="auto"/>
          <w:sz w:val="28"/>
          <w:szCs w:val="28"/>
          <w:lang w:val="en-US" w:eastAsia="zh-CN"/>
        </w:rPr>
        <w:t xml:space="preserve">  </w:t>
      </w:r>
      <w:r>
        <w:rPr>
          <w:rFonts w:hint="eastAsia" w:ascii="仿宋" w:hAnsi="仿宋" w:eastAsia="仿宋" w:cs="仿宋"/>
          <w:color w:val="auto"/>
          <w:sz w:val="28"/>
          <w:szCs w:val="28"/>
        </w:rPr>
        <w:t>月</w:t>
      </w:r>
      <w:r>
        <w:rPr>
          <w:rFonts w:hint="eastAsia" w:ascii="仿宋" w:hAnsi="仿宋" w:eastAsia="仿宋" w:cs="仿宋"/>
          <w:color w:val="auto"/>
          <w:sz w:val="28"/>
          <w:szCs w:val="28"/>
          <w:lang w:val="en-US" w:eastAsia="zh-CN"/>
        </w:rPr>
        <w:t xml:space="preserve">   </w:t>
      </w:r>
      <w:r>
        <w:rPr>
          <w:rFonts w:hint="eastAsia" w:ascii="仿宋" w:hAnsi="仿宋" w:eastAsia="仿宋" w:cs="仿宋"/>
          <w:color w:val="auto"/>
          <w:sz w:val="28"/>
          <w:szCs w:val="28"/>
        </w:rPr>
        <w:t>日</w:t>
      </w:r>
      <w:r>
        <w:rPr>
          <w:rFonts w:hint="eastAsia" w:ascii="仿宋" w:hAnsi="仿宋" w:eastAsia="仿宋" w:cs="仿宋"/>
          <w:color w:val="auto"/>
          <w:sz w:val="28"/>
          <w:szCs w:val="28"/>
          <w:lang w:eastAsia="zh-CN"/>
        </w:rPr>
        <w:t>止。</w:t>
      </w:r>
    </w:p>
    <w:p w14:paraId="0B39DEE4">
      <w:pPr>
        <w:keepNext w:val="0"/>
        <w:keepLines w:val="0"/>
        <w:pageBreakBefore w:val="0"/>
        <w:widowControl w:val="0"/>
        <w:kinsoku/>
        <w:wordWrap/>
        <w:overflowPunct/>
        <w:topLinePunct w:val="0"/>
        <w:autoSpaceDE/>
        <w:autoSpaceDN/>
        <w:bidi w:val="0"/>
        <w:adjustRightInd/>
        <w:snapToGrid/>
        <w:spacing w:line="480" w:lineRule="exact"/>
        <w:ind w:firstLine="562"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b/>
          <w:bCs/>
          <w:color w:val="auto"/>
          <w:sz w:val="28"/>
          <w:szCs w:val="28"/>
          <w:lang w:val="en-US" w:eastAsia="zh-CN"/>
        </w:rPr>
        <w:t>第三条 甲方责任​</w:t>
      </w:r>
      <w:r>
        <w:rPr>
          <w:rFonts w:hint="eastAsia" w:ascii="仿宋" w:hAnsi="仿宋" w:eastAsia="仿宋" w:cs="仿宋"/>
          <w:color w:val="auto"/>
          <w:sz w:val="28"/>
          <w:szCs w:val="28"/>
          <w:lang w:val="en-US" w:eastAsia="zh-CN"/>
        </w:rPr>
        <w:t>​</w:t>
      </w:r>
    </w:p>
    <w:p w14:paraId="3E74A25A">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3.1 按乙方合理要求负责有害生物防制设施（如防鼠网、毒饵站安装点位）的建设和维护，提供必要的作业条件（如场地通行、水电供应）。​</w:t>
      </w:r>
    </w:p>
    <w:p w14:paraId="36C0BD3E">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3.2 指派专人（程俊杰，电话：18873820001）引导、陪同乙方勘查、监理、施工，为乙方人员的顺利工作进行协调、沟通，授权甲方指派的陪同人员或其他人员在乙方的施工单、监测处理单上签字确认，该签字视为对服务事实的认可。​</w:t>
      </w:r>
    </w:p>
    <w:p w14:paraId="219A727D">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3.3 配合乙方开展有害生物防制宣传教育，督促内部各科室遵守卫生管理规定，及时清理垃圾、积水，减少有害生物孳生条件。</w:t>
      </w:r>
    </w:p>
    <w:p w14:paraId="4BB25EA2">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3.4 接到乙方关于环境整改、设施维修的书面通知后，及时组织落实。​</w:t>
      </w:r>
    </w:p>
    <w:p w14:paraId="08E48F17">
      <w:pPr>
        <w:keepNext w:val="0"/>
        <w:keepLines w:val="0"/>
        <w:pageBreakBefore w:val="0"/>
        <w:widowControl w:val="0"/>
        <w:kinsoku/>
        <w:wordWrap/>
        <w:overflowPunct/>
        <w:topLinePunct w:val="0"/>
        <w:autoSpaceDE/>
        <w:autoSpaceDN/>
        <w:bidi w:val="0"/>
        <w:adjustRightInd/>
        <w:snapToGrid/>
        <w:spacing w:line="480" w:lineRule="exact"/>
        <w:ind w:firstLine="562"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b/>
          <w:bCs/>
          <w:color w:val="auto"/>
          <w:sz w:val="28"/>
          <w:szCs w:val="28"/>
          <w:lang w:val="en-US" w:eastAsia="zh-CN"/>
        </w:rPr>
        <w:t>第四条 乙方责任</w:t>
      </w:r>
      <w:r>
        <w:rPr>
          <w:rFonts w:hint="eastAsia" w:ascii="仿宋" w:hAnsi="仿宋" w:eastAsia="仿宋" w:cs="仿宋"/>
          <w:color w:val="auto"/>
          <w:sz w:val="28"/>
          <w:szCs w:val="28"/>
          <w:lang w:val="en-US" w:eastAsia="zh-CN"/>
        </w:rPr>
        <w:t>​</w:t>
      </w:r>
    </w:p>
    <w:p w14:paraId="7697C4AA">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4.1 严格按照本合同约定的服务要求、消杀频次及区域要求提供服务，</w:t>
      </w:r>
      <w:r>
        <w:rPr>
          <w:rFonts w:hint="eastAsia" w:ascii="仿宋" w:hAnsi="仿宋" w:eastAsia="仿宋" w:cs="仿宋"/>
          <w:color w:val="0000FF"/>
          <w:sz w:val="28"/>
          <w:szCs w:val="28"/>
          <w:lang w:val="en-US" w:eastAsia="zh-CN"/>
        </w:rPr>
        <w:t>符合创建国家卫生城市标准，</w:t>
      </w:r>
      <w:r>
        <w:rPr>
          <w:rFonts w:hint="eastAsia" w:ascii="仿宋" w:hAnsi="仿宋" w:eastAsia="仿宋" w:cs="仿宋"/>
          <w:color w:val="auto"/>
          <w:sz w:val="28"/>
          <w:szCs w:val="28"/>
          <w:lang w:val="en-US" w:eastAsia="zh-CN"/>
        </w:rPr>
        <w:t>确保服务质量达标，有害生物密度控制在国家 C 级及以上标准。​</w:t>
      </w:r>
    </w:p>
    <w:p w14:paraId="4AB037D1">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4.2 配备足够的专业人员和设备，建立服务团队档案（含人员姓名、资质、联系方式）提交甲方备案；若服务团队人员变动，提前 5 个工作日书面通知甲方。</w:t>
      </w:r>
    </w:p>
    <w:p w14:paraId="05DA992E">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4.3 乙方的施工人员、监理人员进入甲方场地工作前，须提前 24 小时与甲方指定联系人（程俊杰，电话：18873820001）约定，由甲方委派指定人员陪同。乙方人员应遵守甲方医院管理规定，</w:t>
      </w:r>
      <w:r>
        <w:rPr>
          <w:rFonts w:hint="eastAsia" w:ascii="仿宋" w:hAnsi="仿宋" w:eastAsia="仿宋" w:cs="仿宋"/>
          <w:color w:val="FF0000"/>
          <w:sz w:val="28"/>
          <w:szCs w:val="28"/>
          <w:lang w:val="en-US" w:eastAsia="zh-CN"/>
        </w:rPr>
        <w:t>进入甲方场地时须</w:t>
      </w:r>
      <w:r>
        <w:rPr>
          <w:rFonts w:hint="eastAsia" w:ascii="仿宋" w:hAnsi="仿宋" w:eastAsia="仿宋" w:cs="仿宋"/>
          <w:color w:val="auto"/>
          <w:sz w:val="28"/>
          <w:szCs w:val="28"/>
          <w:lang w:val="en-US" w:eastAsia="zh-CN"/>
        </w:rPr>
        <w:t>佩戴</w:t>
      </w:r>
      <w:r>
        <w:rPr>
          <w:rFonts w:hint="eastAsia" w:ascii="仿宋" w:hAnsi="仿宋" w:eastAsia="仿宋" w:cs="仿宋"/>
          <w:color w:val="FF0000"/>
          <w:sz w:val="28"/>
          <w:szCs w:val="28"/>
          <w:lang w:val="en-US" w:eastAsia="zh-CN"/>
        </w:rPr>
        <w:t>注明乙方标识的工作牌，</w:t>
      </w:r>
      <w:r>
        <w:rPr>
          <w:rFonts w:hint="eastAsia" w:ascii="仿宋" w:hAnsi="仿宋" w:eastAsia="仿宋" w:cs="仿宋"/>
          <w:color w:val="auto"/>
          <w:sz w:val="28"/>
          <w:szCs w:val="28"/>
          <w:lang w:val="en-US" w:eastAsia="zh-CN"/>
        </w:rPr>
        <w:t>尽量减少对甲方正常诊疗、办公秩序的干扰；因服务需要产生不可避免的干扰时（如大面积消杀、设备检修等），必须事前取得甲方书面同意，并在约定时段内完成作业。</w:t>
      </w:r>
    </w:p>
    <w:p w14:paraId="7BF343D0">
      <w:pPr>
        <w:pStyle w:val="15"/>
        <w:keepNext w:val="0"/>
        <w:keepLines w:val="0"/>
        <w:pageBreakBefore w:val="0"/>
        <w:kinsoku/>
        <w:wordWrap/>
        <w:overflowPunct/>
        <w:topLinePunct w:val="0"/>
        <w:autoSpaceDE/>
        <w:autoSpaceDN/>
        <w:bidi w:val="0"/>
        <w:spacing w:line="480" w:lineRule="exact"/>
        <w:ind w:firstLine="560" w:firstLineChars="200"/>
        <w:rPr>
          <w:rFonts w:hint="default" w:eastAsia="仿宋"/>
          <w:color w:val="0000FF"/>
          <w:highlight w:val="none"/>
          <w:lang w:val="en-US" w:eastAsia="zh-CN"/>
        </w:rPr>
      </w:pPr>
      <w:r>
        <w:rPr>
          <w:rFonts w:hint="eastAsia" w:ascii="仿宋" w:hAnsi="仿宋" w:eastAsia="仿宋" w:cs="仿宋"/>
          <w:color w:val="0000FF"/>
          <w:sz w:val="28"/>
          <w:szCs w:val="28"/>
          <w:highlight w:val="none"/>
          <w:lang w:val="en-US" w:eastAsia="zh-CN"/>
        </w:rPr>
        <w:t>4.4 甲方</w:t>
      </w:r>
      <w:r>
        <w:rPr>
          <w:rFonts w:hint="eastAsia" w:ascii="仿宋" w:hAnsi="仿宋" w:eastAsia="仿宋" w:cs="仿宋"/>
          <w:color w:val="0000FF"/>
          <w:sz w:val="28"/>
          <w:szCs w:val="28"/>
          <w:highlight w:val="none"/>
        </w:rPr>
        <w:t>每季度</w:t>
      </w:r>
      <w:r>
        <w:rPr>
          <w:rFonts w:hint="eastAsia" w:ascii="仿宋" w:hAnsi="仿宋" w:eastAsia="仿宋" w:cs="仿宋"/>
          <w:color w:val="0000FF"/>
          <w:sz w:val="28"/>
          <w:szCs w:val="28"/>
          <w:highlight w:val="none"/>
          <w:lang w:val="en-US" w:eastAsia="zh-CN"/>
        </w:rPr>
        <w:t>进行服务质量科室满意度调查</w:t>
      </w:r>
      <w:r>
        <w:rPr>
          <w:rFonts w:hint="eastAsia" w:ascii="仿宋" w:hAnsi="仿宋" w:eastAsia="仿宋" w:cs="仿宋"/>
          <w:color w:val="0000FF"/>
          <w:sz w:val="28"/>
          <w:szCs w:val="28"/>
          <w:highlight w:val="none"/>
        </w:rPr>
        <w:t>（所有科室名单由甲方提供，每季度满意度调查以</w:t>
      </w:r>
      <w:r>
        <w:rPr>
          <w:rFonts w:hint="eastAsia" w:ascii="仿宋" w:hAnsi="仿宋" w:eastAsia="仿宋" w:cs="仿宋"/>
          <w:color w:val="0000FF"/>
          <w:sz w:val="28"/>
          <w:szCs w:val="28"/>
          <w:highlight w:val="none"/>
          <w:lang w:val="en-US" w:eastAsia="zh-CN"/>
        </w:rPr>
        <w:t>5</w:t>
      </w:r>
      <w:r>
        <w:rPr>
          <w:rFonts w:hint="eastAsia" w:ascii="仿宋" w:hAnsi="仿宋" w:eastAsia="仿宋" w:cs="仿宋"/>
          <w:color w:val="0000FF"/>
          <w:sz w:val="28"/>
          <w:szCs w:val="28"/>
          <w:highlight w:val="none"/>
        </w:rPr>
        <w:t>个科室以上为基数，每季度调查科室须不同）</w:t>
      </w:r>
      <w:r>
        <w:rPr>
          <w:rFonts w:hint="eastAsia" w:ascii="仿宋" w:hAnsi="仿宋" w:eastAsia="仿宋" w:cs="仿宋"/>
          <w:color w:val="0000FF"/>
          <w:sz w:val="28"/>
          <w:szCs w:val="28"/>
          <w:highlight w:val="none"/>
          <w:lang w:val="en-US" w:eastAsia="zh-CN"/>
        </w:rPr>
        <w:t>，乙方确保每次</w:t>
      </w:r>
      <w:r>
        <w:rPr>
          <w:rFonts w:hint="eastAsia" w:ascii="仿宋" w:hAnsi="仿宋" w:eastAsia="仿宋" w:cs="仿宋"/>
          <w:color w:val="0000FF"/>
          <w:sz w:val="28"/>
          <w:szCs w:val="28"/>
          <w:highlight w:val="none"/>
        </w:rPr>
        <w:t>调查</w:t>
      </w:r>
      <w:r>
        <w:rPr>
          <w:rFonts w:hint="eastAsia" w:ascii="仿宋" w:hAnsi="仿宋" w:eastAsia="仿宋" w:cs="仿宋"/>
          <w:color w:val="0000FF"/>
          <w:sz w:val="28"/>
          <w:szCs w:val="28"/>
          <w:highlight w:val="none"/>
          <w:lang w:val="en-US" w:eastAsia="zh-CN"/>
        </w:rPr>
        <w:t>满意率</w:t>
      </w:r>
      <w:r>
        <w:rPr>
          <w:rFonts w:hint="eastAsia" w:ascii="仿宋" w:hAnsi="仿宋" w:eastAsia="仿宋" w:cs="仿宋"/>
          <w:color w:val="0000FF"/>
          <w:sz w:val="28"/>
          <w:szCs w:val="28"/>
          <w:highlight w:val="none"/>
        </w:rPr>
        <w:t>达到90%以上。</w:t>
      </w:r>
      <w:r>
        <w:rPr>
          <w:rFonts w:hint="eastAsia" w:ascii="仿宋" w:hAnsi="仿宋" w:eastAsia="仿宋" w:cs="仿宋"/>
          <w:color w:val="0000FF"/>
          <w:sz w:val="28"/>
          <w:szCs w:val="28"/>
          <w:highlight w:val="none"/>
          <w:lang w:val="en-US" w:eastAsia="zh-CN"/>
        </w:rPr>
        <w:t>如因医院运营需要调整满意度调查科室基数，甲、乙双方另行协商并签订补充协议。</w:t>
      </w:r>
    </w:p>
    <w:p w14:paraId="0DB0B7F2">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4.5 乙方发现甲方房屋结构（如外向孔洞、门窗缝隙）、内外环境（如垃圾堆积、积水残留）等可能影响有害生物防治效果的改变时，应在 24 小时内以书面形式（含邮件、函件）通知甲方，详细说明问题位置、影响程度及整改建议，协商处理方案，且不得以此为由降低服务质量或追加服务费用。</w:t>
      </w:r>
    </w:p>
    <w:p w14:paraId="3035CB13">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4.6 乙方使用的药物和器械须经国家有关部门批准（提供相关资质证明复印件作为附件），确保不对甲方的环境和物品造成污染，不对甲方人员及与甲方相关的第三方人员的身体健康造成危害。若甲方对药物或器械提出质疑，乙方应在 3 个工作日内提供检测报告及合格证明；若因乙方服务造成不良后果（如人员中毒、物品损坏等），由乙方负责全额解释、处理并承担赔偿等全部责任。​</w:t>
      </w:r>
    </w:p>
    <w:p w14:paraId="5FD80E55">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4.7 乙方负责提供各级卫生行政部门卫生检查要求的有害生物防治施工治理记录（包括消杀时间、区域、药物名称、用量、操作人员、监测数据等），并确保甲方顺利通过相关卫生检查（如创卫检查、医院等级评审等）；若因乙方提供的记录不符合要求或服务未达标导致甲方未通过检查，乙方需承担由此给甲方造成的全部损失（含罚款、整改费、声誉损失赔偿等）。</w:t>
      </w:r>
    </w:p>
    <w:p w14:paraId="5023AA43">
      <w:pPr>
        <w:pStyle w:val="15"/>
        <w:keepNext w:val="0"/>
        <w:keepLines w:val="0"/>
        <w:pageBreakBefore w:val="0"/>
        <w:kinsoku/>
        <w:wordWrap/>
        <w:overflowPunct/>
        <w:topLinePunct w:val="0"/>
        <w:autoSpaceDE/>
        <w:autoSpaceDN/>
        <w:bidi w:val="0"/>
        <w:spacing w:line="480" w:lineRule="exact"/>
        <w:ind w:firstLine="560" w:firstLineChars="200"/>
        <w:rPr>
          <w:rFonts w:hint="default"/>
          <w:lang w:val="en-US" w:eastAsia="zh-CN"/>
        </w:rPr>
      </w:pPr>
      <w:r>
        <w:rPr>
          <w:rFonts w:hint="eastAsia" w:ascii="仿宋" w:hAnsi="仿宋" w:eastAsia="仿宋" w:cs="仿宋"/>
          <w:color w:val="auto"/>
          <w:sz w:val="28"/>
          <w:szCs w:val="28"/>
          <w:lang w:val="en-US" w:eastAsia="zh-CN"/>
        </w:rPr>
        <w:t>4.8 甲方接到有害生物相关投诉（如患者、科室反映有害生物活动）或遭遇突发事件（如有害生物暴发、上级检查发现问题）</w:t>
      </w:r>
      <w:r>
        <w:rPr>
          <w:rFonts w:hint="eastAsia" w:ascii="仿宋" w:hAnsi="仿宋" w:eastAsia="仿宋" w:cs="仿宋"/>
          <w:color w:val="FF0000"/>
          <w:sz w:val="28"/>
          <w:szCs w:val="28"/>
          <w:lang w:val="en-US" w:eastAsia="zh-CN"/>
        </w:rPr>
        <w:t>时通知乙方，</w:t>
      </w:r>
      <w:r>
        <w:rPr>
          <w:rFonts w:hint="eastAsia" w:ascii="仿宋" w:hAnsi="仿宋" w:eastAsia="仿宋" w:cs="仿宋"/>
          <w:color w:val="auto"/>
          <w:sz w:val="28"/>
          <w:szCs w:val="28"/>
          <w:lang w:val="en-US" w:eastAsia="zh-CN"/>
        </w:rPr>
        <w:t>乙方应在2小时内派专业人员到位处理；若2小时内未到位，甲方有权自行处理或委托第三方处理，由此产生的全部费用（含人工费、物料费、检测费、</w:t>
      </w:r>
      <w:r>
        <w:rPr>
          <w:rFonts w:hint="eastAsia" w:ascii="仿宋" w:hAnsi="仿宋" w:eastAsia="仿宋" w:cs="仿宋"/>
          <w:color w:val="FF0000"/>
          <w:sz w:val="28"/>
          <w:szCs w:val="28"/>
          <w:lang w:val="en-US" w:eastAsia="zh-CN"/>
        </w:rPr>
        <w:t>处理费</w:t>
      </w:r>
      <w:r>
        <w:rPr>
          <w:rFonts w:hint="eastAsia" w:ascii="仿宋" w:hAnsi="仿宋" w:eastAsia="仿宋" w:cs="仿宋"/>
          <w:color w:val="auto"/>
          <w:sz w:val="28"/>
          <w:szCs w:val="28"/>
          <w:lang w:val="en-US" w:eastAsia="zh-CN"/>
        </w:rPr>
        <w:t>等）由乙方承担，甲方有权从应付乙方的服务费用中直接扣除，扣除前应书面通知乙方。</w:t>
      </w:r>
    </w:p>
    <w:p w14:paraId="6C27A688">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4.9 甲方在接到乙方关于环境整改、设施维修的书面通知后，因客观原因（如建筑结构限制、诊疗需求等）无法落实，乙方仍需按本合同约定提供合格服务，不得降低服务标准。</w:t>
      </w:r>
    </w:p>
    <w:p w14:paraId="5526E411">
      <w:pPr>
        <w:keepNext w:val="0"/>
        <w:keepLines w:val="0"/>
        <w:pageBreakBefore w:val="0"/>
        <w:widowControl w:val="0"/>
        <w:kinsoku/>
        <w:wordWrap/>
        <w:overflowPunct/>
        <w:topLinePunct w:val="0"/>
        <w:autoSpaceDE/>
        <w:autoSpaceDN/>
        <w:bidi w:val="0"/>
        <w:adjustRightInd/>
        <w:snapToGrid/>
        <w:spacing w:line="480" w:lineRule="exact"/>
        <w:ind w:firstLine="562" w:firstLineChars="200"/>
        <w:textAlignment w:val="auto"/>
        <w:rPr>
          <w:rFonts w:hint="eastAsia" w:ascii="仿宋" w:hAnsi="仿宋" w:eastAsia="仿宋" w:cs="仿宋"/>
          <w:b/>
          <w:bCs/>
          <w:color w:val="auto"/>
          <w:sz w:val="28"/>
          <w:szCs w:val="28"/>
          <w:lang w:val="en-US" w:eastAsia="zh-CN"/>
        </w:rPr>
      </w:pPr>
      <w:r>
        <w:rPr>
          <w:rFonts w:hint="eastAsia" w:ascii="仿宋" w:hAnsi="仿宋" w:eastAsia="仿宋" w:cs="仿宋"/>
          <w:b/>
          <w:bCs/>
          <w:color w:val="auto"/>
          <w:sz w:val="28"/>
          <w:szCs w:val="28"/>
          <w:lang w:val="en-US" w:eastAsia="zh-CN"/>
        </w:rPr>
        <w:t>第五条 付款方式​</w:t>
      </w:r>
    </w:p>
    <w:p w14:paraId="543B9138">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 xml:space="preserve">5.1 </w:t>
      </w:r>
      <w:r>
        <w:rPr>
          <w:rFonts w:hint="eastAsia" w:ascii="仿宋" w:hAnsi="仿宋" w:eastAsia="仿宋" w:cs="仿宋"/>
          <w:color w:val="0000FF"/>
          <w:sz w:val="28"/>
          <w:szCs w:val="28"/>
          <w:lang w:val="en-US" w:eastAsia="zh-CN"/>
        </w:rPr>
        <w:t>本合同服务费用为人民币</w:t>
      </w:r>
      <w:r>
        <w:rPr>
          <w:rFonts w:hint="eastAsia" w:ascii="仿宋" w:hAnsi="仿宋" w:eastAsia="仿宋" w:cs="仿宋"/>
          <w:color w:val="0000FF"/>
          <w:sz w:val="28"/>
          <w:szCs w:val="28"/>
          <w:u w:val="single"/>
          <w:lang w:val="en-US" w:eastAsia="zh-CN"/>
        </w:rPr>
        <w:t xml:space="preserve">    </w:t>
      </w:r>
      <w:r>
        <w:rPr>
          <w:rFonts w:hint="eastAsia" w:ascii="仿宋" w:hAnsi="仿宋" w:eastAsia="仿宋" w:cs="仿宋"/>
          <w:color w:val="0000FF"/>
          <w:sz w:val="28"/>
          <w:szCs w:val="28"/>
          <w:lang w:val="en-US" w:eastAsia="zh-CN"/>
        </w:rPr>
        <w:t>元整/年</w:t>
      </w:r>
      <w:r>
        <w:rPr>
          <w:rFonts w:hint="eastAsia" w:ascii="仿宋" w:hAnsi="仿宋" w:eastAsia="仿宋" w:cs="仿宋"/>
          <w:color w:val="auto"/>
          <w:sz w:val="28"/>
          <w:szCs w:val="28"/>
          <w:lang w:val="en-US" w:eastAsia="zh-CN"/>
        </w:rPr>
        <w:t>，共计人民币</w:t>
      </w:r>
      <w:r>
        <w:rPr>
          <w:rFonts w:hint="eastAsia" w:ascii="仿宋" w:hAnsi="仿宋" w:eastAsia="仿宋" w:cs="仿宋"/>
          <w:color w:val="auto"/>
          <w:sz w:val="28"/>
          <w:szCs w:val="28"/>
          <w:u w:val="single"/>
          <w:lang w:val="en-US" w:eastAsia="zh-CN"/>
        </w:rPr>
        <w:t xml:space="preserve">     </w:t>
      </w:r>
      <w:r>
        <w:rPr>
          <w:rFonts w:hint="eastAsia" w:ascii="仿宋" w:hAnsi="仿宋" w:eastAsia="仿宋" w:cs="仿宋"/>
          <w:color w:val="auto"/>
          <w:sz w:val="28"/>
          <w:szCs w:val="28"/>
          <w:lang w:val="en-US" w:eastAsia="zh-CN"/>
        </w:rPr>
        <w:t>元整（小写：</w:t>
      </w:r>
      <w:r>
        <w:rPr>
          <w:rFonts w:hint="eastAsia" w:ascii="仿宋" w:hAnsi="仿宋" w:eastAsia="仿宋" w:cs="仿宋"/>
          <w:color w:val="auto"/>
          <w:sz w:val="28"/>
          <w:szCs w:val="28"/>
          <w:u w:val="single"/>
          <w:lang w:val="en-US" w:eastAsia="zh-CN"/>
        </w:rPr>
        <w:t xml:space="preserve">    </w:t>
      </w:r>
      <w:r>
        <w:rPr>
          <w:rFonts w:hint="eastAsia" w:ascii="仿宋" w:hAnsi="仿宋" w:eastAsia="仿宋" w:cs="仿宋"/>
          <w:color w:val="auto"/>
          <w:sz w:val="28"/>
          <w:szCs w:val="28"/>
          <w:lang w:val="en-US" w:eastAsia="zh-CN"/>
        </w:rPr>
        <w:t>元），已经包含服务费、人工费、材料费、工具费、药物费、器械费、检测检验费、运输费、装卸费、税费、</w:t>
      </w:r>
      <w:r>
        <w:rPr>
          <w:rFonts w:hint="eastAsia" w:ascii="仿宋" w:hAnsi="仿宋" w:eastAsia="仿宋" w:cs="仿宋"/>
          <w:color w:val="0000FF"/>
          <w:sz w:val="28"/>
          <w:szCs w:val="28"/>
          <w:lang w:val="en-US" w:eastAsia="zh-CN"/>
        </w:rPr>
        <w:t>附随服务费</w:t>
      </w:r>
      <w:r>
        <w:rPr>
          <w:rFonts w:hint="eastAsia" w:ascii="仿宋" w:hAnsi="仿宋" w:eastAsia="仿宋" w:cs="仿宋"/>
          <w:color w:val="auto"/>
          <w:sz w:val="28"/>
          <w:szCs w:val="28"/>
          <w:lang w:val="en-US" w:eastAsia="zh-CN"/>
        </w:rPr>
        <w:t>等全部费用，甲方不就本合同约定范围内的服务支付任何额外费用。</w:t>
      </w:r>
    </w:p>
    <w:p w14:paraId="2AF53260">
      <w:pPr>
        <w:pStyle w:val="11"/>
        <w:keepNext w:val="0"/>
        <w:keepLines w:val="0"/>
        <w:pageBreakBefore w:val="0"/>
        <w:widowControl w:val="0"/>
        <w:suppressLineNumbers w:val="0"/>
        <w:kinsoku/>
        <w:wordWrap/>
        <w:overflowPunct/>
        <w:topLinePunct w:val="0"/>
        <w:autoSpaceDE/>
        <w:autoSpaceDN/>
        <w:bidi w:val="0"/>
        <w:adjustRightInd/>
        <w:snapToGrid/>
        <w:spacing w:line="480" w:lineRule="exact"/>
        <w:ind w:firstLine="560" w:firstLineChars="200"/>
        <w:jc w:val="both"/>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5.2 甲方通过银行转账方式</w:t>
      </w:r>
      <w:r>
        <w:rPr>
          <w:rFonts w:hint="eastAsia" w:ascii="仿宋" w:hAnsi="仿宋" w:eastAsia="仿宋" w:cs="仿宋"/>
          <w:color w:val="auto"/>
          <w:sz w:val="28"/>
          <w:szCs w:val="28"/>
        </w:rPr>
        <w:t>分期</w:t>
      </w:r>
      <w:r>
        <w:rPr>
          <w:rFonts w:hint="eastAsia" w:ascii="仿宋" w:hAnsi="仿宋" w:eastAsia="仿宋" w:cs="仿宋"/>
          <w:color w:val="auto"/>
          <w:sz w:val="28"/>
          <w:szCs w:val="28"/>
          <w:lang w:val="en-US" w:eastAsia="zh-CN"/>
        </w:rPr>
        <w:t>支付费用至乙方指定账户</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lang w:val="en-US" w:eastAsia="zh-CN"/>
        </w:rPr>
        <w:t>服务费由甲方通过银行转账分三期支付至乙方指定账户：</w:t>
      </w:r>
    </w:p>
    <w:p w14:paraId="0BF17D60">
      <w:pPr>
        <w:pStyle w:val="11"/>
        <w:keepNext w:val="0"/>
        <w:keepLines w:val="0"/>
        <w:pageBreakBefore w:val="0"/>
        <w:widowControl w:val="0"/>
        <w:suppressLineNumbers w:val="0"/>
        <w:kinsoku/>
        <w:wordWrap/>
        <w:overflowPunct/>
        <w:topLinePunct w:val="0"/>
        <w:autoSpaceDE/>
        <w:autoSpaceDN/>
        <w:bidi w:val="0"/>
        <w:adjustRightInd/>
        <w:snapToGrid/>
        <w:spacing w:line="480" w:lineRule="exact"/>
        <w:ind w:firstLine="560" w:firstLineChars="200"/>
        <w:jc w:val="both"/>
        <w:textAlignment w:val="auto"/>
        <w:rPr>
          <w:rFonts w:hint="eastAsia" w:ascii="仿宋" w:hAnsi="仿宋" w:eastAsia="仿宋" w:cs="仿宋"/>
          <w:color w:val="000000" w:themeColor="text1"/>
          <w:sz w:val="28"/>
          <w:szCs w:val="28"/>
          <w:lang w:val="en-US" w:eastAsia="zh-CN"/>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第一期：2027年  月 日后30日内支付服务费用总额</w:t>
      </w:r>
      <w:r>
        <w:rPr>
          <w:rFonts w:hint="eastAsia" w:ascii="仿宋" w:hAnsi="仿宋" w:eastAsia="仿宋" w:cs="仿宋"/>
          <w:color w:val="000000" w:themeColor="text1"/>
          <w:sz w:val="28"/>
          <w:szCs w:val="28"/>
          <w14:textFill>
            <w14:solidFill>
              <w14:schemeClr w14:val="tx1"/>
            </w14:solidFill>
          </w14:textFill>
        </w:rPr>
        <w:t>的</w:t>
      </w:r>
      <w:r>
        <w:rPr>
          <w:rFonts w:hint="eastAsia" w:ascii="仿宋" w:hAnsi="仿宋" w:eastAsia="仿宋" w:cs="仿宋"/>
          <w:color w:val="000000" w:themeColor="text1"/>
          <w:sz w:val="28"/>
          <w:szCs w:val="28"/>
          <w:lang w:val="en-US" w:eastAsia="zh-CN"/>
          <w14:textFill>
            <w14:solidFill>
              <w14:schemeClr w14:val="tx1"/>
            </w14:solidFill>
          </w14:textFill>
        </w:rPr>
        <w:t>3</w:t>
      </w:r>
      <w:r>
        <w:rPr>
          <w:rFonts w:hint="eastAsia" w:ascii="仿宋" w:hAnsi="仿宋" w:eastAsia="仿宋" w:cs="仿宋"/>
          <w:color w:val="000000" w:themeColor="text1"/>
          <w:sz w:val="28"/>
          <w:szCs w:val="28"/>
          <w14:textFill>
            <w14:solidFill>
              <w14:schemeClr w14:val="tx1"/>
            </w14:solidFill>
          </w14:textFill>
        </w:rPr>
        <w:t>0%</w:t>
      </w:r>
      <w:r>
        <w:rPr>
          <w:rFonts w:hint="eastAsia" w:ascii="仿宋" w:hAnsi="仿宋" w:eastAsia="仿宋" w:cs="仿宋"/>
          <w:color w:val="000000" w:themeColor="text1"/>
          <w:sz w:val="28"/>
          <w:szCs w:val="28"/>
          <w:lang w:eastAsia="zh-CN"/>
          <w14:textFill>
            <w14:solidFill>
              <w14:schemeClr w14:val="tx1"/>
            </w14:solidFill>
          </w14:textFill>
        </w:rPr>
        <w:t>即人民币</w:t>
      </w:r>
      <w:r>
        <w:rPr>
          <w:rFonts w:hint="eastAsia" w:ascii="仿宋" w:hAnsi="仿宋" w:eastAsia="仿宋" w:cs="仿宋"/>
          <w:color w:val="000000" w:themeColor="text1"/>
          <w:sz w:val="28"/>
          <w:szCs w:val="28"/>
          <w:u w:val="single"/>
          <w:lang w:val="en-US" w:eastAsia="zh-CN"/>
          <w14:textFill>
            <w14:solidFill>
              <w14:schemeClr w14:val="tx1"/>
            </w14:solidFill>
          </w14:textFill>
        </w:rPr>
        <w:t xml:space="preserve">          </w:t>
      </w:r>
      <w:r>
        <w:rPr>
          <w:rFonts w:hint="eastAsia" w:ascii="仿宋" w:hAnsi="仿宋" w:eastAsia="仿宋" w:cs="仿宋"/>
          <w:color w:val="000000" w:themeColor="text1"/>
          <w:sz w:val="28"/>
          <w:szCs w:val="28"/>
          <w:lang w:val="en-US" w:eastAsia="zh-CN"/>
          <w14:textFill>
            <w14:solidFill>
              <w14:schemeClr w14:val="tx1"/>
            </w14:solidFill>
          </w14:textFill>
        </w:rPr>
        <w:t>元；</w:t>
      </w:r>
    </w:p>
    <w:p w14:paraId="023B8B20">
      <w:pPr>
        <w:pStyle w:val="11"/>
        <w:keepNext w:val="0"/>
        <w:keepLines w:val="0"/>
        <w:pageBreakBefore w:val="0"/>
        <w:widowControl w:val="0"/>
        <w:suppressLineNumbers w:val="0"/>
        <w:kinsoku/>
        <w:wordWrap/>
        <w:overflowPunct/>
        <w:topLinePunct w:val="0"/>
        <w:autoSpaceDE/>
        <w:autoSpaceDN/>
        <w:bidi w:val="0"/>
        <w:adjustRightInd/>
        <w:snapToGrid/>
        <w:spacing w:line="480" w:lineRule="exact"/>
        <w:ind w:firstLine="560" w:firstLineChars="200"/>
        <w:jc w:val="both"/>
        <w:textAlignment w:val="auto"/>
        <w:rPr>
          <w:rFonts w:hint="eastAsia" w:ascii="仿宋" w:hAnsi="仿宋" w:eastAsia="仿宋" w:cs="仿宋"/>
          <w:color w:val="000000" w:themeColor="text1"/>
          <w:sz w:val="28"/>
          <w:szCs w:val="28"/>
          <w:lang w:val="en-US" w:eastAsia="zh-CN"/>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第二期：2028年  月 日后30日内支付服务费用总额</w:t>
      </w:r>
      <w:r>
        <w:rPr>
          <w:rFonts w:hint="eastAsia" w:ascii="仿宋" w:hAnsi="仿宋" w:eastAsia="仿宋" w:cs="仿宋"/>
          <w:color w:val="000000" w:themeColor="text1"/>
          <w:sz w:val="28"/>
          <w:szCs w:val="28"/>
          <w14:textFill>
            <w14:solidFill>
              <w14:schemeClr w14:val="tx1"/>
            </w14:solidFill>
          </w14:textFill>
        </w:rPr>
        <w:t>的</w:t>
      </w:r>
      <w:r>
        <w:rPr>
          <w:rFonts w:hint="eastAsia" w:ascii="仿宋" w:hAnsi="仿宋" w:eastAsia="仿宋" w:cs="仿宋"/>
          <w:color w:val="000000" w:themeColor="text1"/>
          <w:sz w:val="28"/>
          <w:szCs w:val="28"/>
          <w:lang w:val="en-US" w:eastAsia="zh-CN"/>
          <w14:textFill>
            <w14:solidFill>
              <w14:schemeClr w14:val="tx1"/>
            </w14:solidFill>
          </w14:textFill>
        </w:rPr>
        <w:t>3</w:t>
      </w:r>
      <w:r>
        <w:rPr>
          <w:rFonts w:hint="eastAsia" w:ascii="仿宋" w:hAnsi="仿宋" w:eastAsia="仿宋" w:cs="仿宋"/>
          <w:color w:val="000000" w:themeColor="text1"/>
          <w:sz w:val="28"/>
          <w:szCs w:val="28"/>
          <w14:textFill>
            <w14:solidFill>
              <w14:schemeClr w14:val="tx1"/>
            </w14:solidFill>
          </w14:textFill>
        </w:rPr>
        <w:t>0%</w:t>
      </w:r>
      <w:r>
        <w:rPr>
          <w:rFonts w:hint="eastAsia" w:ascii="仿宋" w:hAnsi="仿宋" w:eastAsia="仿宋" w:cs="仿宋"/>
          <w:color w:val="000000" w:themeColor="text1"/>
          <w:sz w:val="28"/>
          <w:szCs w:val="28"/>
          <w:lang w:eastAsia="zh-CN"/>
          <w14:textFill>
            <w14:solidFill>
              <w14:schemeClr w14:val="tx1"/>
            </w14:solidFill>
          </w14:textFill>
        </w:rPr>
        <w:t>即人民币</w:t>
      </w:r>
      <w:r>
        <w:rPr>
          <w:rFonts w:hint="eastAsia" w:ascii="仿宋" w:hAnsi="仿宋" w:eastAsia="仿宋" w:cs="仿宋"/>
          <w:color w:val="000000" w:themeColor="text1"/>
          <w:sz w:val="28"/>
          <w:szCs w:val="28"/>
          <w:u w:val="single"/>
          <w:lang w:val="en-US" w:eastAsia="zh-CN"/>
          <w14:textFill>
            <w14:solidFill>
              <w14:schemeClr w14:val="tx1"/>
            </w14:solidFill>
          </w14:textFill>
        </w:rPr>
        <w:t xml:space="preserve">          </w:t>
      </w:r>
      <w:r>
        <w:rPr>
          <w:rFonts w:hint="eastAsia" w:ascii="仿宋" w:hAnsi="仿宋" w:eastAsia="仿宋" w:cs="仿宋"/>
          <w:color w:val="000000" w:themeColor="text1"/>
          <w:sz w:val="28"/>
          <w:szCs w:val="28"/>
          <w:lang w:val="en-US" w:eastAsia="zh-CN"/>
          <w14:textFill>
            <w14:solidFill>
              <w14:schemeClr w14:val="tx1"/>
            </w14:solidFill>
          </w14:textFill>
        </w:rPr>
        <w:t>元；</w:t>
      </w:r>
    </w:p>
    <w:p w14:paraId="300BCEB8">
      <w:pPr>
        <w:pStyle w:val="11"/>
        <w:keepNext w:val="0"/>
        <w:keepLines w:val="0"/>
        <w:pageBreakBefore w:val="0"/>
        <w:widowControl w:val="0"/>
        <w:suppressLineNumbers w:val="0"/>
        <w:kinsoku/>
        <w:wordWrap/>
        <w:overflowPunct/>
        <w:topLinePunct w:val="0"/>
        <w:autoSpaceDE/>
        <w:autoSpaceDN/>
        <w:bidi w:val="0"/>
        <w:adjustRightInd/>
        <w:snapToGrid/>
        <w:spacing w:line="480" w:lineRule="exact"/>
        <w:ind w:firstLine="560" w:firstLineChars="200"/>
        <w:jc w:val="both"/>
        <w:textAlignment w:val="auto"/>
        <w:rPr>
          <w:rFonts w:hint="eastAsia" w:ascii="仿宋" w:hAnsi="仿宋" w:eastAsia="仿宋" w:cs="仿宋"/>
          <w:color w:val="000000" w:themeColor="text1"/>
          <w:sz w:val="28"/>
          <w:szCs w:val="28"/>
          <w:lang w:eastAsia="zh-CN"/>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第三期：2029年  月 日后30日内支付服务费用总额</w:t>
      </w:r>
      <w:r>
        <w:rPr>
          <w:rFonts w:hint="eastAsia" w:ascii="仿宋" w:hAnsi="仿宋" w:eastAsia="仿宋" w:cs="仿宋"/>
          <w:color w:val="000000" w:themeColor="text1"/>
          <w:sz w:val="28"/>
          <w:szCs w:val="28"/>
          <w14:textFill>
            <w14:solidFill>
              <w14:schemeClr w14:val="tx1"/>
            </w14:solidFill>
          </w14:textFill>
        </w:rPr>
        <w:t>的</w:t>
      </w:r>
      <w:r>
        <w:rPr>
          <w:rFonts w:hint="eastAsia" w:ascii="仿宋" w:hAnsi="仿宋" w:eastAsia="仿宋" w:cs="仿宋"/>
          <w:color w:val="000000" w:themeColor="text1"/>
          <w:sz w:val="28"/>
          <w:szCs w:val="28"/>
          <w:lang w:val="en-US" w:eastAsia="zh-CN"/>
          <w14:textFill>
            <w14:solidFill>
              <w14:schemeClr w14:val="tx1"/>
            </w14:solidFill>
          </w14:textFill>
        </w:rPr>
        <w:t>40</w:t>
      </w:r>
      <w:r>
        <w:rPr>
          <w:rFonts w:hint="eastAsia" w:ascii="仿宋" w:hAnsi="仿宋" w:eastAsia="仿宋" w:cs="仿宋"/>
          <w:color w:val="000000" w:themeColor="text1"/>
          <w:sz w:val="28"/>
          <w:szCs w:val="28"/>
          <w14:textFill>
            <w14:solidFill>
              <w14:schemeClr w14:val="tx1"/>
            </w14:solidFill>
          </w14:textFill>
        </w:rPr>
        <w:t>%</w:t>
      </w:r>
      <w:r>
        <w:rPr>
          <w:rFonts w:hint="eastAsia" w:ascii="仿宋" w:hAnsi="仿宋" w:eastAsia="仿宋" w:cs="仿宋"/>
          <w:color w:val="000000" w:themeColor="text1"/>
          <w:sz w:val="28"/>
          <w:szCs w:val="28"/>
          <w:lang w:eastAsia="zh-CN"/>
          <w14:textFill>
            <w14:solidFill>
              <w14:schemeClr w14:val="tx1"/>
            </w14:solidFill>
          </w14:textFill>
        </w:rPr>
        <w:t>即人民币</w:t>
      </w:r>
      <w:r>
        <w:rPr>
          <w:rFonts w:hint="eastAsia" w:ascii="仿宋" w:hAnsi="仿宋" w:eastAsia="仿宋" w:cs="仿宋"/>
          <w:color w:val="000000" w:themeColor="text1"/>
          <w:sz w:val="28"/>
          <w:szCs w:val="28"/>
          <w:u w:val="single"/>
          <w:lang w:val="en-US" w:eastAsia="zh-CN"/>
          <w14:textFill>
            <w14:solidFill>
              <w14:schemeClr w14:val="tx1"/>
            </w14:solidFill>
          </w14:textFill>
        </w:rPr>
        <w:t xml:space="preserve">          </w:t>
      </w:r>
      <w:r>
        <w:rPr>
          <w:rFonts w:hint="eastAsia" w:ascii="仿宋" w:hAnsi="仿宋" w:eastAsia="仿宋" w:cs="仿宋"/>
          <w:color w:val="000000" w:themeColor="text1"/>
          <w:sz w:val="28"/>
          <w:szCs w:val="28"/>
          <w:lang w:val="en-US" w:eastAsia="zh-CN"/>
          <w14:textFill>
            <w14:solidFill>
              <w14:schemeClr w14:val="tx1"/>
            </w14:solidFill>
          </w14:textFill>
        </w:rPr>
        <w:t>元</w:t>
      </w:r>
      <w:r>
        <w:rPr>
          <w:rFonts w:hint="eastAsia" w:ascii="仿宋" w:hAnsi="仿宋" w:eastAsia="仿宋" w:cs="仿宋"/>
          <w:color w:val="000000" w:themeColor="text1"/>
          <w:sz w:val="28"/>
          <w:szCs w:val="28"/>
          <w:lang w:eastAsia="zh-CN"/>
          <w14:textFill>
            <w14:solidFill>
              <w14:schemeClr w14:val="tx1"/>
            </w14:solidFill>
          </w14:textFill>
        </w:rPr>
        <w:t>。</w:t>
      </w:r>
    </w:p>
    <w:p w14:paraId="6C79866E">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 xml:space="preserve">5.3 </w:t>
      </w:r>
      <w:r>
        <w:rPr>
          <w:rFonts w:hint="eastAsia" w:ascii="仿宋" w:hAnsi="仿宋" w:eastAsia="仿宋" w:cs="仿宋"/>
          <w:color w:val="auto"/>
          <w:sz w:val="28"/>
          <w:szCs w:val="28"/>
          <w:lang w:eastAsia="zh-CN"/>
        </w:rPr>
        <w:t>乙方指定账户为：户名</w:t>
      </w:r>
      <w:r>
        <w:rPr>
          <w:rFonts w:hint="eastAsia" w:ascii="仿宋" w:hAnsi="仿宋" w:eastAsia="仿宋" w:cs="仿宋"/>
          <w:color w:val="auto"/>
          <w:sz w:val="28"/>
          <w:szCs w:val="28"/>
          <w:u w:val="none"/>
          <w:lang w:eastAsia="zh-CN"/>
        </w:rPr>
        <w:t>：</w:t>
      </w:r>
      <w:r>
        <w:rPr>
          <w:rFonts w:hint="eastAsia" w:ascii="仿宋" w:hAnsi="仿宋" w:eastAsia="仿宋" w:cs="仿宋"/>
          <w:b w:val="0"/>
          <w:bCs w:val="0"/>
          <w:color w:val="auto"/>
          <w:sz w:val="28"/>
          <w:szCs w:val="28"/>
          <w:u w:val="single"/>
          <w:lang w:eastAsia="zh-CN"/>
        </w:rPr>
        <w:t xml:space="preserve">  </w:t>
      </w:r>
      <w:r>
        <w:rPr>
          <w:rFonts w:hint="eastAsia" w:ascii="仿宋" w:hAnsi="仿宋" w:eastAsia="仿宋" w:cs="仿宋"/>
          <w:b w:val="0"/>
          <w:bCs w:val="0"/>
          <w:color w:val="auto"/>
          <w:sz w:val="28"/>
          <w:szCs w:val="28"/>
          <w:u w:val="single"/>
          <w:lang w:val="en-US" w:eastAsia="zh-CN"/>
        </w:rPr>
        <w:t xml:space="preserve">     </w:t>
      </w:r>
      <w:r>
        <w:rPr>
          <w:rFonts w:hint="eastAsia" w:ascii="仿宋" w:hAnsi="仿宋" w:eastAsia="仿宋" w:cs="仿宋"/>
          <w:b w:val="0"/>
          <w:bCs w:val="0"/>
          <w:color w:val="auto"/>
          <w:sz w:val="28"/>
          <w:szCs w:val="28"/>
          <w:u w:val="single"/>
          <w:lang w:eastAsia="zh-CN"/>
        </w:rPr>
        <w:t xml:space="preserve"> </w:t>
      </w:r>
      <w:r>
        <w:rPr>
          <w:rFonts w:hint="eastAsia" w:ascii="仿宋" w:hAnsi="仿宋" w:eastAsia="仿宋" w:cs="仿宋"/>
          <w:b w:val="0"/>
          <w:bCs w:val="0"/>
          <w:color w:val="auto"/>
          <w:sz w:val="28"/>
          <w:szCs w:val="28"/>
          <w:lang w:val="en-US" w:eastAsia="zh-CN"/>
        </w:rPr>
        <w:t>，</w:t>
      </w:r>
      <w:r>
        <w:rPr>
          <w:rFonts w:hint="eastAsia" w:ascii="仿宋" w:hAnsi="仿宋" w:eastAsia="仿宋" w:cs="仿宋"/>
          <w:color w:val="auto"/>
          <w:sz w:val="28"/>
          <w:szCs w:val="28"/>
          <w:lang w:eastAsia="zh-CN"/>
        </w:rPr>
        <w:t>开户银行</w:t>
      </w:r>
      <w:r>
        <w:rPr>
          <w:rFonts w:hint="eastAsia" w:ascii="仿宋" w:hAnsi="仿宋" w:eastAsia="仿宋" w:cs="仿宋"/>
          <w:color w:val="auto"/>
          <w:sz w:val="28"/>
          <w:szCs w:val="28"/>
          <w:u w:val="none"/>
          <w:lang w:eastAsia="zh-CN"/>
        </w:rPr>
        <w:t>：</w:t>
      </w:r>
      <w:r>
        <w:rPr>
          <w:rFonts w:hint="eastAsia" w:ascii="仿宋" w:hAnsi="仿宋" w:eastAsia="仿宋" w:cs="仿宋"/>
          <w:color w:val="auto"/>
          <w:sz w:val="28"/>
          <w:szCs w:val="28"/>
          <w:u w:val="single"/>
          <w:lang w:val="en-US" w:eastAsia="zh-CN"/>
        </w:rPr>
        <w:t xml:space="preserve">         </w:t>
      </w:r>
      <w:r>
        <w:rPr>
          <w:rFonts w:hint="eastAsia" w:ascii="仿宋" w:hAnsi="仿宋" w:eastAsia="仿宋" w:cs="仿宋"/>
          <w:color w:val="auto"/>
          <w:sz w:val="28"/>
          <w:szCs w:val="28"/>
          <w:lang w:val="en-US" w:eastAsia="zh-CN"/>
        </w:rPr>
        <w:t>，</w:t>
      </w:r>
      <w:r>
        <w:rPr>
          <w:rFonts w:hint="eastAsia" w:ascii="仿宋" w:hAnsi="仿宋" w:eastAsia="仿宋" w:cs="仿宋"/>
          <w:color w:val="auto"/>
          <w:sz w:val="28"/>
          <w:szCs w:val="28"/>
          <w:lang w:eastAsia="zh-CN"/>
        </w:rPr>
        <w:t>账号</w:t>
      </w:r>
      <w:r>
        <w:rPr>
          <w:rFonts w:hint="eastAsia" w:ascii="仿宋" w:hAnsi="仿宋" w:eastAsia="仿宋" w:cs="仿宋"/>
          <w:color w:val="auto"/>
          <w:sz w:val="28"/>
          <w:szCs w:val="28"/>
          <w:u w:val="none"/>
          <w:lang w:eastAsia="zh-CN"/>
        </w:rPr>
        <w:t>：</w:t>
      </w:r>
      <w:r>
        <w:rPr>
          <w:rFonts w:hint="eastAsia" w:ascii="仿宋" w:hAnsi="仿宋" w:eastAsia="仿宋" w:cs="仿宋"/>
          <w:color w:val="auto"/>
          <w:sz w:val="28"/>
          <w:szCs w:val="28"/>
          <w:u w:val="single"/>
          <w:lang w:val="en-US" w:eastAsia="zh-CN"/>
        </w:rPr>
        <w:t xml:space="preserve">        </w:t>
      </w:r>
      <w:r>
        <w:rPr>
          <w:rFonts w:hint="eastAsia" w:ascii="仿宋" w:hAnsi="仿宋" w:eastAsia="仿宋" w:cs="仿宋"/>
          <w:color w:val="auto"/>
          <w:sz w:val="28"/>
          <w:szCs w:val="28"/>
          <w:lang w:val="en-US" w:eastAsia="zh-CN"/>
        </w:rPr>
        <w:t>。</w:t>
      </w:r>
    </w:p>
    <w:p w14:paraId="4589B919">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5.4 乙方应在甲方每次支付前提供</w:t>
      </w:r>
      <w:r>
        <w:rPr>
          <w:rFonts w:hint="eastAsia" w:ascii="仿宋" w:hAnsi="仿宋" w:eastAsia="仿宋" w:cs="仿宋"/>
          <w:color w:val="FF0000"/>
          <w:sz w:val="28"/>
          <w:szCs w:val="28"/>
          <w:lang w:val="en-US" w:eastAsia="zh-CN"/>
        </w:rPr>
        <w:t>价税合计金额与该次付款金额等额</w:t>
      </w:r>
      <w:r>
        <w:rPr>
          <w:rFonts w:hint="eastAsia" w:ascii="仿宋" w:hAnsi="仿宋" w:eastAsia="仿宋" w:cs="仿宋"/>
          <w:color w:val="auto"/>
          <w:sz w:val="28"/>
          <w:szCs w:val="28"/>
          <w:lang w:val="en-US" w:eastAsia="zh-CN"/>
        </w:rPr>
        <w:t>的增值税普通发票和经甲方验收合格的服务清单凭证，如乙方未及时提供前述发票、凭证，甲方有权拒付款项，由此产生的责任均由乙方承担。</w:t>
      </w:r>
    </w:p>
    <w:p w14:paraId="11E05904">
      <w:pPr>
        <w:keepNext w:val="0"/>
        <w:keepLines w:val="0"/>
        <w:pageBreakBefore w:val="0"/>
        <w:widowControl w:val="0"/>
        <w:kinsoku/>
        <w:wordWrap/>
        <w:overflowPunct/>
        <w:topLinePunct w:val="0"/>
        <w:autoSpaceDE/>
        <w:autoSpaceDN/>
        <w:bidi w:val="0"/>
        <w:adjustRightInd/>
        <w:snapToGrid/>
        <w:spacing w:line="480" w:lineRule="exact"/>
        <w:ind w:firstLine="562" w:firstLineChars="200"/>
        <w:textAlignment w:val="auto"/>
        <w:rPr>
          <w:rFonts w:hint="default" w:ascii="仿宋" w:hAnsi="仿宋" w:eastAsia="仿宋" w:cs="仿宋"/>
          <w:b/>
          <w:bCs/>
          <w:color w:val="0000FF"/>
          <w:sz w:val="28"/>
          <w:szCs w:val="28"/>
          <w:lang w:val="en-US" w:eastAsia="zh-CN"/>
        </w:rPr>
      </w:pPr>
      <w:r>
        <w:rPr>
          <w:rFonts w:hint="eastAsia" w:ascii="仿宋" w:hAnsi="仿宋" w:eastAsia="仿宋" w:cs="仿宋"/>
          <w:b/>
          <w:bCs/>
          <w:color w:val="0000FF"/>
          <w:sz w:val="28"/>
          <w:szCs w:val="28"/>
          <w:lang w:val="en-US" w:eastAsia="zh-CN"/>
        </w:rPr>
        <w:t>第六条 风险承担</w:t>
      </w:r>
    </w:p>
    <w:p w14:paraId="1385C7A1">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default"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 xml:space="preserve">6.1 </w:t>
      </w:r>
      <w:r>
        <w:rPr>
          <w:rFonts w:hint="default" w:ascii="仿宋" w:hAnsi="仿宋" w:eastAsia="仿宋" w:cs="仿宋"/>
          <w:color w:val="auto"/>
          <w:sz w:val="28"/>
          <w:szCs w:val="28"/>
          <w:lang w:val="en-US" w:eastAsia="zh-CN"/>
        </w:rPr>
        <w:t>乙方（包括指派履行合同的人员）在本合同履行期间给甲方、乙方（包括指派履行合同的人员）或第三方造成的人身、财产损失，均由乙方承担法律责任和赔偿责任。</w:t>
      </w:r>
    </w:p>
    <w:p w14:paraId="42AC25FB">
      <w:pPr>
        <w:keepNext w:val="0"/>
        <w:keepLines w:val="0"/>
        <w:pageBreakBefore w:val="0"/>
        <w:widowControl w:val="0"/>
        <w:kinsoku/>
        <w:wordWrap/>
        <w:overflowPunct w:val="0"/>
        <w:topLinePunct w:val="0"/>
        <w:autoSpaceDE/>
        <w:autoSpaceDN/>
        <w:bidi w:val="0"/>
        <w:spacing w:line="460" w:lineRule="exact"/>
        <w:ind w:left="0" w:leftChars="0" w:firstLine="560" w:firstLineChars="200"/>
        <w:textAlignment w:val="auto"/>
        <w:rPr>
          <w:rFonts w:hint="default"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6.2 本</w:t>
      </w:r>
      <w:r>
        <w:rPr>
          <w:rFonts w:hint="eastAsia" w:ascii="仿宋" w:hAnsi="仿宋" w:eastAsia="仿宋" w:cs="仿宋"/>
          <w:color w:val="auto"/>
          <w:sz w:val="28"/>
          <w:szCs w:val="28"/>
        </w:rPr>
        <w:t>合同</w:t>
      </w:r>
      <w:r>
        <w:rPr>
          <w:rFonts w:hint="eastAsia" w:ascii="仿宋" w:hAnsi="仿宋" w:eastAsia="仿宋" w:cs="仿宋"/>
          <w:color w:val="auto"/>
          <w:sz w:val="28"/>
          <w:szCs w:val="28"/>
          <w:lang w:val="en-US" w:eastAsia="zh-CN"/>
        </w:rPr>
        <w:t>服务期限内，因本合同限定的有害生物（鼠类、蟑类等）对</w:t>
      </w:r>
      <w:r>
        <w:rPr>
          <w:rFonts w:hint="eastAsia" w:ascii="仿宋" w:hAnsi="仿宋" w:eastAsia="仿宋" w:cs="仿宋"/>
          <w:color w:val="auto"/>
          <w:sz w:val="28"/>
          <w:szCs w:val="28"/>
        </w:rPr>
        <w:t>甲</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lang w:val="en-US" w:eastAsia="zh-CN"/>
        </w:rPr>
        <w:t>乙双方及第三方造成的人身损害、财产损失</w:t>
      </w:r>
      <w:r>
        <w:rPr>
          <w:rFonts w:hint="eastAsia" w:ascii="仿宋" w:hAnsi="仿宋" w:eastAsia="仿宋" w:cs="仿宋"/>
          <w:color w:val="auto"/>
          <w:sz w:val="28"/>
          <w:szCs w:val="28"/>
        </w:rPr>
        <w:t>以及老鼠对太平间存放遗体的损害</w:t>
      </w:r>
      <w:r>
        <w:rPr>
          <w:rFonts w:hint="eastAsia" w:ascii="仿宋" w:hAnsi="仿宋" w:eastAsia="仿宋" w:cs="仿宋"/>
          <w:color w:val="auto"/>
          <w:sz w:val="28"/>
          <w:szCs w:val="28"/>
          <w:lang w:val="en-US" w:eastAsia="zh-CN"/>
        </w:rPr>
        <w:t>均</w:t>
      </w:r>
      <w:r>
        <w:rPr>
          <w:rFonts w:hint="eastAsia" w:ascii="仿宋" w:hAnsi="仿宋" w:eastAsia="仿宋" w:cs="仿宋"/>
          <w:color w:val="auto"/>
          <w:sz w:val="28"/>
          <w:szCs w:val="28"/>
        </w:rPr>
        <w:t>由乙方</w:t>
      </w:r>
      <w:r>
        <w:rPr>
          <w:rFonts w:hint="eastAsia" w:ascii="仿宋" w:hAnsi="仿宋" w:eastAsia="仿宋" w:cs="仿宋"/>
          <w:color w:val="auto"/>
          <w:sz w:val="28"/>
          <w:szCs w:val="28"/>
          <w:lang w:val="en-US" w:eastAsia="zh-CN"/>
        </w:rPr>
        <w:t>承担法律责任和赔偿责任</w:t>
      </w:r>
      <w:r>
        <w:rPr>
          <w:rFonts w:hint="eastAsia" w:ascii="仿宋" w:hAnsi="仿宋" w:eastAsia="仿宋" w:cs="仿宋"/>
          <w:color w:val="auto"/>
          <w:sz w:val="28"/>
          <w:szCs w:val="28"/>
        </w:rPr>
        <w:t>。</w:t>
      </w:r>
    </w:p>
    <w:p w14:paraId="19CFD03D">
      <w:pPr>
        <w:keepNext w:val="0"/>
        <w:keepLines w:val="0"/>
        <w:pageBreakBefore w:val="0"/>
        <w:widowControl w:val="0"/>
        <w:kinsoku/>
        <w:wordWrap/>
        <w:overflowPunct w:val="0"/>
        <w:topLinePunct w:val="0"/>
        <w:autoSpaceDE/>
        <w:autoSpaceDN/>
        <w:bidi w:val="0"/>
        <w:spacing w:line="460" w:lineRule="exact"/>
        <w:ind w:left="0" w:leftChars="0" w:firstLine="560" w:firstLineChars="200"/>
        <w:textAlignment w:val="auto"/>
        <w:rPr>
          <w:rFonts w:hint="default" w:ascii="仿宋" w:hAnsi="仿宋" w:eastAsia="仿宋" w:cs="仿宋"/>
          <w:color w:val="0000FF"/>
          <w:sz w:val="28"/>
          <w:szCs w:val="28"/>
          <w:lang w:val="en-US" w:eastAsia="zh-CN"/>
        </w:rPr>
      </w:pPr>
      <w:r>
        <w:rPr>
          <w:rFonts w:hint="eastAsia" w:ascii="仿宋" w:hAnsi="仿宋" w:eastAsia="仿宋" w:cs="仿宋"/>
          <w:color w:val="0000FF"/>
          <w:sz w:val="28"/>
          <w:szCs w:val="28"/>
          <w:lang w:val="en-US" w:eastAsia="zh-CN"/>
        </w:rPr>
        <w:t>6.3 如甲方因乙方服务等原因涉及纠纷、诉讼或被处以行政处罚，由乙方承担甲方因纠纷、诉讼、罚款等造成的全部经济损失。</w:t>
      </w:r>
    </w:p>
    <w:p w14:paraId="7137E49A">
      <w:pPr>
        <w:keepNext w:val="0"/>
        <w:keepLines w:val="0"/>
        <w:pageBreakBefore w:val="0"/>
        <w:widowControl w:val="0"/>
        <w:kinsoku/>
        <w:wordWrap/>
        <w:overflowPunct w:val="0"/>
        <w:topLinePunct w:val="0"/>
        <w:autoSpaceDE/>
        <w:autoSpaceDN/>
        <w:bidi w:val="0"/>
        <w:spacing w:line="460" w:lineRule="exact"/>
        <w:ind w:left="0" w:leftChars="0" w:firstLine="562" w:firstLineChars="200"/>
        <w:textAlignment w:val="auto"/>
        <w:rPr>
          <w:rFonts w:hint="eastAsia" w:ascii="仿宋" w:hAnsi="仿宋" w:eastAsia="仿宋" w:cs="仿宋"/>
          <w:b/>
          <w:bCs/>
          <w:color w:val="auto"/>
          <w:sz w:val="28"/>
          <w:szCs w:val="28"/>
          <w:lang w:val="en-US" w:eastAsia="zh-CN"/>
        </w:rPr>
      </w:pPr>
      <w:r>
        <w:rPr>
          <w:rFonts w:hint="eastAsia" w:ascii="仿宋" w:hAnsi="仿宋" w:eastAsia="仿宋" w:cs="仿宋"/>
          <w:b/>
          <w:bCs/>
          <w:color w:val="auto"/>
          <w:sz w:val="28"/>
          <w:szCs w:val="28"/>
          <w:lang w:val="en-US" w:eastAsia="zh-CN"/>
        </w:rPr>
        <w:t>第七条 廉洁条款</w:t>
      </w:r>
    </w:p>
    <w:p w14:paraId="7E086D2F">
      <w:pPr>
        <w:keepNext w:val="0"/>
        <w:keepLines w:val="0"/>
        <w:pageBreakBefore w:val="0"/>
        <w:widowControl w:val="0"/>
        <w:kinsoku/>
        <w:wordWrap/>
        <w:overflowPunct w:val="0"/>
        <w:topLinePunct w:val="0"/>
        <w:autoSpaceDE/>
        <w:autoSpaceDN/>
        <w:bidi w:val="0"/>
        <w:spacing w:line="460" w:lineRule="exact"/>
        <w:ind w:left="0" w:leftChars="0" w:firstLine="562" w:firstLineChars="200"/>
        <w:textAlignment w:val="auto"/>
        <w:rPr>
          <w:rFonts w:hint="eastAsia" w:ascii="仿宋" w:hAnsi="仿宋" w:eastAsia="仿宋" w:cs="仿宋"/>
          <w:b/>
          <w:bCs/>
          <w:color w:val="auto"/>
          <w:sz w:val="28"/>
          <w:szCs w:val="28"/>
          <w:u w:val="single"/>
          <w:lang w:val="en-US" w:eastAsia="zh-CN"/>
        </w:rPr>
      </w:pPr>
      <w:r>
        <w:rPr>
          <w:rFonts w:hint="eastAsia" w:ascii="仿宋" w:hAnsi="仿宋" w:eastAsia="仿宋" w:cs="仿宋"/>
          <w:b/>
          <w:bCs/>
          <w:color w:val="auto"/>
          <w:sz w:val="28"/>
          <w:szCs w:val="28"/>
          <w:u w:val="single"/>
          <w:lang w:val="en-US" w:eastAsia="zh-CN"/>
        </w:rPr>
        <w:t>7.1乙方应严格遵守国家相关法律法规，涉及合同的有关业务活动必须坚持公开、公平、公正、诚信原则，不得为获取不正当利益，损害国家、集体和甲方利益。</w:t>
      </w:r>
    </w:p>
    <w:p w14:paraId="5BE6BB05">
      <w:pPr>
        <w:keepNext w:val="0"/>
        <w:keepLines w:val="0"/>
        <w:pageBreakBefore w:val="0"/>
        <w:widowControl w:val="0"/>
        <w:kinsoku/>
        <w:wordWrap/>
        <w:overflowPunct w:val="0"/>
        <w:topLinePunct w:val="0"/>
        <w:autoSpaceDE/>
        <w:autoSpaceDN/>
        <w:bidi w:val="0"/>
        <w:spacing w:line="460" w:lineRule="exact"/>
        <w:ind w:left="0" w:leftChars="0" w:firstLine="562" w:firstLineChars="200"/>
        <w:textAlignment w:val="auto"/>
        <w:rPr>
          <w:rFonts w:hint="eastAsia" w:ascii="仿宋" w:hAnsi="仿宋" w:eastAsia="仿宋" w:cs="仿宋"/>
          <w:b/>
          <w:bCs/>
          <w:color w:val="auto"/>
          <w:sz w:val="28"/>
          <w:szCs w:val="28"/>
          <w:u w:val="single"/>
          <w:lang w:val="en-US" w:eastAsia="zh-CN"/>
        </w:rPr>
      </w:pPr>
      <w:r>
        <w:rPr>
          <w:rFonts w:hint="eastAsia" w:ascii="仿宋" w:hAnsi="仿宋" w:eastAsia="仿宋" w:cs="仿宋"/>
          <w:b/>
          <w:bCs/>
          <w:color w:val="auto"/>
          <w:sz w:val="28"/>
          <w:szCs w:val="28"/>
          <w:u w:val="single"/>
          <w:lang w:val="en-US" w:eastAsia="zh-CN"/>
        </w:rPr>
        <w:t>7.2乙方的任何人员（包括股东、管理人员、普通员工等）及与乙方本业务有关的任何人员（包括与乙方不存在劳动、劳务关系的人员），均不得对甲方工作人员或其亲友、关系人请客、送礼或赠送礼金、有价证券、贵重物品及给予回扣、好处费、感谢费等其他形式的好处，否则甲方有权要求乙方按本合同约定向甲方支付违反廉洁条款的惩罚性违约金。</w:t>
      </w:r>
    </w:p>
    <w:p w14:paraId="46F07CB3">
      <w:pPr>
        <w:keepNext w:val="0"/>
        <w:keepLines w:val="0"/>
        <w:pageBreakBefore w:val="0"/>
        <w:widowControl w:val="0"/>
        <w:kinsoku/>
        <w:wordWrap/>
        <w:overflowPunct w:val="0"/>
        <w:topLinePunct w:val="0"/>
        <w:autoSpaceDE/>
        <w:autoSpaceDN/>
        <w:bidi w:val="0"/>
        <w:spacing w:line="460" w:lineRule="exact"/>
        <w:ind w:left="0" w:leftChars="0" w:firstLine="562" w:firstLineChars="200"/>
        <w:textAlignment w:val="auto"/>
        <w:rPr>
          <w:rFonts w:hint="eastAsia" w:ascii="仿宋" w:hAnsi="仿宋" w:eastAsia="仿宋" w:cs="仿宋"/>
          <w:b/>
          <w:bCs/>
          <w:color w:val="auto"/>
          <w:sz w:val="28"/>
          <w:szCs w:val="28"/>
          <w:lang w:val="en-US" w:eastAsia="zh-CN"/>
        </w:rPr>
      </w:pPr>
      <w:r>
        <w:rPr>
          <w:rFonts w:hint="eastAsia" w:ascii="仿宋" w:hAnsi="仿宋" w:eastAsia="仿宋" w:cs="仿宋"/>
          <w:b/>
          <w:bCs/>
          <w:color w:val="auto"/>
          <w:sz w:val="28"/>
          <w:szCs w:val="28"/>
          <w:lang w:val="en-US" w:eastAsia="zh-CN"/>
        </w:rPr>
        <w:t>第八条 保密条款</w:t>
      </w:r>
    </w:p>
    <w:p w14:paraId="1CF7A162">
      <w:pPr>
        <w:keepNext w:val="0"/>
        <w:keepLines w:val="0"/>
        <w:pageBreakBefore w:val="0"/>
        <w:widowControl w:val="0"/>
        <w:kinsoku/>
        <w:wordWrap/>
        <w:overflowPunct w:val="0"/>
        <w:topLinePunct w:val="0"/>
        <w:autoSpaceDE/>
        <w:autoSpaceDN/>
        <w:bidi w:val="0"/>
        <w:spacing w:line="460" w:lineRule="exact"/>
        <w:ind w:left="0" w:leftChars="0"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8.1本合同订立、履行、变更等产生的研究、商讨、交流等信息，履行本合同获悉的甲方商业秘密、运营信息、工作人员信息、患陪个人信息等，均属保密信息。</w:t>
      </w:r>
    </w:p>
    <w:p w14:paraId="7829DDB3">
      <w:pPr>
        <w:keepNext w:val="0"/>
        <w:keepLines w:val="0"/>
        <w:pageBreakBefore w:val="0"/>
        <w:widowControl w:val="0"/>
        <w:kinsoku/>
        <w:wordWrap/>
        <w:overflowPunct w:val="0"/>
        <w:topLinePunct w:val="0"/>
        <w:autoSpaceDE/>
        <w:autoSpaceDN/>
        <w:bidi w:val="0"/>
        <w:spacing w:line="460" w:lineRule="exact"/>
        <w:ind w:left="0" w:leftChars="0"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8.2乙方应对保密信息应当采取有效手段严格保密，不得用于非本合同之目的或向第三方泄露。如政府部门、法院或其他有权部门要求乙方提供保密信息，乙方应当立即向甲方通报。</w:t>
      </w:r>
    </w:p>
    <w:p w14:paraId="4843661E">
      <w:pPr>
        <w:keepNext w:val="0"/>
        <w:keepLines w:val="0"/>
        <w:pageBreakBefore w:val="0"/>
        <w:widowControl w:val="0"/>
        <w:kinsoku/>
        <w:wordWrap/>
        <w:overflowPunct w:val="0"/>
        <w:topLinePunct w:val="0"/>
        <w:autoSpaceDE/>
        <w:autoSpaceDN/>
        <w:bidi w:val="0"/>
        <w:spacing w:line="460" w:lineRule="exact"/>
        <w:ind w:left="0" w:leftChars="0"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8.3因乙方未履行本合同保密义务造成甲方或第三方损失的，由乙方承担全部赔偿责任。</w:t>
      </w:r>
    </w:p>
    <w:p w14:paraId="035677B6">
      <w:pPr>
        <w:keepNext w:val="0"/>
        <w:keepLines w:val="0"/>
        <w:pageBreakBefore w:val="0"/>
        <w:widowControl w:val="0"/>
        <w:kinsoku/>
        <w:wordWrap/>
        <w:overflowPunct w:val="0"/>
        <w:topLinePunct w:val="0"/>
        <w:autoSpaceDE/>
        <w:autoSpaceDN/>
        <w:bidi w:val="0"/>
        <w:spacing w:line="460" w:lineRule="exact"/>
        <w:ind w:left="0" w:leftChars="0"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8.4本合同保密条款在合同被认定无效、被撤销或终止、解除后仍然有效。</w:t>
      </w:r>
    </w:p>
    <w:p w14:paraId="7E58A377">
      <w:pPr>
        <w:keepNext w:val="0"/>
        <w:keepLines w:val="0"/>
        <w:pageBreakBefore w:val="0"/>
        <w:widowControl w:val="0"/>
        <w:kinsoku/>
        <w:wordWrap/>
        <w:overflowPunct/>
        <w:topLinePunct w:val="0"/>
        <w:autoSpaceDE/>
        <w:autoSpaceDN/>
        <w:bidi w:val="0"/>
        <w:adjustRightInd/>
        <w:snapToGrid/>
        <w:spacing w:line="480" w:lineRule="exact"/>
        <w:ind w:firstLine="562"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b/>
          <w:bCs/>
          <w:color w:val="auto"/>
          <w:sz w:val="28"/>
          <w:szCs w:val="28"/>
          <w:lang w:val="en-US" w:eastAsia="zh-CN"/>
        </w:rPr>
        <w:t>第九条 通知与送达</w:t>
      </w:r>
      <w:r>
        <w:rPr>
          <w:rFonts w:hint="eastAsia" w:ascii="仿宋" w:hAnsi="仿宋" w:eastAsia="仿宋" w:cs="仿宋"/>
          <w:color w:val="auto"/>
          <w:sz w:val="28"/>
          <w:szCs w:val="28"/>
          <w:lang w:val="en-US" w:eastAsia="zh-CN"/>
        </w:rPr>
        <w:t>​</w:t>
      </w:r>
    </w:p>
    <w:p w14:paraId="20C6CC24">
      <w:pPr>
        <w:pStyle w:val="19"/>
        <w:keepNext w:val="0"/>
        <w:keepLines w:val="0"/>
        <w:pageBreakBefore w:val="0"/>
        <w:widowControl w:val="0"/>
        <w:kinsoku/>
        <w:wordWrap/>
        <w:overflowPunct/>
        <w:topLinePunct w:val="0"/>
        <w:autoSpaceDE/>
        <w:autoSpaceDN/>
        <w:bidi w:val="0"/>
        <w:spacing w:before="0" w:beforeAutospacing="0" w:after="0" w:afterAutospacing="0" w:line="480" w:lineRule="exact"/>
        <w:ind w:firstLine="560" w:firstLineChars="200"/>
        <w:textAlignment w:val="auto"/>
        <w:rPr>
          <w:rStyle w:val="20"/>
          <w:rFonts w:hint="eastAsia" w:ascii="仿宋" w:hAnsi="仿宋" w:eastAsia="仿宋" w:cs="仿宋"/>
          <w:b w:val="0"/>
          <w:bCs w:val="0"/>
          <w:color w:val="auto"/>
          <w:sz w:val="28"/>
          <w:szCs w:val="28"/>
        </w:rPr>
      </w:pPr>
      <w:r>
        <w:rPr>
          <w:rFonts w:hint="eastAsia" w:ascii="仿宋" w:hAnsi="仿宋" w:eastAsia="仿宋" w:cs="仿宋"/>
          <w:b w:val="0"/>
          <w:bCs/>
          <w:color w:val="auto"/>
          <w:sz w:val="28"/>
          <w:szCs w:val="28"/>
          <w:lang w:val="en-US" w:eastAsia="zh-CN"/>
        </w:rPr>
        <w:t xml:space="preserve">9.1 </w:t>
      </w:r>
      <w:r>
        <w:rPr>
          <w:rFonts w:hint="eastAsia" w:ascii="仿宋" w:hAnsi="仿宋" w:eastAsia="仿宋" w:cs="仿宋"/>
          <w:b w:val="0"/>
          <w:bCs/>
          <w:color w:val="auto"/>
          <w:sz w:val="28"/>
          <w:szCs w:val="28"/>
        </w:rPr>
        <w:t>甲乙双方同意，与本合同有关的任何</w:t>
      </w:r>
      <w:r>
        <w:rPr>
          <w:rFonts w:hint="eastAsia" w:ascii="仿宋" w:hAnsi="仿宋" w:eastAsia="仿宋" w:cs="仿宋"/>
          <w:b w:val="0"/>
          <w:bCs/>
          <w:color w:val="auto"/>
          <w:sz w:val="28"/>
          <w:szCs w:val="28"/>
          <w:lang w:val="en-US" w:eastAsia="zh-CN"/>
        </w:rPr>
        <w:t>文书</w:t>
      </w:r>
      <w:r>
        <w:rPr>
          <w:rFonts w:hint="eastAsia" w:ascii="仿宋" w:hAnsi="仿宋" w:eastAsia="仿宋" w:cs="仿宋"/>
          <w:b w:val="0"/>
          <w:bCs/>
          <w:color w:val="auto"/>
          <w:sz w:val="28"/>
          <w:szCs w:val="28"/>
        </w:rPr>
        <w:t>，应以书面</w:t>
      </w:r>
      <w:r>
        <w:rPr>
          <w:rFonts w:hint="eastAsia" w:ascii="仿宋" w:hAnsi="仿宋" w:eastAsia="仿宋" w:cs="仿宋"/>
          <w:b w:val="0"/>
          <w:bCs/>
          <w:color w:val="auto"/>
          <w:sz w:val="28"/>
          <w:szCs w:val="28"/>
          <w:lang w:val="en-US" w:eastAsia="zh-CN"/>
        </w:rPr>
        <w:t>形式按</w:t>
      </w:r>
      <w:r>
        <w:rPr>
          <w:rFonts w:hint="eastAsia" w:ascii="仿宋" w:hAnsi="仿宋" w:eastAsia="仿宋" w:cs="仿宋"/>
          <w:b w:val="0"/>
          <w:bCs/>
          <w:color w:val="auto"/>
          <w:sz w:val="28"/>
          <w:szCs w:val="28"/>
        </w:rPr>
        <w:t>本合同</w:t>
      </w:r>
      <w:r>
        <w:rPr>
          <w:rFonts w:hint="eastAsia" w:ascii="仿宋" w:hAnsi="仿宋" w:eastAsia="仿宋" w:cs="仿宋"/>
          <w:b w:val="0"/>
          <w:bCs/>
          <w:color w:val="auto"/>
          <w:sz w:val="28"/>
          <w:szCs w:val="28"/>
          <w:lang w:val="en-US" w:eastAsia="zh-CN"/>
        </w:rPr>
        <w:t>约定的联系方式送达</w:t>
      </w:r>
      <w:r>
        <w:rPr>
          <w:rFonts w:hint="eastAsia" w:ascii="仿宋" w:hAnsi="仿宋" w:eastAsia="仿宋" w:cs="仿宋"/>
          <w:b w:val="0"/>
          <w:bCs/>
          <w:color w:val="auto"/>
          <w:sz w:val="28"/>
          <w:szCs w:val="28"/>
        </w:rPr>
        <w:t>。</w:t>
      </w:r>
      <w:r>
        <w:rPr>
          <w:rStyle w:val="20"/>
          <w:rFonts w:hint="eastAsia" w:ascii="仿宋" w:hAnsi="仿宋" w:eastAsia="仿宋" w:cs="仿宋"/>
          <w:b w:val="0"/>
          <w:bCs w:val="0"/>
          <w:color w:val="auto"/>
          <w:sz w:val="28"/>
          <w:szCs w:val="28"/>
        </w:rPr>
        <w:t>书面形式包括手机短信、微信、书面函件、电子邮件等形式。</w:t>
      </w:r>
    </w:p>
    <w:p w14:paraId="0ABD34B6">
      <w:pPr>
        <w:keepNext w:val="0"/>
        <w:keepLines w:val="0"/>
        <w:pageBreakBefore w:val="0"/>
        <w:widowControl w:val="0"/>
        <w:kinsoku/>
        <w:wordWrap/>
        <w:overflowPunct/>
        <w:topLinePunct w:val="0"/>
        <w:autoSpaceDE/>
        <w:autoSpaceDN/>
        <w:bidi w:val="0"/>
        <w:snapToGrid/>
        <w:spacing w:line="480" w:lineRule="exact"/>
        <w:ind w:left="0"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 xml:space="preserve">9.2 </w:t>
      </w:r>
      <w:r>
        <w:rPr>
          <w:rFonts w:hint="eastAsia" w:ascii="仿宋" w:hAnsi="仿宋" w:eastAsia="仿宋" w:cs="仿宋"/>
          <w:color w:val="auto"/>
          <w:sz w:val="28"/>
          <w:szCs w:val="28"/>
        </w:rPr>
        <w:t>双方确认的文书（包括</w:t>
      </w:r>
      <w:r>
        <w:rPr>
          <w:rFonts w:hint="eastAsia" w:ascii="仿宋" w:hAnsi="仿宋" w:eastAsia="仿宋" w:cs="仿宋"/>
          <w:color w:val="auto"/>
          <w:sz w:val="28"/>
          <w:szCs w:val="28"/>
          <w:lang w:val="en-US" w:eastAsia="zh-CN"/>
        </w:rPr>
        <w:t>未来</w:t>
      </w:r>
      <w:r>
        <w:rPr>
          <w:rFonts w:hint="eastAsia" w:ascii="仿宋" w:hAnsi="仿宋" w:eastAsia="仿宋" w:cs="仿宋"/>
          <w:b w:val="0"/>
          <w:bCs/>
          <w:color w:val="auto"/>
          <w:sz w:val="28"/>
          <w:szCs w:val="28"/>
        </w:rPr>
        <w:t>可能发生的诉讼</w:t>
      </w:r>
      <w:r>
        <w:rPr>
          <w:rFonts w:hint="eastAsia" w:ascii="仿宋" w:hAnsi="仿宋" w:eastAsia="仿宋" w:cs="仿宋"/>
          <w:b w:val="0"/>
          <w:bCs/>
          <w:color w:val="auto"/>
          <w:sz w:val="28"/>
          <w:szCs w:val="28"/>
          <w:lang w:val="en-US" w:eastAsia="zh-CN"/>
        </w:rPr>
        <w:t>或</w:t>
      </w:r>
      <w:r>
        <w:rPr>
          <w:rFonts w:hint="eastAsia" w:ascii="仿宋" w:hAnsi="仿宋" w:eastAsia="仿宋" w:cs="仿宋"/>
          <w:b w:val="0"/>
          <w:bCs/>
          <w:color w:val="auto"/>
          <w:sz w:val="28"/>
          <w:szCs w:val="28"/>
        </w:rPr>
        <w:t>仲裁活动中</w:t>
      </w:r>
      <w:r>
        <w:rPr>
          <w:rFonts w:hint="eastAsia" w:ascii="仿宋" w:hAnsi="仿宋" w:eastAsia="仿宋" w:cs="仿宋"/>
          <w:color w:val="auto"/>
          <w:sz w:val="28"/>
          <w:szCs w:val="28"/>
        </w:rPr>
        <w:t>法院或仲裁机构的</w:t>
      </w:r>
      <w:r>
        <w:rPr>
          <w:rFonts w:hint="eastAsia" w:ascii="仿宋" w:hAnsi="仿宋" w:eastAsia="仿宋" w:cs="仿宋"/>
          <w:color w:val="auto"/>
          <w:sz w:val="28"/>
          <w:szCs w:val="28"/>
          <w:lang w:val="en-US" w:eastAsia="zh-CN"/>
        </w:rPr>
        <w:t>送达</w:t>
      </w:r>
      <w:r>
        <w:rPr>
          <w:rFonts w:hint="eastAsia" w:ascii="仿宋" w:hAnsi="仿宋" w:eastAsia="仿宋" w:cs="仿宋"/>
          <w:color w:val="auto"/>
          <w:sz w:val="28"/>
          <w:szCs w:val="28"/>
        </w:rPr>
        <w:t>法律文书）送达地址：</w:t>
      </w:r>
    </w:p>
    <w:p w14:paraId="19DC37EC">
      <w:pPr>
        <w:keepNext w:val="0"/>
        <w:keepLines w:val="0"/>
        <w:pageBreakBefore w:val="0"/>
        <w:widowControl w:val="0"/>
        <w:kinsoku/>
        <w:wordWrap/>
        <w:overflowPunct/>
        <w:topLinePunct w:val="0"/>
        <w:autoSpaceDE/>
        <w:autoSpaceDN/>
        <w:bidi w:val="0"/>
        <w:spacing w:line="48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 xml:space="preserve">9.2.1 </w:t>
      </w:r>
      <w:r>
        <w:rPr>
          <w:rFonts w:hint="eastAsia" w:ascii="仿宋" w:hAnsi="仿宋" w:eastAsia="仿宋" w:cs="仿宋"/>
          <w:color w:val="auto"/>
          <w:sz w:val="28"/>
          <w:szCs w:val="28"/>
        </w:rPr>
        <w:t>甲方的文书送达地址</w:t>
      </w:r>
      <w:r>
        <w:rPr>
          <w:rFonts w:hint="eastAsia" w:ascii="仿宋" w:hAnsi="仿宋" w:eastAsia="仿宋" w:cs="仿宋"/>
          <w:color w:val="auto"/>
          <w:sz w:val="28"/>
          <w:szCs w:val="28"/>
          <w:u w:val="single"/>
        </w:rPr>
        <w:t>：</w:t>
      </w:r>
      <w:r>
        <w:rPr>
          <w:rFonts w:hint="eastAsia" w:ascii="仿宋" w:hAnsi="仿宋" w:eastAsia="仿宋" w:cs="仿宋"/>
          <w:color w:val="auto"/>
          <w:sz w:val="28"/>
          <w:szCs w:val="28"/>
          <w:u w:val="single"/>
          <w:lang w:val="en-US" w:eastAsia="zh-CN"/>
        </w:rPr>
        <w:t>娄底市中心医院总务科</w:t>
      </w:r>
      <w:r>
        <w:rPr>
          <w:rFonts w:hint="eastAsia" w:ascii="仿宋" w:hAnsi="仿宋" w:eastAsia="仿宋" w:cs="仿宋"/>
          <w:color w:val="auto"/>
          <w:sz w:val="28"/>
          <w:szCs w:val="28"/>
        </w:rPr>
        <w:t>，</w:t>
      </w:r>
      <w:r>
        <w:rPr>
          <w:rFonts w:hint="eastAsia" w:ascii="仿宋" w:hAnsi="仿宋" w:eastAsia="仿宋" w:cs="仿宋"/>
          <w:color w:val="auto"/>
          <w:sz w:val="28"/>
          <w:szCs w:val="28"/>
          <w:lang w:val="en-US" w:eastAsia="zh-CN"/>
        </w:rPr>
        <w:t>收件</w:t>
      </w:r>
      <w:r>
        <w:rPr>
          <w:rFonts w:hint="eastAsia" w:ascii="仿宋" w:hAnsi="仿宋" w:eastAsia="仿宋" w:cs="仿宋"/>
          <w:color w:val="auto"/>
          <w:sz w:val="28"/>
          <w:szCs w:val="28"/>
        </w:rPr>
        <w:t>人：</w:t>
      </w:r>
      <w:r>
        <w:rPr>
          <w:rFonts w:hint="eastAsia" w:ascii="仿宋" w:hAnsi="仿宋" w:eastAsia="仿宋" w:cs="仿宋"/>
          <w:color w:val="auto"/>
          <w:sz w:val="28"/>
          <w:szCs w:val="28"/>
          <w:u w:val="single"/>
          <w:lang w:val="en-US" w:eastAsia="zh-CN"/>
        </w:rPr>
        <w:t>程俊杰</w:t>
      </w:r>
      <w:r>
        <w:rPr>
          <w:rFonts w:hint="eastAsia" w:ascii="仿宋" w:hAnsi="仿宋" w:eastAsia="仿宋" w:cs="仿宋"/>
          <w:color w:val="auto"/>
          <w:sz w:val="28"/>
          <w:szCs w:val="28"/>
        </w:rPr>
        <w:t>，联系电话：</w:t>
      </w:r>
      <w:r>
        <w:rPr>
          <w:rFonts w:hint="eastAsia" w:ascii="仿宋" w:hAnsi="仿宋" w:eastAsia="仿宋" w:cs="仿宋"/>
          <w:color w:val="auto"/>
          <w:sz w:val="28"/>
          <w:szCs w:val="28"/>
          <w:u w:val="single"/>
          <w:lang w:val="en-US" w:eastAsia="zh-CN"/>
        </w:rPr>
        <w:t>18873820001</w:t>
      </w:r>
      <w:r>
        <w:rPr>
          <w:rFonts w:hint="eastAsia" w:ascii="仿宋" w:hAnsi="仿宋" w:eastAsia="仿宋" w:cs="仿宋"/>
          <w:color w:val="auto"/>
          <w:sz w:val="28"/>
          <w:szCs w:val="28"/>
          <w:u w:val="none"/>
          <w:lang w:eastAsia="zh-CN"/>
        </w:rPr>
        <w:t>，</w:t>
      </w:r>
      <w:r>
        <w:rPr>
          <w:rFonts w:hint="eastAsia" w:ascii="仿宋" w:hAnsi="仿宋" w:eastAsia="仿宋" w:cs="仿宋"/>
          <w:color w:val="auto"/>
          <w:sz w:val="28"/>
          <w:szCs w:val="28"/>
          <w:u w:val="none"/>
          <w:lang w:val="en-US" w:eastAsia="zh-CN"/>
        </w:rPr>
        <w:t>电子邮箱：</w:t>
      </w:r>
      <w:r>
        <w:rPr>
          <w:rFonts w:hint="eastAsia" w:ascii="仿宋" w:hAnsi="仿宋" w:eastAsia="仿宋" w:cs="仿宋"/>
          <w:color w:val="auto"/>
          <w:sz w:val="28"/>
          <w:szCs w:val="28"/>
          <w:u w:val="single"/>
          <w:lang w:val="en-US" w:eastAsia="zh-CN"/>
        </w:rPr>
        <w:t>317121229@qq.com</w:t>
      </w:r>
      <w:r>
        <w:rPr>
          <w:rFonts w:hint="eastAsia" w:ascii="仿宋" w:hAnsi="仿宋" w:eastAsia="仿宋" w:cs="仿宋"/>
          <w:color w:val="auto"/>
          <w:sz w:val="28"/>
          <w:szCs w:val="28"/>
        </w:rPr>
        <w:t>。</w:t>
      </w:r>
    </w:p>
    <w:p w14:paraId="35BB603E">
      <w:pPr>
        <w:keepNext w:val="0"/>
        <w:keepLines w:val="0"/>
        <w:pageBreakBefore w:val="0"/>
        <w:widowControl w:val="0"/>
        <w:kinsoku/>
        <w:wordWrap/>
        <w:overflowPunct/>
        <w:topLinePunct w:val="0"/>
        <w:autoSpaceDE/>
        <w:autoSpaceDN/>
        <w:bidi w:val="0"/>
        <w:spacing w:line="48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 xml:space="preserve">9.2.2 </w:t>
      </w:r>
      <w:r>
        <w:rPr>
          <w:rFonts w:hint="eastAsia" w:ascii="仿宋" w:hAnsi="仿宋" w:eastAsia="仿宋" w:cs="仿宋"/>
          <w:color w:val="auto"/>
          <w:sz w:val="28"/>
          <w:szCs w:val="28"/>
        </w:rPr>
        <w:t>乙方的文书送达地址：</w:t>
      </w:r>
      <w:r>
        <w:rPr>
          <w:rFonts w:hint="eastAsia" w:ascii="仿宋" w:hAnsi="仿宋" w:eastAsia="仿宋" w:cs="仿宋"/>
          <w:color w:val="auto"/>
          <w:sz w:val="28"/>
          <w:szCs w:val="28"/>
          <w:u w:val="single"/>
          <w:lang w:val="en-US" w:eastAsia="zh-CN"/>
        </w:rPr>
        <w:t xml:space="preserve">         </w:t>
      </w:r>
      <w:r>
        <w:rPr>
          <w:rFonts w:hint="eastAsia" w:ascii="仿宋" w:hAnsi="仿宋" w:eastAsia="仿宋" w:cs="仿宋"/>
          <w:color w:val="auto"/>
          <w:sz w:val="28"/>
          <w:szCs w:val="28"/>
        </w:rPr>
        <w:t>，</w:t>
      </w:r>
      <w:r>
        <w:rPr>
          <w:rFonts w:hint="eastAsia" w:ascii="仿宋" w:hAnsi="仿宋" w:eastAsia="仿宋" w:cs="仿宋"/>
          <w:color w:val="auto"/>
          <w:sz w:val="28"/>
          <w:szCs w:val="28"/>
          <w:lang w:val="en-US" w:eastAsia="zh-CN"/>
        </w:rPr>
        <w:t>收件</w:t>
      </w:r>
      <w:r>
        <w:rPr>
          <w:rFonts w:hint="eastAsia" w:ascii="仿宋" w:hAnsi="仿宋" w:eastAsia="仿宋" w:cs="仿宋"/>
          <w:color w:val="auto"/>
          <w:sz w:val="28"/>
          <w:szCs w:val="28"/>
        </w:rPr>
        <w:t>人：</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u w:val="single"/>
          <w:lang w:val="en-US" w:eastAsia="zh-CN"/>
        </w:rPr>
        <w:t xml:space="preserve">     </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，联系电话：</w:t>
      </w:r>
      <w:r>
        <w:rPr>
          <w:rFonts w:hint="eastAsia" w:ascii="仿宋" w:hAnsi="仿宋" w:eastAsia="仿宋" w:cs="仿宋"/>
          <w:color w:val="auto"/>
          <w:sz w:val="28"/>
          <w:szCs w:val="28"/>
          <w:u w:val="single"/>
          <w:lang w:eastAsia="zh-CN"/>
        </w:rPr>
        <w:t xml:space="preserve"> </w:t>
      </w:r>
      <w:r>
        <w:rPr>
          <w:rFonts w:hint="eastAsia" w:ascii="仿宋" w:hAnsi="仿宋" w:eastAsia="仿宋" w:cs="仿宋"/>
          <w:color w:val="auto"/>
          <w:sz w:val="28"/>
          <w:szCs w:val="28"/>
          <w:u w:val="single"/>
          <w:lang w:val="en-US" w:eastAsia="zh-CN"/>
        </w:rPr>
        <w:t xml:space="preserve">        </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u w:val="none"/>
          <w:lang w:eastAsia="zh-CN"/>
        </w:rPr>
        <w:t>，</w:t>
      </w:r>
      <w:r>
        <w:rPr>
          <w:rFonts w:hint="eastAsia" w:ascii="仿宋" w:hAnsi="仿宋" w:eastAsia="仿宋" w:cs="仿宋"/>
          <w:color w:val="auto"/>
          <w:sz w:val="28"/>
          <w:szCs w:val="28"/>
          <w:u w:val="none"/>
          <w:lang w:val="en-US" w:eastAsia="zh-CN"/>
        </w:rPr>
        <w:t>电子邮箱：</w:t>
      </w:r>
      <w:r>
        <w:rPr>
          <w:rFonts w:hint="eastAsia" w:ascii="仿宋" w:hAnsi="仿宋" w:eastAsia="仿宋" w:cs="仿宋"/>
          <w:color w:val="auto"/>
          <w:sz w:val="28"/>
          <w:szCs w:val="28"/>
          <w:u w:val="single"/>
          <w:lang w:val="en-US" w:eastAsia="zh-CN"/>
        </w:rPr>
        <w:t xml:space="preserve">          </w:t>
      </w:r>
      <w:r>
        <w:rPr>
          <w:rFonts w:hint="eastAsia" w:ascii="仿宋" w:hAnsi="仿宋" w:eastAsia="仿宋" w:cs="仿宋"/>
          <w:color w:val="auto"/>
          <w:sz w:val="28"/>
          <w:szCs w:val="28"/>
        </w:rPr>
        <w:t>。</w:t>
      </w:r>
    </w:p>
    <w:p w14:paraId="301A4295">
      <w:pPr>
        <w:keepNext w:val="0"/>
        <w:keepLines w:val="0"/>
        <w:pageBreakBefore w:val="0"/>
        <w:widowControl w:val="0"/>
        <w:kinsoku/>
        <w:wordWrap/>
        <w:overflowPunct/>
        <w:topLinePunct w:val="0"/>
        <w:autoSpaceDE/>
        <w:autoSpaceDN/>
        <w:bidi w:val="0"/>
        <w:snapToGrid/>
        <w:spacing w:line="480" w:lineRule="exact"/>
        <w:ind w:left="0" w:firstLine="560" w:firstLineChars="200"/>
        <w:textAlignment w:val="auto"/>
        <w:rPr>
          <w:rFonts w:hint="eastAsia" w:ascii="仿宋" w:hAnsi="仿宋" w:eastAsia="仿宋" w:cs="仿宋"/>
          <w:b w:val="0"/>
          <w:bCs/>
          <w:color w:val="auto"/>
          <w:sz w:val="28"/>
          <w:szCs w:val="28"/>
        </w:rPr>
      </w:pPr>
      <w:r>
        <w:rPr>
          <w:rFonts w:hint="eastAsia" w:ascii="仿宋" w:hAnsi="仿宋" w:eastAsia="仿宋" w:cs="仿宋"/>
          <w:b w:val="0"/>
          <w:bCs/>
          <w:color w:val="auto"/>
          <w:sz w:val="28"/>
          <w:szCs w:val="28"/>
          <w:lang w:val="en-US" w:eastAsia="zh-CN"/>
        </w:rPr>
        <w:t xml:space="preserve">9.3 </w:t>
      </w:r>
      <w:r>
        <w:rPr>
          <w:rFonts w:hint="eastAsia" w:ascii="仿宋" w:hAnsi="仿宋" w:eastAsia="仿宋" w:cs="仿宋"/>
          <w:b w:val="0"/>
          <w:bCs/>
          <w:color w:val="auto"/>
          <w:sz w:val="28"/>
          <w:szCs w:val="28"/>
        </w:rPr>
        <w:t>上述通知应被视为在下列时间送达：以快递或专人发送的，在收件人签收之日或拒收之日；以挂号邮件发出的，在发出之日起7个工作日；以电子邮件发出的，在电子邮件进入收件方电子邮箱服务器之日。</w:t>
      </w:r>
    </w:p>
    <w:p w14:paraId="522BB5D8">
      <w:pPr>
        <w:keepNext w:val="0"/>
        <w:keepLines w:val="0"/>
        <w:pageBreakBefore w:val="0"/>
        <w:widowControl w:val="0"/>
        <w:kinsoku/>
        <w:wordWrap/>
        <w:overflowPunct/>
        <w:topLinePunct w:val="0"/>
        <w:autoSpaceDE/>
        <w:autoSpaceDN/>
        <w:bidi w:val="0"/>
        <w:snapToGrid/>
        <w:spacing w:line="480" w:lineRule="exact"/>
        <w:ind w:left="0"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 xml:space="preserve">9.4 </w:t>
      </w:r>
      <w:r>
        <w:rPr>
          <w:rFonts w:hint="eastAsia" w:ascii="仿宋" w:hAnsi="仿宋" w:eastAsia="仿宋" w:cs="仿宋"/>
          <w:color w:val="auto"/>
          <w:sz w:val="28"/>
          <w:szCs w:val="28"/>
        </w:rPr>
        <w:t>以上地址和联系方式</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lang w:val="en-US" w:eastAsia="zh-CN"/>
        </w:rPr>
        <w:t>任何一方</w:t>
      </w:r>
      <w:r>
        <w:rPr>
          <w:rFonts w:hint="eastAsia" w:ascii="仿宋" w:hAnsi="仿宋" w:eastAsia="仿宋" w:cs="仿宋"/>
          <w:color w:val="auto"/>
          <w:sz w:val="28"/>
          <w:szCs w:val="28"/>
        </w:rPr>
        <w:t>发生变</w:t>
      </w:r>
      <w:r>
        <w:rPr>
          <w:rFonts w:hint="eastAsia" w:ascii="仿宋" w:hAnsi="仿宋" w:eastAsia="仿宋" w:cs="仿宋"/>
          <w:color w:val="auto"/>
          <w:sz w:val="28"/>
          <w:szCs w:val="28"/>
          <w:lang w:val="en-US" w:eastAsia="zh-CN"/>
        </w:rPr>
        <w:t>更应在变更之日起3日内</w:t>
      </w:r>
      <w:r>
        <w:rPr>
          <w:rFonts w:hint="eastAsia" w:ascii="仿宋" w:hAnsi="仿宋" w:eastAsia="仿宋" w:cs="仿宋"/>
          <w:color w:val="auto"/>
          <w:sz w:val="28"/>
          <w:szCs w:val="28"/>
        </w:rPr>
        <w:t>通知对方。如未通知，</w:t>
      </w:r>
      <w:r>
        <w:rPr>
          <w:rFonts w:hint="eastAsia" w:ascii="仿宋" w:hAnsi="仿宋" w:eastAsia="仿宋" w:cs="仿宋"/>
          <w:color w:val="auto"/>
          <w:sz w:val="28"/>
          <w:szCs w:val="28"/>
          <w:lang w:val="en-US" w:eastAsia="zh-CN"/>
        </w:rPr>
        <w:t>一方按</w:t>
      </w:r>
      <w:r>
        <w:rPr>
          <w:rFonts w:hint="eastAsia" w:ascii="仿宋" w:hAnsi="仿宋" w:eastAsia="仿宋" w:cs="仿宋"/>
          <w:b w:val="0"/>
          <w:bCs/>
          <w:color w:val="auto"/>
          <w:sz w:val="28"/>
          <w:szCs w:val="28"/>
        </w:rPr>
        <w:t>原地址送达的书面资料被退回的，退回之日视为送达之日。任何一方按照确认地址送到另一方的书面资料被拒绝签收导致邮件被退回的，退回之日视为送达之日。</w:t>
      </w:r>
    </w:p>
    <w:p w14:paraId="0A245527">
      <w:pPr>
        <w:keepNext w:val="0"/>
        <w:keepLines w:val="0"/>
        <w:pageBreakBefore w:val="0"/>
        <w:widowControl w:val="0"/>
        <w:kinsoku/>
        <w:wordWrap/>
        <w:overflowPunct/>
        <w:topLinePunct w:val="0"/>
        <w:autoSpaceDE/>
        <w:autoSpaceDN/>
        <w:bidi w:val="0"/>
        <w:adjustRightInd/>
        <w:snapToGrid/>
        <w:spacing w:line="480" w:lineRule="exact"/>
        <w:ind w:firstLine="562" w:firstLineChars="200"/>
        <w:textAlignment w:val="auto"/>
        <w:rPr>
          <w:rFonts w:hint="eastAsia" w:ascii="仿宋" w:hAnsi="仿宋" w:eastAsia="仿宋" w:cs="仿宋"/>
          <w:b/>
          <w:bCs/>
          <w:color w:val="auto"/>
          <w:sz w:val="28"/>
          <w:szCs w:val="28"/>
          <w:lang w:val="en-US" w:eastAsia="zh-CN"/>
        </w:rPr>
      </w:pPr>
      <w:r>
        <w:rPr>
          <w:rFonts w:hint="eastAsia" w:ascii="仿宋" w:hAnsi="仿宋" w:eastAsia="仿宋" w:cs="仿宋"/>
          <w:b/>
          <w:bCs/>
          <w:color w:val="auto"/>
          <w:sz w:val="28"/>
          <w:szCs w:val="28"/>
          <w:lang w:val="en-US" w:eastAsia="zh-CN"/>
        </w:rPr>
        <w:t>第十条 变更与解除</w:t>
      </w:r>
    </w:p>
    <w:p w14:paraId="4EE78AC2">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10.1 本合同未尽及修正事宜，经双方协商后签订补充协议。</w:t>
      </w:r>
    </w:p>
    <w:p w14:paraId="4E2EBA2C">
      <w:pPr>
        <w:pStyle w:val="10"/>
        <w:keepNext w:val="0"/>
        <w:keepLines w:val="0"/>
        <w:pageBreakBefore w:val="0"/>
        <w:widowControl w:val="0"/>
        <w:kinsoku/>
        <w:wordWrap/>
        <w:overflowPunct w:val="0"/>
        <w:topLinePunct w:val="0"/>
        <w:autoSpaceDE/>
        <w:autoSpaceDN/>
        <w:bidi w:val="0"/>
        <w:adjustRightInd/>
        <w:snapToGrid/>
        <w:spacing w:after="0" w:line="460" w:lineRule="exact"/>
        <w:ind w:left="0" w:leftChars="0" w:firstLine="562" w:firstLineChars="200"/>
        <w:textAlignment w:val="auto"/>
        <w:rPr>
          <w:rFonts w:hint="default" w:ascii="仿宋" w:hAnsi="仿宋" w:eastAsia="仿宋" w:cs="仿宋"/>
          <w:b/>
          <w:bCs/>
          <w:color w:val="0000FF"/>
          <w:kern w:val="2"/>
          <w:sz w:val="28"/>
          <w:szCs w:val="28"/>
          <w:u w:val="single"/>
          <w:lang w:val="en-US" w:eastAsia="zh-CN" w:bidi="ar-SA"/>
        </w:rPr>
      </w:pPr>
      <w:r>
        <w:rPr>
          <w:rFonts w:hint="eastAsia" w:ascii="仿宋" w:hAnsi="仿宋" w:eastAsia="仿宋" w:cs="仿宋"/>
          <w:b/>
          <w:bCs/>
          <w:color w:val="0000FF"/>
          <w:kern w:val="2"/>
          <w:sz w:val="28"/>
          <w:szCs w:val="28"/>
          <w:u w:val="single"/>
          <w:lang w:val="en-US" w:eastAsia="zh-CN" w:bidi="ar-SA"/>
        </w:rPr>
        <w:t>10.2 如甲方因政策变化等非自身主观原因不需要购买本合同全部服务，经书面通知乙方后可以提前终止本合同；如甲方因运营需要等原因不需要购买本合同部分服务，不需要购买的部分自动从采购内容中剔除。</w:t>
      </w:r>
    </w:p>
    <w:p w14:paraId="6708A700">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10.3 如乙方存在以下情形之一，甲方有权单方解除本合同：</w:t>
      </w:r>
    </w:p>
    <w:p w14:paraId="347D5603">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default"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 xml:space="preserve">10.3.1 </w:t>
      </w:r>
      <w:r>
        <w:rPr>
          <w:rFonts w:hint="eastAsia" w:ascii="仿宋" w:hAnsi="仿宋" w:eastAsia="仿宋" w:cs="仿宋"/>
          <w:color w:val="0000FF"/>
          <w:sz w:val="28"/>
          <w:szCs w:val="28"/>
          <w:lang w:val="en-US" w:eastAsia="zh-CN"/>
        </w:rPr>
        <w:t>前期开荒消杀逾期7日未通过甲方验收的；</w:t>
      </w:r>
    </w:p>
    <w:p w14:paraId="668315B1">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10.3.2 服务质量不符合约定，接到甲方整改通知后5日内仍未整改到位的；</w:t>
      </w:r>
    </w:p>
    <w:p w14:paraId="4D67F173">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default"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10.3.3 使用假冒伪劣除四害药品的；</w:t>
      </w:r>
    </w:p>
    <w:p w14:paraId="1527F5B2">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 xml:space="preserve">10.3.4 </w:t>
      </w:r>
      <w:r>
        <w:rPr>
          <w:rFonts w:hint="eastAsia" w:ascii="仿宋" w:hAnsi="仿宋" w:eastAsia="仿宋" w:cs="仿宋"/>
          <w:color w:val="auto"/>
          <w:sz w:val="28"/>
          <w:szCs w:val="28"/>
        </w:rPr>
        <w:t>科室满意度</w:t>
      </w:r>
      <w:r>
        <w:rPr>
          <w:rFonts w:hint="eastAsia" w:ascii="仿宋" w:hAnsi="仿宋" w:eastAsia="仿宋" w:cs="仿宋"/>
          <w:color w:val="auto"/>
          <w:sz w:val="28"/>
          <w:szCs w:val="28"/>
          <w:lang w:val="en-US" w:eastAsia="zh-CN"/>
        </w:rPr>
        <w:t>调查中任意1次满意率未</w:t>
      </w:r>
      <w:r>
        <w:rPr>
          <w:rFonts w:hint="eastAsia" w:ascii="仿宋" w:hAnsi="仿宋" w:eastAsia="仿宋" w:cs="仿宋"/>
          <w:color w:val="auto"/>
          <w:sz w:val="28"/>
          <w:szCs w:val="28"/>
        </w:rPr>
        <w:t>达90%</w:t>
      </w:r>
      <w:r>
        <w:rPr>
          <w:rFonts w:hint="eastAsia" w:ascii="仿宋" w:hAnsi="仿宋" w:eastAsia="仿宋" w:cs="仿宋"/>
          <w:color w:val="auto"/>
          <w:sz w:val="28"/>
          <w:szCs w:val="28"/>
          <w:lang w:val="en-US" w:eastAsia="zh-CN"/>
        </w:rPr>
        <w:t>的；</w:t>
      </w:r>
    </w:p>
    <w:p w14:paraId="4357254E">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10.3.5 服务范围内事项经上级部门处罚、罚款的；</w:t>
      </w:r>
    </w:p>
    <w:p w14:paraId="77632338">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10.3.6 由于乙方工作不到位导致迎检项目不合格的；</w:t>
      </w:r>
    </w:p>
    <w:p w14:paraId="654E5C06">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10.3.7 乙方将本合同权利义务全部或部分转让给第三方的；</w:t>
      </w:r>
    </w:p>
    <w:p w14:paraId="1636F8BF">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0000FF"/>
          <w:sz w:val="28"/>
          <w:szCs w:val="28"/>
          <w:lang w:val="en-US" w:eastAsia="zh-CN"/>
        </w:rPr>
        <w:t>10.3.8 其他根本违约的情形。</w:t>
      </w:r>
      <w:r>
        <w:rPr>
          <w:rFonts w:hint="eastAsia" w:ascii="仿宋" w:hAnsi="仿宋" w:eastAsia="仿宋" w:cs="仿宋"/>
          <w:color w:val="auto"/>
          <w:sz w:val="28"/>
          <w:szCs w:val="28"/>
          <w:lang w:val="en-US" w:eastAsia="zh-CN"/>
        </w:rPr>
        <w:t xml:space="preserve"> </w:t>
      </w:r>
    </w:p>
    <w:p w14:paraId="5F3B6743">
      <w:pPr>
        <w:keepNext w:val="0"/>
        <w:keepLines w:val="0"/>
        <w:pageBreakBefore w:val="0"/>
        <w:widowControl w:val="0"/>
        <w:kinsoku/>
        <w:wordWrap/>
        <w:overflowPunct/>
        <w:topLinePunct w:val="0"/>
        <w:autoSpaceDE/>
        <w:autoSpaceDN/>
        <w:bidi w:val="0"/>
        <w:adjustRightInd/>
        <w:snapToGrid/>
        <w:spacing w:line="480" w:lineRule="exact"/>
        <w:ind w:firstLine="562" w:firstLineChars="200"/>
        <w:textAlignment w:val="auto"/>
        <w:rPr>
          <w:rFonts w:hint="eastAsia" w:ascii="仿宋" w:hAnsi="仿宋" w:eastAsia="仿宋" w:cs="仿宋"/>
          <w:b/>
          <w:bCs/>
          <w:color w:val="auto"/>
          <w:sz w:val="28"/>
          <w:szCs w:val="28"/>
          <w:lang w:val="en-US" w:eastAsia="zh-CN"/>
        </w:rPr>
      </w:pPr>
      <w:r>
        <w:rPr>
          <w:rFonts w:hint="eastAsia" w:ascii="仿宋" w:hAnsi="仿宋" w:eastAsia="仿宋" w:cs="仿宋"/>
          <w:b/>
          <w:bCs/>
          <w:color w:val="auto"/>
          <w:sz w:val="28"/>
          <w:szCs w:val="28"/>
          <w:lang w:val="en-US" w:eastAsia="zh-CN"/>
        </w:rPr>
        <w:t>第十一条 违约责任</w:t>
      </w:r>
    </w:p>
    <w:p w14:paraId="611F5052">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color w:val="0000FF"/>
          <w:sz w:val="28"/>
          <w:szCs w:val="28"/>
          <w:lang w:val="en-US" w:eastAsia="zh-CN"/>
        </w:rPr>
      </w:pPr>
      <w:r>
        <w:rPr>
          <w:rFonts w:hint="eastAsia" w:ascii="仿宋" w:hAnsi="仿宋" w:eastAsia="仿宋" w:cs="仿宋"/>
          <w:color w:val="0000FF"/>
          <w:sz w:val="28"/>
          <w:szCs w:val="28"/>
          <w:lang w:val="en-US" w:eastAsia="zh-CN"/>
        </w:rPr>
        <w:t>11.1 甲方因10.2情形提前终止本合同或剔除部分服务内容均无须承担违约责任，乙方不得因此要求甲方予以任何经济赔偿或补偿。</w:t>
      </w:r>
    </w:p>
    <w:p w14:paraId="0D90A309">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color w:val="0000FF"/>
          <w:sz w:val="28"/>
          <w:szCs w:val="28"/>
          <w:lang w:val="en-US" w:eastAsia="zh-CN"/>
        </w:rPr>
      </w:pPr>
      <w:r>
        <w:rPr>
          <w:rFonts w:hint="eastAsia" w:ascii="仿宋" w:hAnsi="仿宋" w:eastAsia="仿宋" w:cs="仿宋"/>
          <w:color w:val="0000FF"/>
          <w:sz w:val="28"/>
          <w:szCs w:val="28"/>
          <w:lang w:val="en-US" w:eastAsia="zh-CN"/>
        </w:rPr>
        <w:t>11.2 如乙方未在本合同约定时间内完成服务，除应赔偿甲方因此造成的损失外，每逾期一日，按本合同约定总价款的千分之一标准向甲方支付违约金。</w:t>
      </w:r>
    </w:p>
    <w:p w14:paraId="5300419D">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11.3 如乙方单方面解除合同或甲方因10.3情形解除合同，乙方除赔偿甲方由此造成的全部经济损失外，还须按本合同总价款30%的标准向甲方支付违约金。</w:t>
      </w:r>
    </w:p>
    <w:p w14:paraId="606079A7">
      <w:pPr>
        <w:keepNext w:val="0"/>
        <w:keepLines w:val="0"/>
        <w:pageBreakBefore w:val="0"/>
        <w:widowControl w:val="0"/>
        <w:kinsoku/>
        <w:wordWrap/>
        <w:overflowPunct/>
        <w:topLinePunct w:val="0"/>
        <w:autoSpaceDE/>
        <w:autoSpaceDN/>
        <w:bidi w:val="0"/>
        <w:adjustRightInd/>
        <w:snapToGrid/>
        <w:spacing w:line="480" w:lineRule="exact"/>
        <w:ind w:firstLine="562" w:firstLineChars="200"/>
        <w:textAlignment w:val="auto"/>
        <w:rPr>
          <w:rFonts w:hint="eastAsia" w:ascii="仿宋" w:hAnsi="仿宋" w:eastAsia="仿宋" w:cs="仿宋"/>
          <w:color w:val="0000FF"/>
          <w:sz w:val="28"/>
          <w:szCs w:val="28"/>
          <w:lang w:val="en-US" w:eastAsia="zh-CN"/>
        </w:rPr>
      </w:pPr>
      <w:r>
        <w:rPr>
          <w:rFonts w:hint="eastAsia" w:ascii="仿宋" w:hAnsi="仿宋" w:eastAsia="仿宋" w:cs="仿宋"/>
          <w:b/>
          <w:bCs/>
          <w:color w:val="0000FF"/>
          <w:sz w:val="28"/>
          <w:szCs w:val="28"/>
          <w:u w:val="single"/>
          <w:lang w:val="en-US" w:eastAsia="zh-CN"/>
        </w:rPr>
        <w:t>11.4 无论甲方在任意时候（不限于本合同履行期间）发现存在违反本合同廉洁条款的行为，乙方均须向甲方一次性支付惩罚性违约金36000.00元。如乙方除需承担违反廉洁条款的违约责任外，同时存在其他违约行为，乙方仍须就其他违约行为承担相应违约责任。</w:t>
      </w:r>
    </w:p>
    <w:p w14:paraId="145CC603">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0000FF"/>
          <w:sz w:val="28"/>
          <w:szCs w:val="28"/>
          <w:lang w:val="en-US" w:eastAsia="zh-CN"/>
        </w:rPr>
        <w:t>11.5 依据本合同约定乙方应支付给甲方的违约金，甲方有权在应支付给乙方的任意价款中直接予以扣除，如扣除部分不足，乙方应在接到甲方通知后3日内补足。</w:t>
      </w:r>
    </w:p>
    <w:p w14:paraId="74A813BD">
      <w:pPr>
        <w:keepNext w:val="0"/>
        <w:keepLines w:val="0"/>
        <w:pageBreakBefore w:val="0"/>
        <w:widowControl w:val="0"/>
        <w:kinsoku/>
        <w:wordWrap/>
        <w:overflowPunct/>
        <w:topLinePunct w:val="0"/>
        <w:autoSpaceDE/>
        <w:autoSpaceDN/>
        <w:bidi w:val="0"/>
        <w:adjustRightInd/>
        <w:snapToGrid/>
        <w:spacing w:line="480" w:lineRule="exact"/>
        <w:ind w:firstLine="562" w:firstLineChars="200"/>
        <w:textAlignment w:val="auto"/>
        <w:rPr>
          <w:rFonts w:hint="eastAsia" w:ascii="仿宋" w:hAnsi="仿宋" w:eastAsia="仿宋" w:cs="仿宋"/>
          <w:b/>
          <w:bCs/>
          <w:color w:val="auto"/>
          <w:sz w:val="28"/>
          <w:szCs w:val="28"/>
          <w:lang w:val="en-US" w:eastAsia="zh-CN"/>
        </w:rPr>
      </w:pPr>
      <w:r>
        <w:rPr>
          <w:rFonts w:hint="eastAsia" w:ascii="仿宋" w:hAnsi="仿宋" w:eastAsia="仿宋" w:cs="仿宋"/>
          <w:b/>
          <w:bCs/>
          <w:color w:val="auto"/>
          <w:sz w:val="28"/>
          <w:szCs w:val="28"/>
          <w:lang w:val="en-US" w:eastAsia="zh-CN"/>
        </w:rPr>
        <w:t>第十二条 解决争议办法</w:t>
      </w:r>
    </w:p>
    <w:p w14:paraId="03A96706">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双方因履行本合同而发生的争议，应先协商解决，协商不成的，向甲方所在地有管辖权的人民法院起诉解决。</w:t>
      </w:r>
    </w:p>
    <w:p w14:paraId="2EE7F7EA">
      <w:pPr>
        <w:keepNext w:val="0"/>
        <w:keepLines w:val="0"/>
        <w:pageBreakBefore w:val="0"/>
        <w:widowControl w:val="0"/>
        <w:kinsoku/>
        <w:wordWrap/>
        <w:overflowPunct/>
        <w:topLinePunct w:val="0"/>
        <w:autoSpaceDE/>
        <w:autoSpaceDN/>
        <w:bidi w:val="0"/>
        <w:adjustRightInd/>
        <w:snapToGrid/>
        <w:spacing w:line="480" w:lineRule="exact"/>
        <w:ind w:firstLine="562" w:firstLineChars="200"/>
        <w:textAlignment w:val="auto"/>
        <w:rPr>
          <w:rFonts w:hint="eastAsia" w:ascii="仿宋" w:hAnsi="仿宋" w:eastAsia="仿宋" w:cs="仿宋"/>
          <w:b/>
          <w:bCs/>
          <w:color w:val="auto"/>
          <w:sz w:val="28"/>
          <w:szCs w:val="28"/>
          <w:lang w:val="en-US" w:eastAsia="zh-CN"/>
        </w:rPr>
      </w:pPr>
      <w:r>
        <w:rPr>
          <w:rFonts w:hint="eastAsia" w:ascii="仿宋" w:hAnsi="仿宋" w:eastAsia="仿宋" w:cs="仿宋"/>
          <w:b/>
          <w:bCs/>
          <w:color w:val="auto"/>
          <w:sz w:val="28"/>
          <w:szCs w:val="28"/>
          <w:lang w:val="en-US" w:eastAsia="zh-CN"/>
        </w:rPr>
        <w:t>第十三条 其他</w:t>
      </w:r>
    </w:p>
    <w:p w14:paraId="066A18EC">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13.1 《有害生物</w:t>
      </w:r>
      <w:r>
        <w:rPr>
          <w:rFonts w:hint="eastAsia" w:ascii="仿宋" w:hAnsi="仿宋" w:eastAsia="仿宋" w:cs="仿宋"/>
          <w:color w:val="0000FF"/>
          <w:sz w:val="28"/>
          <w:szCs w:val="28"/>
          <w:lang w:val="en-US" w:eastAsia="zh-CN"/>
        </w:rPr>
        <w:t>防治</w:t>
      </w:r>
      <w:r>
        <w:rPr>
          <w:rFonts w:hint="eastAsia" w:ascii="仿宋" w:hAnsi="仿宋" w:eastAsia="仿宋" w:cs="仿宋"/>
          <w:color w:val="auto"/>
          <w:sz w:val="28"/>
          <w:szCs w:val="28"/>
          <w:lang w:val="en-US" w:eastAsia="zh-CN"/>
        </w:rPr>
        <w:t>实施方案》作为本合同附件。</w:t>
      </w:r>
    </w:p>
    <w:p w14:paraId="5C98B991">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13.2 本合同组成文件及解释顺序如下：</w:t>
      </w:r>
      <w:r>
        <w:rPr>
          <w:rFonts w:hint="eastAsia" w:ascii="仿宋" w:hAnsi="仿宋" w:eastAsia="仿宋" w:cs="仿宋"/>
          <w:color w:val="0000FF"/>
          <w:sz w:val="28"/>
          <w:szCs w:val="28"/>
          <w:lang w:val="en-US" w:eastAsia="zh-CN"/>
        </w:rPr>
        <w:t>乙方在履行本合同中作出的书面承诺；本合同补充协议；本合同及附件；议价结果公示；响应文件；采购需求；其他与本合同相关的资料。</w:t>
      </w:r>
    </w:p>
    <w:p w14:paraId="24EE4CAC">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14.3 本合同一式陆份，甲方执肆份、乙方执贰份，自双方签字并盖章之日起生效。</w:t>
      </w:r>
    </w:p>
    <w:p w14:paraId="3D0B6B5B">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color w:val="auto"/>
          <w:sz w:val="28"/>
          <w:szCs w:val="28"/>
          <w:lang w:val="en-US" w:eastAsia="zh-CN"/>
        </w:rPr>
      </w:pPr>
    </w:p>
    <w:p w14:paraId="443DDEFD">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甲方（盖章）：                  乙方（盖章）：</w:t>
      </w:r>
    </w:p>
    <w:p w14:paraId="348152D4">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color w:val="auto"/>
          <w:sz w:val="28"/>
          <w:szCs w:val="28"/>
          <w:lang w:val="en-US" w:eastAsia="zh-CN"/>
        </w:rPr>
      </w:pPr>
    </w:p>
    <w:p w14:paraId="35A7CC5D">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法定代表人（签字）：</w:t>
      </w:r>
      <w:bookmarkStart w:id="1" w:name="OLE_LINK2"/>
      <w:bookmarkStart w:id="2" w:name="OLE_LINK1"/>
      <w:r>
        <w:rPr>
          <w:rFonts w:hint="eastAsia" w:ascii="仿宋" w:hAnsi="仿宋" w:eastAsia="仿宋" w:cs="仿宋"/>
          <w:color w:val="auto"/>
          <w:sz w:val="28"/>
          <w:szCs w:val="28"/>
          <w:lang w:val="en-US" w:eastAsia="zh-CN"/>
        </w:rPr>
        <w:t xml:space="preserve">            </w:t>
      </w:r>
      <w:bookmarkEnd w:id="1"/>
      <w:bookmarkEnd w:id="2"/>
      <w:r>
        <w:rPr>
          <w:rFonts w:hint="eastAsia" w:ascii="仿宋" w:hAnsi="仿宋" w:eastAsia="仿宋" w:cs="仿宋"/>
          <w:color w:val="auto"/>
          <w:sz w:val="28"/>
          <w:szCs w:val="28"/>
          <w:lang w:val="en-US" w:eastAsia="zh-CN"/>
        </w:rPr>
        <w:t>法定代表人（签字）：</w:t>
      </w:r>
    </w:p>
    <w:p w14:paraId="5760A0D4">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color w:val="auto"/>
          <w:sz w:val="28"/>
          <w:szCs w:val="28"/>
          <w:lang w:val="en-US" w:eastAsia="zh-CN"/>
        </w:rPr>
      </w:pPr>
    </w:p>
    <w:p w14:paraId="6249404D">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或委托代理人（签字）：          或委托代理人（签字）：</w:t>
      </w:r>
    </w:p>
    <w:p w14:paraId="2DEAEF3F">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color w:val="auto"/>
          <w:sz w:val="28"/>
          <w:szCs w:val="28"/>
          <w:lang w:val="en-US" w:eastAsia="zh-CN"/>
        </w:rPr>
      </w:pPr>
    </w:p>
    <w:p w14:paraId="58643DEF">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合同签订地、履行地：娄底市娄星区   签订日期：   年  月  日</w:t>
      </w:r>
    </w:p>
    <w:p w14:paraId="424F1EB2">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 w:hAnsi="仿宋" w:eastAsia="仿宋" w:cs="仿宋"/>
          <w:color w:val="auto"/>
          <w:sz w:val="28"/>
          <w:szCs w:val="28"/>
          <w:lang w:val="en-US" w:eastAsia="zh-CN"/>
        </w:rPr>
      </w:pPr>
    </w:p>
    <w:p w14:paraId="60B6ABCB">
      <w:pPr>
        <w:pStyle w:val="15"/>
        <w:rPr>
          <w:rFonts w:hint="eastAsia" w:ascii="仿宋" w:hAnsi="仿宋" w:eastAsia="仿宋" w:cs="仿宋"/>
          <w:color w:val="auto"/>
          <w:sz w:val="28"/>
          <w:szCs w:val="28"/>
          <w:lang w:val="en-US" w:eastAsia="zh-CN"/>
        </w:rPr>
      </w:pPr>
    </w:p>
    <w:p w14:paraId="36049A09">
      <w:pPr>
        <w:pStyle w:val="15"/>
        <w:rPr>
          <w:rFonts w:hint="default" w:ascii="仿宋" w:hAnsi="仿宋" w:eastAsia="仿宋" w:cs="仿宋"/>
          <w:color w:val="auto"/>
          <w:sz w:val="28"/>
          <w:szCs w:val="28"/>
          <w:lang w:val="en-US" w:eastAsia="zh-CN"/>
        </w:rPr>
      </w:pPr>
    </w:p>
    <w:p w14:paraId="00DFAFDC">
      <w:pPr>
        <w:pStyle w:val="15"/>
        <w:rPr>
          <w:rFonts w:hint="eastAsia" w:ascii="仿宋" w:hAnsi="仿宋" w:eastAsia="仿宋" w:cs="仿宋"/>
          <w:color w:val="auto"/>
          <w:sz w:val="28"/>
          <w:szCs w:val="28"/>
          <w:lang w:val="en-US" w:eastAsia="zh-CN"/>
        </w:rPr>
      </w:pPr>
    </w:p>
    <w:p w14:paraId="0FF31B60">
      <w:pPr>
        <w:pStyle w:val="15"/>
        <w:rPr>
          <w:rFonts w:hint="default" w:ascii="仿宋" w:hAnsi="仿宋" w:eastAsia="仿宋" w:cs="仿宋"/>
          <w:color w:val="auto"/>
          <w:sz w:val="28"/>
          <w:szCs w:val="28"/>
          <w:lang w:val="en-US" w:eastAsia="zh-CN"/>
        </w:rPr>
      </w:pPr>
    </w:p>
    <w:p w14:paraId="1D27862F">
      <w:pPr>
        <w:jc w:val="center"/>
        <w:rPr>
          <w:rFonts w:hint="eastAsia"/>
          <w:b/>
          <w:color w:val="auto"/>
          <w:sz w:val="24"/>
          <w:lang w:val="en-US" w:eastAsia="zh-CN"/>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 xml:space="preserve">                    </w:t>
      </w:r>
    </w:p>
    <w:p w14:paraId="5FDA02AB">
      <w:pPr>
        <w:pStyle w:val="2"/>
        <w:jc w:val="center"/>
        <w:rPr>
          <w:rFonts w:hint="eastAsia" w:ascii="宋体" w:hAnsi="宋体" w:cs="宋体"/>
          <w:color w:val="auto"/>
          <w:sz w:val="44"/>
          <w:szCs w:val="44"/>
          <w:lang w:val="en-US" w:eastAsia="zh-CN"/>
        </w:rPr>
      </w:pPr>
      <w:bookmarkStart w:id="3" w:name="_Toc16523574"/>
      <w:r>
        <w:rPr>
          <w:rFonts w:hint="eastAsia" w:ascii="宋体" w:hAnsi="宋体" w:cs="宋体"/>
          <w:color w:val="auto"/>
          <w:sz w:val="44"/>
          <w:szCs w:val="44"/>
          <w:lang w:val="en-US" w:eastAsia="zh-CN"/>
        </w:rPr>
        <w:t xml:space="preserve">   第三章投标文件的格式</w:t>
      </w:r>
    </w:p>
    <w:p w14:paraId="63BCBD98">
      <w:pPr>
        <w:pStyle w:val="2"/>
        <w:numPr>
          <w:ilvl w:val="0"/>
          <w:numId w:val="0"/>
        </w:numPr>
        <w:spacing w:line="240" w:lineRule="auto"/>
        <w:ind w:firstLine="2108" w:firstLineChars="700"/>
        <w:jc w:val="both"/>
        <w:rPr>
          <w:rFonts w:hint="eastAsia" w:ascii="宋体" w:hAnsi="宋体" w:cs="宋体"/>
          <w:color w:val="auto"/>
          <w:sz w:val="30"/>
          <w:szCs w:val="30"/>
        </w:rPr>
      </w:pPr>
      <w:r>
        <w:rPr>
          <w:rFonts w:hint="eastAsia" w:ascii="宋体" w:hAnsi="宋体" w:cs="宋体"/>
          <w:color w:val="auto"/>
          <w:sz w:val="30"/>
          <w:szCs w:val="30"/>
        </w:rPr>
        <w:t>（必须按以下标题和顺序进行编制）</w:t>
      </w:r>
    </w:p>
    <w:p w14:paraId="6E02CA03">
      <w:pPr>
        <w:rPr>
          <w:rFonts w:hint="eastAsia" w:ascii="宋体" w:hAnsi="宋体" w:cs="宋体"/>
          <w:color w:val="auto"/>
        </w:rPr>
      </w:pPr>
    </w:p>
    <w:bookmarkEnd w:id="3"/>
    <w:p w14:paraId="3C3D3243">
      <w:pPr>
        <w:rPr>
          <w:rFonts w:hint="eastAsia"/>
          <w:color w:val="auto"/>
        </w:rPr>
      </w:pPr>
    </w:p>
    <w:p w14:paraId="0AFCDF4A">
      <w:pPr>
        <w:jc w:val="center"/>
        <w:rPr>
          <w:b/>
          <w:color w:val="auto"/>
          <w:sz w:val="24"/>
        </w:rPr>
      </w:pPr>
      <w:r>
        <w:rPr>
          <w:b/>
          <w:color w:val="auto"/>
          <w:sz w:val="28"/>
          <w:szCs w:val="28"/>
        </w:rPr>
        <w:t>第一部分、开标一览表</w:t>
      </w:r>
    </w:p>
    <w:p w14:paraId="6495D31E">
      <w:pPr>
        <w:pStyle w:val="16"/>
        <w:rPr>
          <w:color w:val="auto"/>
        </w:rPr>
      </w:pPr>
    </w:p>
    <w:p w14:paraId="1CA414B7">
      <w:pPr>
        <w:adjustRightInd w:val="0"/>
        <w:snapToGrid w:val="0"/>
        <w:spacing w:line="360" w:lineRule="auto"/>
        <w:jc w:val="center"/>
        <w:rPr>
          <w:rFonts w:hint="eastAsia" w:ascii="宋体" w:hAnsi="宋体" w:cs="宋体"/>
          <w:b/>
          <w:color w:val="auto"/>
          <w:sz w:val="28"/>
          <w:szCs w:val="28"/>
        </w:rPr>
      </w:pPr>
    </w:p>
    <w:p w14:paraId="7BFD5C12">
      <w:pPr>
        <w:adjustRightInd w:val="0"/>
        <w:snapToGrid w:val="0"/>
        <w:spacing w:line="360" w:lineRule="auto"/>
        <w:jc w:val="center"/>
        <w:rPr>
          <w:rFonts w:hint="eastAsia" w:ascii="宋体" w:hAnsi="宋体" w:cs="宋体"/>
          <w:b/>
          <w:color w:val="auto"/>
          <w:sz w:val="28"/>
          <w:szCs w:val="28"/>
        </w:rPr>
      </w:pPr>
    </w:p>
    <w:p w14:paraId="70947253">
      <w:pPr>
        <w:adjustRightInd w:val="0"/>
        <w:snapToGrid w:val="0"/>
        <w:spacing w:line="360" w:lineRule="auto"/>
        <w:jc w:val="center"/>
        <w:rPr>
          <w:rFonts w:hint="eastAsia" w:ascii="宋体" w:hAnsi="宋体" w:eastAsia="宋体" w:cs="宋体"/>
          <w:b/>
          <w:color w:val="auto"/>
          <w:sz w:val="28"/>
          <w:szCs w:val="28"/>
          <w:lang w:eastAsia="zh-CN"/>
        </w:rPr>
      </w:pPr>
      <w:r>
        <w:rPr>
          <w:rFonts w:hint="eastAsia" w:ascii="宋体" w:hAnsi="宋体" w:cs="宋体"/>
          <w:b/>
          <w:color w:val="auto"/>
          <w:sz w:val="28"/>
          <w:szCs w:val="28"/>
        </w:rPr>
        <w:t>第二部分、资格证明文件</w:t>
      </w:r>
    </w:p>
    <w:p w14:paraId="06D3F32A">
      <w:pPr>
        <w:pStyle w:val="17"/>
        <w:rPr>
          <w:rFonts w:hint="eastAsia"/>
          <w:color w:val="auto"/>
          <w:lang w:eastAsia="zh-CN"/>
        </w:rPr>
      </w:pPr>
    </w:p>
    <w:p w14:paraId="01F6AC1F">
      <w:pPr>
        <w:adjustRightInd w:val="0"/>
        <w:snapToGrid w:val="0"/>
        <w:spacing w:line="360" w:lineRule="auto"/>
        <w:jc w:val="center"/>
        <w:rPr>
          <w:rFonts w:hint="eastAsia" w:ascii="宋体" w:hAnsi="宋体" w:cs="宋体"/>
          <w:b/>
          <w:color w:val="auto"/>
          <w:sz w:val="24"/>
          <w:szCs w:val="20"/>
        </w:rPr>
      </w:pPr>
    </w:p>
    <w:p w14:paraId="6E97A1B6">
      <w:pPr>
        <w:adjustRightInd w:val="0"/>
        <w:snapToGrid w:val="0"/>
        <w:spacing w:line="360" w:lineRule="auto"/>
        <w:jc w:val="center"/>
        <w:rPr>
          <w:rFonts w:hint="eastAsia" w:ascii="宋体" w:hAnsi="宋体" w:cs="宋体"/>
          <w:b/>
          <w:color w:val="auto"/>
          <w:sz w:val="24"/>
          <w:szCs w:val="20"/>
        </w:rPr>
      </w:pPr>
      <w:r>
        <w:rPr>
          <w:rFonts w:hint="eastAsia" w:ascii="宋体" w:hAnsi="宋体" w:cs="宋体"/>
          <w:b/>
          <w:color w:val="auto"/>
          <w:sz w:val="24"/>
          <w:szCs w:val="20"/>
        </w:rPr>
        <w:t>一、法定代表人授权委托书</w:t>
      </w:r>
    </w:p>
    <w:p w14:paraId="484EF7A0">
      <w:pPr>
        <w:adjustRightInd w:val="0"/>
        <w:snapToGrid w:val="0"/>
        <w:spacing w:line="360" w:lineRule="auto"/>
        <w:rPr>
          <w:rFonts w:hint="eastAsia" w:ascii="宋体" w:hAnsi="宋体" w:cs="宋体"/>
          <w:b/>
          <w:color w:val="auto"/>
          <w:sz w:val="28"/>
          <w:szCs w:val="28"/>
        </w:rPr>
      </w:pPr>
    </w:p>
    <w:p w14:paraId="7C64ED04">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本人</w:t>
      </w:r>
      <w:r>
        <w:rPr>
          <w:rFonts w:hint="eastAsia" w:ascii="宋体" w:hAnsi="宋体" w:cs="宋体"/>
          <w:color w:val="auto"/>
          <w:kern w:val="0"/>
          <w:sz w:val="24"/>
          <w:u w:val="single"/>
        </w:rPr>
        <w:t>（姓名、职务）</w:t>
      </w:r>
      <w:r>
        <w:rPr>
          <w:rFonts w:hint="eastAsia" w:ascii="宋体" w:hAnsi="宋体" w:cs="宋体"/>
          <w:color w:val="auto"/>
          <w:kern w:val="0"/>
          <w:sz w:val="24"/>
        </w:rPr>
        <w:t>系</w:t>
      </w:r>
      <w:r>
        <w:rPr>
          <w:rFonts w:hint="eastAsia" w:ascii="宋体" w:hAnsi="宋体" w:cs="宋体"/>
          <w:color w:val="auto"/>
          <w:kern w:val="0"/>
          <w:sz w:val="24"/>
          <w:u w:val="single"/>
        </w:rPr>
        <w:t xml:space="preserve"> （</w:t>
      </w:r>
      <w:r>
        <w:rPr>
          <w:rFonts w:hint="eastAsia" w:ascii="宋体" w:hAnsi="宋体" w:cs="宋体"/>
          <w:color w:val="auto"/>
          <w:sz w:val="24"/>
          <w:u w:val="single"/>
        </w:rPr>
        <w:t>投标人</w:t>
      </w:r>
      <w:r>
        <w:rPr>
          <w:rFonts w:hint="eastAsia" w:ascii="宋体" w:hAnsi="宋体" w:cs="宋体"/>
          <w:color w:val="auto"/>
          <w:kern w:val="0"/>
          <w:sz w:val="24"/>
          <w:u w:val="single"/>
        </w:rPr>
        <w:t>名称）</w:t>
      </w:r>
      <w:r>
        <w:rPr>
          <w:rFonts w:hint="eastAsia" w:ascii="宋体" w:hAnsi="宋体" w:cs="宋体"/>
          <w:color w:val="auto"/>
          <w:kern w:val="0"/>
          <w:sz w:val="24"/>
        </w:rPr>
        <w:t>的法定代表人，现授权</w:t>
      </w:r>
      <w:r>
        <w:rPr>
          <w:rFonts w:hint="eastAsia" w:ascii="宋体" w:hAnsi="宋体" w:cs="宋体"/>
          <w:color w:val="auto"/>
          <w:kern w:val="0"/>
          <w:sz w:val="24"/>
          <w:u w:val="single"/>
        </w:rPr>
        <w:t>（姓名、职务）</w:t>
      </w:r>
      <w:r>
        <w:rPr>
          <w:rFonts w:hint="eastAsia" w:ascii="宋体" w:hAnsi="宋体" w:cs="宋体"/>
          <w:color w:val="auto"/>
          <w:kern w:val="0"/>
          <w:sz w:val="24"/>
        </w:rPr>
        <w:t>为我方代理人。代理人根据授权，以我方名义签署、澄清、说明、补正、递交、撤回、修改</w:t>
      </w:r>
      <w:r>
        <w:rPr>
          <w:rFonts w:hint="eastAsia" w:ascii="宋体" w:hAnsi="宋体" w:cs="宋体"/>
          <w:color w:val="auto"/>
          <w:kern w:val="0"/>
          <w:sz w:val="24"/>
          <w:u w:val="single"/>
        </w:rPr>
        <w:t>（项目名称）</w:t>
      </w:r>
      <w:r>
        <w:rPr>
          <w:rFonts w:hint="eastAsia" w:ascii="宋体" w:hAnsi="宋体" w:cs="宋体"/>
          <w:color w:val="auto"/>
          <w:kern w:val="0"/>
          <w:sz w:val="24"/>
        </w:rPr>
        <w:t>（采购编号：</w:t>
      </w:r>
      <w:r>
        <w:rPr>
          <w:rFonts w:hint="eastAsia" w:ascii="宋体" w:hAnsi="宋体" w:cs="宋体"/>
          <w:color w:val="auto"/>
          <w:kern w:val="0"/>
          <w:sz w:val="24"/>
          <w:u w:val="single"/>
        </w:rPr>
        <w:t xml:space="preserve">     </w:t>
      </w:r>
      <w:r>
        <w:rPr>
          <w:rFonts w:hint="eastAsia" w:ascii="宋体" w:hAnsi="宋体" w:cs="宋体"/>
          <w:color w:val="auto"/>
          <w:kern w:val="0"/>
          <w:sz w:val="24"/>
        </w:rPr>
        <w:t>）投标文件、签订合同和处理有关事宜，其法律后果由我方承担。</w:t>
      </w:r>
    </w:p>
    <w:p w14:paraId="318A7AF7">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委托期限：</w:t>
      </w:r>
      <w:r>
        <w:rPr>
          <w:rFonts w:hint="eastAsia" w:ascii="宋体" w:hAnsi="宋体" w:cs="宋体"/>
          <w:color w:val="auto"/>
          <w:kern w:val="0"/>
          <w:sz w:val="24"/>
          <w:u w:val="single"/>
        </w:rPr>
        <w:t xml:space="preserve">       </w:t>
      </w:r>
      <w:r>
        <w:rPr>
          <w:rFonts w:hint="eastAsia" w:ascii="宋体" w:hAnsi="宋体" w:cs="宋体"/>
          <w:color w:val="auto"/>
          <w:kern w:val="0"/>
          <w:sz w:val="24"/>
        </w:rPr>
        <w:t>。</w:t>
      </w:r>
    </w:p>
    <w:p w14:paraId="7E86CF8D">
      <w:pPr>
        <w:adjustRightInd w:val="0"/>
        <w:snapToGrid w:val="0"/>
        <w:spacing w:line="360" w:lineRule="auto"/>
        <w:ind w:firstLine="435"/>
        <w:rPr>
          <w:rFonts w:hint="eastAsia" w:ascii="宋体" w:hAnsi="宋体" w:cs="宋体"/>
          <w:color w:val="auto"/>
          <w:kern w:val="0"/>
          <w:sz w:val="24"/>
        </w:rPr>
      </w:pPr>
      <w:r>
        <w:rPr>
          <w:rFonts w:hint="eastAsia" w:ascii="宋体" w:hAnsi="宋体" w:cs="宋体"/>
          <w:color w:val="auto"/>
          <w:kern w:val="0"/>
          <w:sz w:val="24"/>
        </w:rPr>
        <w:t>代理人无转委托权。</w:t>
      </w:r>
    </w:p>
    <w:p w14:paraId="1EBAE508">
      <w:pPr>
        <w:adjustRightInd w:val="0"/>
        <w:snapToGrid w:val="0"/>
        <w:spacing w:line="360" w:lineRule="auto"/>
        <w:ind w:firstLine="435"/>
        <w:rPr>
          <w:rFonts w:hint="eastAsia" w:ascii="宋体" w:hAnsi="宋体" w:cs="宋体"/>
          <w:color w:val="auto"/>
          <w:sz w:val="24"/>
        </w:rPr>
      </w:pPr>
      <w:r>
        <w:rPr>
          <w:rFonts w:hint="eastAsia" w:ascii="宋体" w:hAnsi="宋体" w:cs="宋体"/>
          <w:color w:val="auto"/>
          <w:sz w:val="24"/>
        </w:rPr>
        <w:t>本授权书于日期：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日签字生效，特此声明。</w:t>
      </w:r>
    </w:p>
    <w:p w14:paraId="1E44D257">
      <w:pPr>
        <w:adjustRightInd w:val="0"/>
        <w:snapToGrid w:val="0"/>
        <w:spacing w:line="360" w:lineRule="auto"/>
        <w:ind w:firstLine="480" w:firstLineChars="200"/>
        <w:rPr>
          <w:rFonts w:hint="eastAsia" w:ascii="宋体" w:hAnsi="宋体" w:cs="宋体"/>
          <w:color w:val="auto"/>
          <w:sz w:val="24"/>
        </w:rPr>
      </w:pPr>
    </w:p>
    <w:tbl>
      <w:tblPr>
        <w:tblStyle w:val="13"/>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14:paraId="4E621D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14:paraId="3D3921DB">
            <w:pPr>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委托代理人身份证（正面、反面）复印件</w:t>
            </w:r>
          </w:p>
        </w:tc>
      </w:tr>
    </w:tbl>
    <w:p w14:paraId="176BFE6B">
      <w:pPr>
        <w:adjustRightInd w:val="0"/>
        <w:snapToGrid w:val="0"/>
        <w:spacing w:line="360" w:lineRule="auto"/>
        <w:rPr>
          <w:rFonts w:hint="eastAsia" w:ascii="宋体" w:hAnsi="宋体" w:cs="宋体"/>
          <w:color w:val="auto"/>
          <w:sz w:val="24"/>
        </w:rPr>
      </w:pPr>
    </w:p>
    <w:tbl>
      <w:tblPr>
        <w:tblStyle w:val="13"/>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14:paraId="035344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14:paraId="622B478C">
            <w:pPr>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法定代表人身份证（正面、反面）复印件</w:t>
            </w:r>
          </w:p>
        </w:tc>
      </w:tr>
    </w:tbl>
    <w:p w14:paraId="6690E3A4">
      <w:pPr>
        <w:adjustRightInd w:val="0"/>
        <w:snapToGrid w:val="0"/>
        <w:spacing w:line="360" w:lineRule="auto"/>
        <w:rPr>
          <w:rFonts w:hint="eastAsia" w:ascii="宋体" w:hAnsi="宋体" w:cs="宋体"/>
          <w:color w:val="auto"/>
          <w:sz w:val="24"/>
        </w:rPr>
      </w:pPr>
    </w:p>
    <w:p w14:paraId="62866227">
      <w:pPr>
        <w:adjustRightInd w:val="0"/>
        <w:snapToGrid w:val="0"/>
        <w:spacing w:line="360" w:lineRule="auto"/>
        <w:rPr>
          <w:rFonts w:hint="eastAsia" w:ascii="宋体" w:hAnsi="宋体" w:cs="宋体"/>
          <w:color w:val="auto"/>
          <w:sz w:val="24"/>
        </w:rPr>
      </w:pPr>
    </w:p>
    <w:p w14:paraId="22EADCD1">
      <w:pPr>
        <w:adjustRightInd w:val="0"/>
        <w:snapToGrid w:val="0"/>
        <w:spacing w:line="360" w:lineRule="auto"/>
        <w:rPr>
          <w:rFonts w:hint="eastAsia" w:ascii="宋体" w:hAnsi="宋体" w:cs="宋体"/>
          <w:color w:val="auto"/>
          <w:sz w:val="24"/>
        </w:rPr>
      </w:pPr>
      <w:r>
        <w:rPr>
          <w:rFonts w:hint="eastAsia" w:ascii="宋体" w:hAnsi="宋体" w:cs="宋体"/>
          <w:color w:val="auto"/>
          <w:sz w:val="24"/>
        </w:rPr>
        <w:t>投标人名称（盖单位章）：</w:t>
      </w:r>
    </w:p>
    <w:p w14:paraId="535172AF">
      <w:pPr>
        <w:adjustRightInd w:val="0"/>
        <w:snapToGrid w:val="0"/>
        <w:spacing w:line="360" w:lineRule="auto"/>
        <w:ind w:right="420"/>
        <w:rPr>
          <w:rFonts w:hint="eastAsia" w:ascii="宋体" w:hAnsi="宋体" w:cs="宋体"/>
          <w:color w:val="auto"/>
          <w:sz w:val="24"/>
        </w:rPr>
      </w:pPr>
      <w:r>
        <w:rPr>
          <w:rFonts w:hint="eastAsia" w:ascii="宋体" w:hAnsi="宋体" w:cs="宋体"/>
          <w:color w:val="auto"/>
          <w:sz w:val="24"/>
        </w:rPr>
        <w:t>法定代表人（签字）：</w:t>
      </w:r>
    </w:p>
    <w:p w14:paraId="570138A1">
      <w:pPr>
        <w:adjustRightInd w:val="0"/>
        <w:snapToGrid w:val="0"/>
        <w:spacing w:line="360" w:lineRule="auto"/>
        <w:ind w:right="420"/>
        <w:rPr>
          <w:rFonts w:hint="eastAsia" w:ascii="宋体" w:hAnsi="宋体" w:cs="宋体"/>
          <w:color w:val="auto"/>
          <w:sz w:val="24"/>
        </w:rPr>
      </w:pPr>
      <w:r>
        <w:rPr>
          <w:rFonts w:hint="eastAsia" w:ascii="宋体" w:hAnsi="宋体" w:cs="宋体"/>
          <w:color w:val="auto"/>
          <w:sz w:val="24"/>
        </w:rPr>
        <w:t>委托代理人（签字）：</w:t>
      </w:r>
    </w:p>
    <w:p w14:paraId="589FF919">
      <w:pPr>
        <w:adjustRightInd w:val="0"/>
        <w:snapToGrid w:val="0"/>
        <w:spacing w:line="360" w:lineRule="auto"/>
        <w:rPr>
          <w:rFonts w:hint="eastAsia" w:ascii="宋体" w:hAnsi="宋体" w:cs="宋体"/>
          <w:b/>
          <w:color w:val="auto"/>
          <w:sz w:val="24"/>
        </w:rPr>
      </w:pPr>
      <w:r>
        <w:rPr>
          <w:rFonts w:hint="eastAsia" w:ascii="宋体" w:hAnsi="宋体" w:cs="宋体"/>
          <w:color w:val="auto"/>
          <w:sz w:val="24"/>
        </w:rPr>
        <w:t>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w:t>
      </w:r>
    </w:p>
    <w:p w14:paraId="0148C083">
      <w:pPr>
        <w:adjustRightInd w:val="0"/>
        <w:snapToGrid w:val="0"/>
        <w:spacing w:line="360" w:lineRule="auto"/>
        <w:rPr>
          <w:rFonts w:hint="eastAsia" w:ascii="宋体" w:hAnsi="宋体" w:cs="宋体"/>
          <w:b/>
          <w:color w:val="auto"/>
          <w:sz w:val="28"/>
          <w:szCs w:val="28"/>
        </w:rPr>
      </w:pPr>
    </w:p>
    <w:p w14:paraId="1A60B02A">
      <w:pPr>
        <w:adjustRightInd w:val="0"/>
        <w:snapToGrid w:val="0"/>
        <w:spacing w:line="360" w:lineRule="auto"/>
        <w:rPr>
          <w:rFonts w:hint="eastAsia" w:ascii="宋体" w:hAnsi="宋体" w:cs="宋体"/>
          <w:b/>
          <w:color w:val="auto"/>
          <w:sz w:val="28"/>
          <w:szCs w:val="28"/>
        </w:rPr>
      </w:pPr>
    </w:p>
    <w:p w14:paraId="33DC4EA4">
      <w:pPr>
        <w:adjustRightInd w:val="0"/>
        <w:snapToGrid w:val="0"/>
        <w:spacing w:line="360" w:lineRule="auto"/>
        <w:jc w:val="center"/>
        <w:rPr>
          <w:rFonts w:hint="eastAsia" w:ascii="宋体" w:hAnsi="宋体" w:cs="宋体"/>
          <w:color w:val="auto"/>
          <w:sz w:val="24"/>
        </w:rPr>
      </w:pPr>
      <w:r>
        <w:rPr>
          <w:rFonts w:hint="eastAsia" w:ascii="宋体" w:hAnsi="宋体" w:cs="宋体"/>
          <w:b/>
          <w:color w:val="auto"/>
          <w:sz w:val="24"/>
          <w:szCs w:val="20"/>
        </w:rPr>
        <w:t>二、投标人资格声明</w:t>
      </w:r>
    </w:p>
    <w:p w14:paraId="557BC8F7">
      <w:pPr>
        <w:widowControl/>
        <w:adjustRightInd w:val="0"/>
        <w:snapToGrid w:val="0"/>
        <w:spacing w:before="120" w:beforeLines="50" w:line="360" w:lineRule="auto"/>
        <w:jc w:val="left"/>
        <w:rPr>
          <w:rFonts w:hint="eastAsia" w:ascii="宋体" w:hAnsi="宋体" w:cs="宋体"/>
          <w:color w:val="auto"/>
          <w:kern w:val="0"/>
          <w:sz w:val="24"/>
        </w:rPr>
      </w:pPr>
      <w:r>
        <w:rPr>
          <w:rFonts w:hint="eastAsia" w:ascii="宋体" w:hAnsi="宋体" w:cs="宋体"/>
          <w:color w:val="auto"/>
          <w:sz w:val="24"/>
        </w:rPr>
        <w:t>致(</w:t>
      </w:r>
      <w:r>
        <w:rPr>
          <w:rFonts w:hint="eastAsia" w:ascii="宋体" w:hAnsi="宋体" w:cs="宋体"/>
          <w:color w:val="auto"/>
          <w:sz w:val="24"/>
          <w:lang w:val="en-US" w:eastAsia="zh-CN"/>
        </w:rPr>
        <w:t xml:space="preserve">           </w:t>
      </w:r>
      <w:r>
        <w:rPr>
          <w:rFonts w:hint="eastAsia" w:ascii="宋体" w:hAnsi="宋体" w:cs="宋体"/>
          <w:color w:val="auto"/>
          <w:sz w:val="24"/>
        </w:rPr>
        <w:t>)：</w:t>
      </w:r>
    </w:p>
    <w:p w14:paraId="6B02F187">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按照招标文件的规定，我单位郑重声明如下：</w:t>
      </w:r>
    </w:p>
    <w:p w14:paraId="7015A285">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一、我单位是按照中华人民共和国法律规定登记注册的，注册地点为</w:t>
      </w:r>
      <w:r>
        <w:rPr>
          <w:rFonts w:hint="eastAsia" w:ascii="宋体" w:hAnsi="宋体" w:cs="宋体"/>
          <w:color w:val="auto"/>
          <w:sz w:val="24"/>
          <w:u w:val="single"/>
        </w:rPr>
        <w:t xml:space="preserve">      </w:t>
      </w:r>
      <w:r>
        <w:rPr>
          <w:rFonts w:hint="eastAsia" w:ascii="宋体" w:hAnsi="宋体" w:cs="宋体"/>
          <w:color w:val="auto"/>
          <w:sz w:val="24"/>
        </w:rPr>
        <w:t>，全称为</w:t>
      </w:r>
      <w:r>
        <w:rPr>
          <w:rFonts w:hint="eastAsia" w:ascii="宋体" w:hAnsi="宋体" w:cs="宋体"/>
          <w:color w:val="auto"/>
          <w:sz w:val="24"/>
          <w:u w:val="single"/>
        </w:rPr>
        <w:t xml:space="preserve">      </w:t>
      </w:r>
      <w:r>
        <w:rPr>
          <w:rFonts w:hint="eastAsia" w:ascii="宋体" w:hAnsi="宋体" w:cs="宋体"/>
          <w:color w:val="auto"/>
          <w:sz w:val="24"/>
        </w:rPr>
        <w:t>，统一社会信用代码为</w:t>
      </w:r>
      <w:r>
        <w:rPr>
          <w:rFonts w:hint="eastAsia" w:ascii="宋体" w:hAnsi="宋体" w:cs="宋体"/>
          <w:color w:val="auto"/>
          <w:sz w:val="24"/>
          <w:u w:val="single"/>
        </w:rPr>
        <w:t xml:space="preserve">      </w:t>
      </w:r>
      <w:r>
        <w:rPr>
          <w:rFonts w:hint="eastAsia" w:ascii="宋体" w:hAnsi="宋体" w:cs="宋体"/>
          <w:color w:val="auto"/>
          <w:sz w:val="24"/>
        </w:rPr>
        <w:t>，法定代表人为</w:t>
      </w:r>
      <w:r>
        <w:rPr>
          <w:rFonts w:hint="eastAsia" w:ascii="宋体" w:hAnsi="宋体" w:cs="宋体"/>
          <w:color w:val="auto"/>
          <w:sz w:val="24"/>
          <w:u w:val="single"/>
        </w:rPr>
        <w:t xml:space="preserve">      </w:t>
      </w:r>
      <w:r>
        <w:rPr>
          <w:rFonts w:hint="eastAsia" w:ascii="宋体" w:hAnsi="宋体" w:cs="宋体"/>
          <w:color w:val="auto"/>
          <w:sz w:val="24"/>
        </w:rPr>
        <w:t>，具有独立承担民事责任的能力。</w:t>
      </w:r>
    </w:p>
    <w:p w14:paraId="4C3A86BF">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二、我单位具有良好的商业信誉和健全的财务会计制度。</w:t>
      </w:r>
    </w:p>
    <w:p w14:paraId="54E13F4C">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三、</w:t>
      </w:r>
      <w:r>
        <w:rPr>
          <w:rFonts w:hint="eastAsia" w:ascii="宋体" w:hAnsi="宋体" w:cs="宋体"/>
          <w:color w:val="auto"/>
          <w:sz w:val="24"/>
        </w:rPr>
        <w:t>我单位具有履行本项目采购合同所必需的设备和专业技术能力。</w:t>
      </w:r>
    </w:p>
    <w:p w14:paraId="318FC51B">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四、我单位在参加本招标项目前三年内，在经营活动中，未因违法经营受到刑事处罚或者责令停产停业、吊销许可证或者执照、较大数额罚款等行政处罚。其中较大数额罚款是指：对公民处罚款在1000元及以上；对法人或者其他组织处罚款在2万元及以上；法律法规另有规定的，从其规定。</w:t>
      </w:r>
    </w:p>
    <w:p w14:paraId="40FC264B">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五、我单位具备法律、行政法规规定的其他条件。</w:t>
      </w:r>
    </w:p>
    <w:p w14:paraId="419DCD7C">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kern w:val="0"/>
          <w:sz w:val="24"/>
        </w:rPr>
        <w:t>六、</w:t>
      </w:r>
      <w:r>
        <w:rPr>
          <w:rFonts w:hint="eastAsia" w:ascii="宋体" w:hAnsi="宋体" w:cs="宋体"/>
          <w:color w:val="auto"/>
          <w:sz w:val="24"/>
        </w:rPr>
        <w:t>与我单位存在“单位负责人为同一人或者存在直接控股、管理关系”的其他法人单位信息如下（如无，填写“无”）：</w:t>
      </w:r>
    </w:p>
    <w:p w14:paraId="6D65F361">
      <w:pPr>
        <w:adjustRightInd w:val="0"/>
        <w:snapToGrid w:val="0"/>
        <w:spacing w:before="120" w:beforeLines="50" w:line="360" w:lineRule="auto"/>
        <w:ind w:firstLine="480" w:firstLineChars="200"/>
        <w:rPr>
          <w:rFonts w:hint="eastAsia" w:ascii="宋体" w:hAnsi="宋体" w:cs="宋体"/>
          <w:color w:val="auto"/>
          <w:sz w:val="24"/>
          <w:u w:val="single"/>
        </w:rPr>
      </w:pPr>
      <w:r>
        <w:rPr>
          <w:rFonts w:hint="eastAsia" w:ascii="宋体" w:hAnsi="宋体" w:cs="宋体"/>
          <w:color w:val="auto"/>
          <w:sz w:val="24"/>
        </w:rPr>
        <w:t>1、与我单位的法定代表人（单位负责人）为同一人的其他法人单位如下：</w:t>
      </w:r>
      <w:r>
        <w:rPr>
          <w:rFonts w:hint="eastAsia" w:ascii="宋体" w:hAnsi="宋体" w:cs="宋体"/>
          <w:color w:val="auto"/>
          <w:sz w:val="24"/>
          <w:u w:val="single"/>
        </w:rPr>
        <w:t xml:space="preserve">               </w:t>
      </w:r>
    </w:p>
    <w:p w14:paraId="5F2181BE">
      <w:pPr>
        <w:adjustRightInd w:val="0"/>
        <w:snapToGrid w:val="0"/>
        <w:spacing w:before="120" w:beforeLines="50" w:line="360" w:lineRule="auto"/>
        <w:ind w:firstLine="480" w:firstLineChars="200"/>
        <w:rPr>
          <w:rFonts w:hint="eastAsia" w:ascii="宋体" w:hAnsi="宋体" w:cs="宋体"/>
          <w:color w:val="auto"/>
          <w:sz w:val="24"/>
        </w:rPr>
      </w:pPr>
      <w:r>
        <w:rPr>
          <w:rFonts w:hint="eastAsia" w:ascii="宋体" w:hAnsi="宋体" w:cs="宋体"/>
          <w:color w:val="auto"/>
          <w:sz w:val="24"/>
        </w:rPr>
        <w:t>2、我单位直接控股的其他法人单位如下：</w:t>
      </w:r>
      <w:r>
        <w:rPr>
          <w:rFonts w:hint="eastAsia" w:ascii="宋体" w:hAnsi="宋体" w:cs="宋体"/>
          <w:color w:val="auto"/>
          <w:sz w:val="24"/>
          <w:u w:val="single"/>
        </w:rPr>
        <w:t xml:space="preserve">                                            </w:t>
      </w:r>
    </w:p>
    <w:p w14:paraId="57923393">
      <w:pPr>
        <w:adjustRightInd w:val="0"/>
        <w:snapToGrid w:val="0"/>
        <w:spacing w:before="120" w:beforeLines="50" w:line="360" w:lineRule="auto"/>
        <w:ind w:firstLine="480" w:firstLineChars="200"/>
        <w:rPr>
          <w:rFonts w:hint="eastAsia" w:ascii="宋体" w:hAnsi="宋体" w:cs="宋体"/>
          <w:color w:val="auto"/>
          <w:sz w:val="24"/>
        </w:rPr>
      </w:pPr>
      <w:r>
        <w:rPr>
          <w:rFonts w:hint="eastAsia" w:ascii="宋体" w:hAnsi="宋体" w:cs="宋体"/>
          <w:color w:val="auto"/>
          <w:sz w:val="24"/>
        </w:rPr>
        <w:t>3、与我单位存在管理关系的其他法人单位如下：</w:t>
      </w:r>
      <w:r>
        <w:rPr>
          <w:rFonts w:hint="eastAsia" w:ascii="宋体" w:hAnsi="宋体" w:cs="宋体"/>
          <w:color w:val="auto"/>
          <w:sz w:val="24"/>
          <w:u w:val="single"/>
        </w:rPr>
        <w:t xml:space="preserve">                                      </w:t>
      </w:r>
    </w:p>
    <w:p w14:paraId="3102D368">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我单位保证上述声明的事项都是真实的，如有虚假，我单位愿意承担相应的法律责任，并承担因此所造成的一切损失。</w:t>
      </w:r>
    </w:p>
    <w:p w14:paraId="5896BD17">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我单位保证随时按照要求提供能够证明上述声明事项真实性的任何有效文件。</w:t>
      </w:r>
    </w:p>
    <w:p w14:paraId="352BB87E">
      <w:pPr>
        <w:widowControl/>
        <w:adjustRightInd w:val="0"/>
        <w:snapToGrid w:val="0"/>
        <w:spacing w:before="120" w:beforeLines="50" w:line="360" w:lineRule="auto"/>
        <w:jc w:val="left"/>
        <w:rPr>
          <w:rFonts w:hint="eastAsia" w:ascii="宋体" w:hAnsi="宋体" w:cs="宋体"/>
          <w:color w:val="auto"/>
          <w:kern w:val="0"/>
          <w:sz w:val="24"/>
        </w:rPr>
      </w:pPr>
      <w:r>
        <w:rPr>
          <w:rFonts w:hint="eastAsia" w:ascii="宋体" w:hAnsi="宋体" w:cs="宋体"/>
          <w:color w:val="auto"/>
          <w:sz w:val="24"/>
        </w:rPr>
        <w:t>投标人名称（盖单位公章）：</w:t>
      </w:r>
    </w:p>
    <w:p w14:paraId="4D2E52EF">
      <w:pPr>
        <w:widowControl/>
        <w:adjustRightInd w:val="0"/>
        <w:snapToGrid w:val="0"/>
        <w:spacing w:before="120" w:beforeLines="50" w:line="360" w:lineRule="auto"/>
        <w:jc w:val="left"/>
        <w:rPr>
          <w:rFonts w:hint="eastAsia" w:ascii="宋体" w:hAnsi="宋体" w:cs="宋体"/>
          <w:b/>
          <w:bCs/>
          <w:color w:val="auto"/>
          <w:kern w:val="0"/>
          <w:sz w:val="24"/>
        </w:rPr>
      </w:pPr>
      <w:r>
        <w:rPr>
          <w:rFonts w:hint="eastAsia" w:ascii="宋体" w:hAnsi="宋体" w:cs="宋体"/>
          <w:color w:val="auto"/>
          <w:sz w:val="24"/>
        </w:rPr>
        <w:t>法定代表人或委托代理人（签字）：</w:t>
      </w:r>
    </w:p>
    <w:p w14:paraId="5626F71B">
      <w:pPr>
        <w:widowControl/>
        <w:adjustRightInd w:val="0"/>
        <w:snapToGrid w:val="0"/>
        <w:spacing w:before="120" w:beforeLines="50" w:line="360" w:lineRule="auto"/>
        <w:jc w:val="left"/>
        <w:rPr>
          <w:rFonts w:hint="eastAsia" w:ascii="宋体" w:hAnsi="宋体" w:cs="宋体"/>
          <w:color w:val="auto"/>
          <w:sz w:val="24"/>
        </w:rPr>
      </w:pPr>
      <w:r>
        <w:rPr>
          <w:rFonts w:hint="eastAsia" w:ascii="宋体" w:hAnsi="宋体" w:cs="宋体"/>
          <w:color w:val="auto"/>
          <w:sz w:val="24"/>
        </w:rPr>
        <w:t>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w:t>
      </w:r>
    </w:p>
    <w:p w14:paraId="33A906AB">
      <w:pPr>
        <w:adjustRightInd w:val="0"/>
        <w:snapToGrid w:val="0"/>
        <w:spacing w:line="360" w:lineRule="auto"/>
        <w:jc w:val="center"/>
        <w:rPr>
          <w:rFonts w:hint="eastAsia" w:ascii="宋体" w:hAnsi="宋体" w:cs="宋体"/>
          <w:b/>
          <w:color w:val="auto"/>
          <w:sz w:val="24"/>
          <w:szCs w:val="20"/>
        </w:rPr>
      </w:pPr>
    </w:p>
    <w:p w14:paraId="43513160">
      <w:pPr>
        <w:adjustRightInd w:val="0"/>
        <w:snapToGrid w:val="0"/>
        <w:spacing w:line="360" w:lineRule="auto"/>
        <w:rPr>
          <w:rFonts w:hint="eastAsia" w:ascii="宋体" w:hAnsi="宋体" w:cs="宋体"/>
          <w:b/>
          <w:color w:val="auto"/>
          <w:sz w:val="24"/>
          <w:szCs w:val="20"/>
        </w:rPr>
      </w:pPr>
    </w:p>
    <w:p w14:paraId="1F93E756">
      <w:pPr>
        <w:adjustRightInd w:val="0"/>
        <w:snapToGrid w:val="0"/>
        <w:spacing w:line="360" w:lineRule="auto"/>
        <w:rPr>
          <w:rFonts w:hint="eastAsia" w:ascii="宋体" w:hAnsi="宋体" w:cs="宋体"/>
          <w:b/>
          <w:color w:val="auto"/>
          <w:sz w:val="24"/>
          <w:szCs w:val="20"/>
        </w:rPr>
      </w:pPr>
    </w:p>
    <w:p w14:paraId="50E192B0">
      <w:pPr>
        <w:adjustRightInd w:val="0"/>
        <w:snapToGrid w:val="0"/>
        <w:spacing w:line="360" w:lineRule="auto"/>
        <w:jc w:val="center"/>
        <w:rPr>
          <w:rFonts w:ascii="宋体" w:hAnsi="宋体" w:cs="宋体"/>
          <w:b/>
          <w:color w:val="auto"/>
          <w:sz w:val="28"/>
          <w:szCs w:val="28"/>
        </w:rPr>
      </w:pPr>
      <w:r>
        <w:rPr>
          <w:rFonts w:hint="eastAsia" w:ascii="宋体" w:hAnsi="宋体" w:cs="宋体"/>
          <w:b/>
          <w:color w:val="auto"/>
          <w:sz w:val="28"/>
          <w:szCs w:val="28"/>
        </w:rPr>
        <w:t>三、符合基本资格条件证明材料复印件或者情况说明</w:t>
      </w:r>
    </w:p>
    <w:p w14:paraId="6FFC9342">
      <w:pPr>
        <w:adjustRightInd w:val="0"/>
        <w:snapToGrid w:val="0"/>
        <w:spacing w:line="360" w:lineRule="auto"/>
        <w:jc w:val="center"/>
        <w:rPr>
          <w:rFonts w:hint="eastAsia" w:ascii="宋体" w:hAnsi="宋体" w:cs="宋体"/>
          <w:b/>
          <w:color w:val="auto"/>
          <w:sz w:val="24"/>
          <w:szCs w:val="20"/>
        </w:rPr>
      </w:pPr>
    </w:p>
    <w:p w14:paraId="70D96195">
      <w:pPr>
        <w:pStyle w:val="4"/>
        <w:keepLines w:val="0"/>
        <w:snapToGrid w:val="0"/>
        <w:spacing w:before="0" w:after="0" w:line="520" w:lineRule="exact"/>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cs="宋体"/>
          <w:b w:val="0"/>
          <w:color w:val="auto"/>
          <w:sz w:val="24"/>
          <w:szCs w:val="24"/>
        </w:rPr>
        <w:t>注：</w:t>
      </w:r>
      <w:r>
        <w:rPr>
          <w:rFonts w:hint="eastAsia" w:ascii="宋体" w:hAnsi="宋体" w:cs="宋体"/>
          <w:b w:val="0"/>
          <w:color w:val="auto"/>
          <w:sz w:val="24"/>
          <w:szCs w:val="24"/>
          <w:lang w:bidi="zh-CN"/>
        </w:rPr>
        <w:t>投标公司的营业执照</w:t>
      </w:r>
      <w:r>
        <w:rPr>
          <w:rFonts w:hint="eastAsia" w:ascii="宋体" w:hAnsi="宋体" w:cs="宋体"/>
          <w:b w:val="0"/>
          <w:color w:val="auto"/>
          <w:sz w:val="24"/>
          <w:szCs w:val="24"/>
          <w:lang w:val="en-US" w:bidi="zh-CN"/>
        </w:rPr>
        <w:t>及资格要求的证明材料，</w:t>
      </w:r>
      <w:r>
        <w:rPr>
          <w:rFonts w:hint="eastAsia" w:ascii="宋体" w:hAnsi="宋体" w:cs="宋体"/>
          <w:b w:val="0"/>
          <w:color w:val="auto"/>
          <w:sz w:val="24"/>
          <w:szCs w:val="24"/>
          <w:lang w:bidi="zh-CN"/>
        </w:rPr>
        <w:t>并加盖单位公章（按顺序装订）。</w:t>
      </w:r>
      <w:r>
        <w:rPr>
          <w:rFonts w:hint="eastAsia" w:ascii="宋体" w:hAnsi="宋体" w:eastAsia="宋体" w:cs="Times New Roman"/>
          <w:b w:val="0"/>
          <w:bCs w:val="0"/>
          <w:color w:val="auto"/>
          <w:kern w:val="2"/>
          <w:sz w:val="24"/>
          <w:szCs w:val="24"/>
          <w:lang w:val="en-US" w:eastAsia="zh-CN" w:bidi="ar-SA"/>
        </w:rPr>
        <w:t>附件    湖南省政府采购供应商资格承诺函</w:t>
      </w:r>
    </w:p>
    <w:p w14:paraId="7E7A1A67">
      <w:pPr>
        <w:widowControl/>
        <w:spacing w:after="100" w:afterAutospacing="1" w:line="360" w:lineRule="auto"/>
        <w:ind w:left="227" w:right="113" w:firstLine="482"/>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本公司具有独立承担民事责任、具有良好的商业信誉和健全的财务会计制度，依法缴纳税收和社会保障资金，在前三年的经营活动中无重大违法记录，未列入严重失信行为名单，符合政府采购供应商的基本资格要求。</w:t>
      </w:r>
    </w:p>
    <w:p w14:paraId="233909D7">
      <w:pPr>
        <w:widowControl/>
        <w:snapToGrid w:val="0"/>
        <w:spacing w:before="100" w:beforeAutospacing="1" w:after="100" w:afterAutospacing="1" w:line="360" w:lineRule="auto"/>
        <w:ind w:left="210" w:leftChars="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按照《政府采购促进中小企业发展管理办法》(财库〔2020〕46号)规定，</w:t>
      </w:r>
    </w:p>
    <w:p w14:paraId="66A5A368">
      <w:pPr>
        <w:widowControl/>
        <w:snapToGrid w:val="0"/>
        <w:spacing w:before="100" w:beforeAutospacing="1" w:after="100" w:afterAutospacing="1" w:line="360" w:lineRule="auto"/>
        <w:ind w:left="210" w:leftChars="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本公司企业规模为：          （大型、中型、小型、微型 ）</w:t>
      </w:r>
    </w:p>
    <w:p w14:paraId="2709F955">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统一社会信用代码：                        、注册登记机构：                 、 注册日期：                 、有效期：               、注册资本：                、地址：               、经济行业：                 、经济性质：              </w:t>
      </w:r>
    </w:p>
    <w:p w14:paraId="0072E6B7">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法定代表人姓名 (签字)：             、身份证号：                           、</w:t>
      </w:r>
    </w:p>
    <w:p w14:paraId="4C5C4138">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手机号：             ；</w:t>
      </w:r>
    </w:p>
    <w:p w14:paraId="42D19AA8">
      <w:pPr>
        <w:widowControl/>
        <w:spacing w:after="100" w:afterAutospacing="1" w:line="360" w:lineRule="auto"/>
        <w:ind w:left="246" w:hanging="1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授权代表人姓名 (签字)：                、身份证号：                     </w:t>
      </w:r>
    </w:p>
    <w:p w14:paraId="4B7EC4CC">
      <w:pPr>
        <w:widowControl/>
        <w:spacing w:after="100" w:afterAutospacing="1" w:line="360" w:lineRule="auto"/>
        <w:ind w:left="246" w:hanging="1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手机号：               。  </w:t>
      </w:r>
    </w:p>
    <w:p w14:paraId="0F367370">
      <w:pPr>
        <w:adjustRightInd w:val="0"/>
        <w:snapToGrid w:val="0"/>
        <w:spacing w:line="360" w:lineRule="auto"/>
        <w:rPr>
          <w:rFonts w:hint="eastAsia" w:ascii="宋体" w:hAnsi="宋体" w:eastAsia="宋体" w:cs="Times New Roman"/>
          <w:b w:val="0"/>
          <w:bCs w:val="0"/>
          <w:color w:val="auto"/>
          <w:kern w:val="2"/>
          <w:sz w:val="24"/>
          <w:szCs w:val="24"/>
          <w:lang w:val="en-US" w:eastAsia="zh-CN" w:bidi="ar-SA"/>
        </w:rPr>
      </w:pPr>
    </w:p>
    <w:p w14:paraId="781ADB6C">
      <w:pPr>
        <w:adjustRightInd w:val="0"/>
        <w:snapToGrid w:val="0"/>
        <w:spacing w:line="360" w:lineRule="auto"/>
        <w:ind w:left="4406" w:leftChars="-302" w:hanging="5040" w:hangingChars="2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                           供应商名称（盖公章）：                                    </w:t>
      </w:r>
    </w:p>
    <w:p w14:paraId="5C106598">
      <w:pPr>
        <w:adjustRightInd w:val="0"/>
        <w:snapToGrid w:val="0"/>
        <w:spacing w:line="360" w:lineRule="auto"/>
        <w:ind w:left="4406" w:leftChars="-302" w:hanging="5040" w:hangingChars="2100"/>
        <w:jc w:val="righ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2022年     月     日</w:t>
      </w:r>
    </w:p>
    <w:p w14:paraId="1AD90C82">
      <w:pPr>
        <w:jc w:val="left"/>
        <w:rPr>
          <w:rFonts w:hint="eastAsia" w:ascii="宋体" w:hAnsi="宋体" w:eastAsia="宋体" w:cs="Times New Roman"/>
          <w:b w:val="0"/>
          <w:bCs w:val="0"/>
          <w:color w:val="auto"/>
          <w:kern w:val="2"/>
          <w:sz w:val="24"/>
          <w:szCs w:val="24"/>
          <w:lang w:val="en-US" w:eastAsia="zh-CN" w:bidi="ar-SA"/>
        </w:rPr>
      </w:pPr>
    </w:p>
    <w:p w14:paraId="4C054E8F">
      <w:pPr>
        <w:jc w:val="left"/>
        <w:rPr>
          <w:rFonts w:hint="eastAsia" w:ascii="宋体" w:hAnsi="宋体" w:eastAsia="宋体" w:cs="Times New Roman"/>
          <w:b w:val="0"/>
          <w:bCs w:val="0"/>
          <w:color w:val="auto"/>
          <w:kern w:val="2"/>
          <w:sz w:val="24"/>
          <w:szCs w:val="24"/>
          <w:lang w:val="en-US" w:eastAsia="zh-CN" w:bidi="ar-SA"/>
        </w:rPr>
      </w:pPr>
    </w:p>
    <w:p w14:paraId="0ABDC406">
      <w:pPr>
        <w:jc w:val="left"/>
        <w:rPr>
          <w:rFonts w:hint="eastAsia" w:ascii="宋体" w:hAnsi="宋体" w:eastAsia="宋体" w:cs="宋体"/>
          <w:b/>
          <w:color w:val="auto"/>
          <w:sz w:val="24"/>
          <w:lang w:val="en-US" w:eastAsia="zh-CN"/>
        </w:rPr>
      </w:pPr>
      <w:r>
        <w:rPr>
          <w:rFonts w:hint="eastAsia" w:ascii="宋体" w:hAnsi="宋体" w:eastAsia="宋体" w:cs="Times New Roman"/>
          <w:b w:val="0"/>
          <w:bCs w:val="0"/>
          <w:color w:val="auto"/>
          <w:kern w:val="2"/>
          <w:sz w:val="24"/>
          <w:szCs w:val="24"/>
          <w:lang w:val="en-US" w:eastAsia="zh-CN" w:bidi="ar-SA"/>
        </w:rPr>
        <w:t>注、企业规模划分标准：《关于印发中小企业划型标准规定的通知》（工信部联企业〔2011〕300号）</w:t>
      </w:r>
    </w:p>
    <w:p w14:paraId="6FA0C4AB">
      <w:pPr>
        <w:jc w:val="center"/>
        <w:rPr>
          <w:rFonts w:hint="eastAsia" w:ascii="宋体" w:hAnsi="宋体" w:cs="宋体"/>
          <w:b/>
          <w:color w:val="auto"/>
          <w:sz w:val="24"/>
        </w:rPr>
        <w:sectPr>
          <w:footerReference r:id="rId5" w:type="default"/>
          <w:pgSz w:w="11906" w:h="16838"/>
          <w:pgMar w:top="1191" w:right="1587" w:bottom="1020" w:left="1587" w:header="567" w:footer="283" w:gutter="0"/>
          <w:cols w:space="720" w:num="1"/>
          <w:docGrid w:linePitch="312" w:charSpace="0"/>
        </w:sectPr>
      </w:pPr>
    </w:p>
    <w:p w14:paraId="7242920E">
      <w:pPr>
        <w:spacing w:before="120" w:beforeLines="50" w:after="120" w:afterLines="50" w:line="276" w:lineRule="auto"/>
        <w:jc w:val="center"/>
        <w:rPr>
          <w:rFonts w:hint="eastAsia" w:ascii="宋体" w:hAnsi="宋体" w:eastAsia="宋体" w:cs="宋体"/>
          <w:b/>
          <w:color w:val="auto"/>
          <w:sz w:val="28"/>
          <w:szCs w:val="28"/>
          <w:lang w:eastAsia="zh-CN"/>
        </w:rPr>
      </w:pPr>
      <w:r>
        <w:rPr>
          <w:rFonts w:hint="eastAsia" w:ascii="宋体" w:hAnsi="宋体" w:cs="宋体"/>
          <w:b/>
          <w:color w:val="auto"/>
          <w:sz w:val="28"/>
          <w:szCs w:val="28"/>
        </w:rPr>
        <w:t>第三部分、采购需求响应程度</w:t>
      </w:r>
      <w:bookmarkStart w:id="4" w:name="_Toc486424819"/>
      <w:bookmarkStart w:id="5" w:name="_Toc476514128"/>
    </w:p>
    <w:p w14:paraId="126ABE8D">
      <w:pPr>
        <w:pStyle w:val="17"/>
        <w:rPr>
          <w:rFonts w:hint="eastAsia"/>
          <w:color w:val="auto"/>
          <w:lang w:eastAsia="zh-CN"/>
        </w:rPr>
      </w:pPr>
    </w:p>
    <w:p w14:paraId="23ABFD02">
      <w:pPr>
        <w:spacing w:before="120" w:beforeLines="50" w:after="120" w:afterLines="50" w:line="276" w:lineRule="auto"/>
        <w:jc w:val="center"/>
        <w:rPr>
          <w:rFonts w:hint="eastAsia" w:eastAsia="宋体"/>
          <w:b/>
          <w:color w:val="auto"/>
          <w:sz w:val="24"/>
          <w:lang w:eastAsia="zh-CN"/>
        </w:rPr>
      </w:pPr>
      <w:r>
        <w:rPr>
          <w:b/>
          <w:color w:val="auto"/>
          <w:sz w:val="24"/>
        </w:rPr>
        <w:t>采购需求响应</w:t>
      </w:r>
      <w:r>
        <w:rPr>
          <w:rFonts w:hint="eastAsia"/>
          <w:b/>
          <w:color w:val="auto"/>
          <w:sz w:val="24"/>
          <w:lang w:eastAsia="zh-CN"/>
        </w:rPr>
        <w:t>表</w:t>
      </w:r>
    </w:p>
    <w:p w14:paraId="4E74E349">
      <w:pPr>
        <w:adjustRightInd w:val="0"/>
        <w:snapToGrid w:val="0"/>
        <w:spacing w:line="360" w:lineRule="auto"/>
        <w:rPr>
          <w:color w:val="auto"/>
          <w:szCs w:val="21"/>
        </w:rPr>
      </w:pPr>
      <w:r>
        <w:rPr>
          <w:rFonts w:hint="eastAsia"/>
          <w:color w:val="auto"/>
          <w:sz w:val="24"/>
        </w:rPr>
        <w:t>项目</w:t>
      </w:r>
      <w:r>
        <w:rPr>
          <w:color w:val="auto"/>
          <w:sz w:val="24"/>
        </w:rPr>
        <w:t>编号：                    项目名称：                     包号：</w:t>
      </w:r>
    </w:p>
    <w:tbl>
      <w:tblPr>
        <w:tblStyle w:val="13"/>
        <w:tblW w:w="4997"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28" w:type="dxa"/>
        </w:tblCellMar>
      </w:tblPr>
      <w:tblGrid>
        <w:gridCol w:w="627"/>
        <w:gridCol w:w="1877"/>
        <w:gridCol w:w="1671"/>
        <w:gridCol w:w="1608"/>
        <w:gridCol w:w="1513"/>
        <w:gridCol w:w="1061"/>
      </w:tblGrid>
      <w:tr w14:paraId="0781625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4" w:hRule="atLeast"/>
          <w:jc w:val="center"/>
        </w:trPr>
        <w:tc>
          <w:tcPr>
            <w:tcW w:w="375" w:type="pct"/>
            <w:noWrap w:val="0"/>
            <w:vAlign w:val="center"/>
          </w:tcPr>
          <w:p w14:paraId="283F8009">
            <w:pPr>
              <w:adjustRightInd w:val="0"/>
              <w:snapToGrid w:val="0"/>
              <w:spacing w:before="50" w:line="360" w:lineRule="auto"/>
              <w:ind w:left="-88" w:leftChars="-42"/>
              <w:jc w:val="center"/>
              <w:rPr>
                <w:color w:val="auto"/>
                <w:szCs w:val="21"/>
              </w:rPr>
            </w:pPr>
            <w:r>
              <w:rPr>
                <w:bCs/>
                <w:color w:val="auto"/>
                <w:szCs w:val="21"/>
              </w:rPr>
              <w:t>序</w:t>
            </w:r>
            <w:r>
              <w:rPr>
                <w:color w:val="auto"/>
                <w:szCs w:val="21"/>
              </w:rPr>
              <w:t>号</w:t>
            </w:r>
          </w:p>
        </w:tc>
        <w:tc>
          <w:tcPr>
            <w:tcW w:w="1123" w:type="pct"/>
            <w:noWrap w:val="0"/>
            <w:vAlign w:val="center"/>
          </w:tcPr>
          <w:p w14:paraId="04F1DE08">
            <w:pPr>
              <w:adjustRightInd w:val="0"/>
              <w:snapToGrid w:val="0"/>
              <w:spacing w:before="50" w:line="360" w:lineRule="auto"/>
              <w:ind w:left="-88" w:leftChars="-42"/>
              <w:jc w:val="center"/>
              <w:rPr>
                <w:color w:val="auto"/>
                <w:szCs w:val="21"/>
              </w:rPr>
            </w:pPr>
            <w:r>
              <w:rPr>
                <w:color w:val="auto"/>
                <w:szCs w:val="21"/>
              </w:rPr>
              <w:t>招标文件章节</w:t>
            </w:r>
            <w:r>
              <w:rPr>
                <w:bCs/>
                <w:color w:val="auto"/>
                <w:szCs w:val="21"/>
              </w:rPr>
              <w:t>条</w:t>
            </w:r>
            <w:r>
              <w:rPr>
                <w:color w:val="auto"/>
                <w:szCs w:val="21"/>
              </w:rPr>
              <w:t>款号</w:t>
            </w:r>
          </w:p>
        </w:tc>
        <w:tc>
          <w:tcPr>
            <w:tcW w:w="1000" w:type="pct"/>
            <w:noWrap w:val="0"/>
            <w:vAlign w:val="top"/>
          </w:tcPr>
          <w:p w14:paraId="5184D0FE">
            <w:pPr>
              <w:adjustRightInd w:val="0"/>
              <w:snapToGrid w:val="0"/>
              <w:spacing w:before="50" w:line="360" w:lineRule="auto"/>
              <w:jc w:val="center"/>
              <w:rPr>
                <w:color w:val="auto"/>
              </w:rPr>
            </w:pPr>
            <w:r>
              <w:rPr>
                <w:color w:val="auto"/>
              </w:rPr>
              <w:t>招标文件要求</w:t>
            </w:r>
          </w:p>
        </w:tc>
        <w:tc>
          <w:tcPr>
            <w:tcW w:w="962" w:type="pct"/>
            <w:noWrap w:val="0"/>
            <w:vAlign w:val="top"/>
          </w:tcPr>
          <w:p w14:paraId="4D34468D">
            <w:pPr>
              <w:adjustRightInd w:val="0"/>
              <w:snapToGrid w:val="0"/>
              <w:spacing w:before="50" w:line="360" w:lineRule="auto"/>
              <w:jc w:val="center"/>
              <w:rPr>
                <w:color w:val="auto"/>
              </w:rPr>
            </w:pPr>
            <w:r>
              <w:rPr>
                <w:color w:val="auto"/>
              </w:rPr>
              <w:t>投标文件应答</w:t>
            </w:r>
          </w:p>
        </w:tc>
        <w:tc>
          <w:tcPr>
            <w:tcW w:w="905" w:type="pct"/>
            <w:noWrap w:val="0"/>
            <w:vAlign w:val="center"/>
          </w:tcPr>
          <w:p w14:paraId="7790CCE8">
            <w:pPr>
              <w:adjustRightInd w:val="0"/>
              <w:snapToGrid w:val="0"/>
              <w:spacing w:before="50" w:line="360" w:lineRule="auto"/>
              <w:ind w:left="-88" w:leftChars="-42"/>
              <w:jc w:val="center"/>
              <w:rPr>
                <w:color w:val="auto"/>
                <w:szCs w:val="21"/>
              </w:rPr>
            </w:pPr>
            <w:r>
              <w:rPr>
                <w:color w:val="auto"/>
                <w:szCs w:val="21"/>
              </w:rPr>
              <w:t>响应/偏离</w:t>
            </w:r>
          </w:p>
        </w:tc>
        <w:tc>
          <w:tcPr>
            <w:tcW w:w="634" w:type="pct"/>
            <w:noWrap w:val="0"/>
            <w:vAlign w:val="center"/>
          </w:tcPr>
          <w:p w14:paraId="4F22A06F">
            <w:pPr>
              <w:adjustRightInd w:val="0"/>
              <w:snapToGrid w:val="0"/>
              <w:spacing w:before="50" w:line="360" w:lineRule="auto"/>
              <w:ind w:left="-88" w:leftChars="-42"/>
              <w:jc w:val="center"/>
              <w:rPr>
                <w:color w:val="auto"/>
                <w:szCs w:val="21"/>
              </w:rPr>
            </w:pPr>
            <w:r>
              <w:rPr>
                <w:color w:val="auto"/>
                <w:szCs w:val="21"/>
              </w:rPr>
              <w:t>偏离说明</w:t>
            </w:r>
          </w:p>
        </w:tc>
      </w:tr>
      <w:tr w14:paraId="60D9091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14:paraId="5B8C8226">
            <w:pPr>
              <w:adjustRightInd w:val="0"/>
              <w:snapToGrid w:val="0"/>
              <w:spacing w:before="50" w:line="360" w:lineRule="auto"/>
              <w:ind w:left="-88" w:leftChars="-42"/>
              <w:jc w:val="center"/>
              <w:rPr>
                <w:color w:val="auto"/>
                <w:szCs w:val="21"/>
              </w:rPr>
            </w:pPr>
          </w:p>
        </w:tc>
        <w:tc>
          <w:tcPr>
            <w:tcW w:w="1123" w:type="pct"/>
            <w:noWrap w:val="0"/>
            <w:vAlign w:val="center"/>
          </w:tcPr>
          <w:p w14:paraId="7705EEC4">
            <w:pPr>
              <w:adjustRightInd w:val="0"/>
              <w:snapToGrid w:val="0"/>
              <w:spacing w:before="50" w:line="360" w:lineRule="auto"/>
              <w:ind w:left="-88" w:leftChars="-42"/>
              <w:jc w:val="center"/>
              <w:rPr>
                <w:color w:val="auto"/>
                <w:szCs w:val="21"/>
              </w:rPr>
            </w:pPr>
          </w:p>
        </w:tc>
        <w:tc>
          <w:tcPr>
            <w:tcW w:w="1000" w:type="pct"/>
            <w:noWrap w:val="0"/>
            <w:vAlign w:val="center"/>
          </w:tcPr>
          <w:p w14:paraId="5DE07560">
            <w:pPr>
              <w:adjustRightInd w:val="0"/>
              <w:snapToGrid w:val="0"/>
              <w:spacing w:before="50" w:line="360" w:lineRule="auto"/>
              <w:ind w:left="-88" w:leftChars="-42"/>
              <w:jc w:val="center"/>
              <w:rPr>
                <w:color w:val="auto"/>
                <w:szCs w:val="21"/>
              </w:rPr>
            </w:pPr>
          </w:p>
        </w:tc>
        <w:tc>
          <w:tcPr>
            <w:tcW w:w="962" w:type="pct"/>
            <w:noWrap w:val="0"/>
            <w:vAlign w:val="center"/>
          </w:tcPr>
          <w:p w14:paraId="6260238C">
            <w:pPr>
              <w:adjustRightInd w:val="0"/>
              <w:snapToGrid w:val="0"/>
              <w:spacing w:before="50" w:line="360" w:lineRule="auto"/>
              <w:ind w:left="-88" w:leftChars="-42"/>
              <w:jc w:val="center"/>
              <w:rPr>
                <w:color w:val="auto"/>
                <w:szCs w:val="21"/>
              </w:rPr>
            </w:pPr>
          </w:p>
        </w:tc>
        <w:tc>
          <w:tcPr>
            <w:tcW w:w="905" w:type="pct"/>
            <w:noWrap w:val="0"/>
            <w:vAlign w:val="center"/>
          </w:tcPr>
          <w:p w14:paraId="4772008B">
            <w:pPr>
              <w:adjustRightInd w:val="0"/>
              <w:snapToGrid w:val="0"/>
              <w:spacing w:before="50" w:line="360" w:lineRule="auto"/>
              <w:ind w:left="-88" w:leftChars="-42"/>
              <w:jc w:val="center"/>
              <w:rPr>
                <w:color w:val="auto"/>
                <w:szCs w:val="21"/>
              </w:rPr>
            </w:pPr>
          </w:p>
        </w:tc>
        <w:tc>
          <w:tcPr>
            <w:tcW w:w="634" w:type="pct"/>
            <w:noWrap w:val="0"/>
            <w:vAlign w:val="center"/>
          </w:tcPr>
          <w:p w14:paraId="21C492A5">
            <w:pPr>
              <w:adjustRightInd w:val="0"/>
              <w:snapToGrid w:val="0"/>
              <w:spacing w:before="50" w:line="360" w:lineRule="auto"/>
              <w:ind w:left="-88" w:leftChars="-42"/>
              <w:jc w:val="center"/>
              <w:rPr>
                <w:color w:val="auto"/>
                <w:szCs w:val="21"/>
              </w:rPr>
            </w:pPr>
          </w:p>
        </w:tc>
      </w:tr>
      <w:tr w14:paraId="2C3DD0B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14:paraId="672C68D6">
            <w:pPr>
              <w:adjustRightInd w:val="0"/>
              <w:snapToGrid w:val="0"/>
              <w:spacing w:before="50" w:line="360" w:lineRule="auto"/>
              <w:ind w:left="-88" w:leftChars="-42"/>
              <w:jc w:val="center"/>
              <w:rPr>
                <w:color w:val="auto"/>
                <w:szCs w:val="21"/>
              </w:rPr>
            </w:pPr>
          </w:p>
        </w:tc>
        <w:tc>
          <w:tcPr>
            <w:tcW w:w="1123" w:type="pct"/>
            <w:noWrap w:val="0"/>
            <w:vAlign w:val="center"/>
          </w:tcPr>
          <w:p w14:paraId="25B70FD8">
            <w:pPr>
              <w:adjustRightInd w:val="0"/>
              <w:snapToGrid w:val="0"/>
              <w:spacing w:before="50" w:line="360" w:lineRule="auto"/>
              <w:ind w:left="-88" w:leftChars="-42"/>
              <w:jc w:val="center"/>
              <w:rPr>
                <w:color w:val="auto"/>
                <w:szCs w:val="21"/>
              </w:rPr>
            </w:pPr>
          </w:p>
        </w:tc>
        <w:tc>
          <w:tcPr>
            <w:tcW w:w="1000" w:type="pct"/>
            <w:noWrap w:val="0"/>
            <w:vAlign w:val="center"/>
          </w:tcPr>
          <w:p w14:paraId="556058A2">
            <w:pPr>
              <w:adjustRightInd w:val="0"/>
              <w:snapToGrid w:val="0"/>
              <w:spacing w:before="50" w:line="360" w:lineRule="auto"/>
              <w:ind w:left="-88" w:leftChars="-42"/>
              <w:jc w:val="center"/>
              <w:rPr>
                <w:color w:val="auto"/>
                <w:szCs w:val="21"/>
              </w:rPr>
            </w:pPr>
          </w:p>
        </w:tc>
        <w:tc>
          <w:tcPr>
            <w:tcW w:w="962" w:type="pct"/>
            <w:noWrap w:val="0"/>
            <w:vAlign w:val="center"/>
          </w:tcPr>
          <w:p w14:paraId="2D4564AE">
            <w:pPr>
              <w:adjustRightInd w:val="0"/>
              <w:snapToGrid w:val="0"/>
              <w:spacing w:before="50" w:line="360" w:lineRule="auto"/>
              <w:ind w:left="-88" w:leftChars="-42"/>
              <w:jc w:val="center"/>
              <w:rPr>
                <w:color w:val="auto"/>
                <w:szCs w:val="21"/>
              </w:rPr>
            </w:pPr>
          </w:p>
        </w:tc>
        <w:tc>
          <w:tcPr>
            <w:tcW w:w="905" w:type="pct"/>
            <w:noWrap w:val="0"/>
            <w:vAlign w:val="center"/>
          </w:tcPr>
          <w:p w14:paraId="716E63CD">
            <w:pPr>
              <w:adjustRightInd w:val="0"/>
              <w:snapToGrid w:val="0"/>
              <w:spacing w:before="50" w:line="360" w:lineRule="auto"/>
              <w:ind w:left="-88" w:leftChars="-42"/>
              <w:jc w:val="center"/>
              <w:rPr>
                <w:color w:val="auto"/>
                <w:szCs w:val="21"/>
              </w:rPr>
            </w:pPr>
          </w:p>
        </w:tc>
        <w:tc>
          <w:tcPr>
            <w:tcW w:w="634" w:type="pct"/>
            <w:noWrap w:val="0"/>
            <w:vAlign w:val="center"/>
          </w:tcPr>
          <w:p w14:paraId="3E9A6FEA">
            <w:pPr>
              <w:adjustRightInd w:val="0"/>
              <w:snapToGrid w:val="0"/>
              <w:spacing w:before="50" w:line="360" w:lineRule="auto"/>
              <w:ind w:left="-88" w:leftChars="-42"/>
              <w:jc w:val="center"/>
              <w:rPr>
                <w:color w:val="auto"/>
                <w:szCs w:val="21"/>
              </w:rPr>
            </w:pPr>
          </w:p>
        </w:tc>
      </w:tr>
      <w:tr w14:paraId="249ACC1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14:paraId="7A6D10A9">
            <w:pPr>
              <w:adjustRightInd w:val="0"/>
              <w:snapToGrid w:val="0"/>
              <w:spacing w:before="50" w:line="360" w:lineRule="auto"/>
              <w:ind w:left="-88" w:leftChars="-42"/>
              <w:jc w:val="center"/>
              <w:rPr>
                <w:color w:val="auto"/>
                <w:szCs w:val="21"/>
              </w:rPr>
            </w:pPr>
          </w:p>
        </w:tc>
        <w:tc>
          <w:tcPr>
            <w:tcW w:w="1123" w:type="pct"/>
            <w:noWrap w:val="0"/>
            <w:vAlign w:val="center"/>
          </w:tcPr>
          <w:p w14:paraId="3A42DC0C">
            <w:pPr>
              <w:adjustRightInd w:val="0"/>
              <w:snapToGrid w:val="0"/>
              <w:spacing w:before="50" w:line="360" w:lineRule="auto"/>
              <w:ind w:left="-88" w:leftChars="-42"/>
              <w:jc w:val="center"/>
              <w:rPr>
                <w:color w:val="auto"/>
                <w:szCs w:val="21"/>
              </w:rPr>
            </w:pPr>
          </w:p>
        </w:tc>
        <w:tc>
          <w:tcPr>
            <w:tcW w:w="1000" w:type="pct"/>
            <w:noWrap w:val="0"/>
            <w:vAlign w:val="center"/>
          </w:tcPr>
          <w:p w14:paraId="21CAC9C3">
            <w:pPr>
              <w:adjustRightInd w:val="0"/>
              <w:snapToGrid w:val="0"/>
              <w:spacing w:before="50" w:line="360" w:lineRule="auto"/>
              <w:ind w:left="-88" w:leftChars="-42"/>
              <w:jc w:val="center"/>
              <w:rPr>
                <w:color w:val="auto"/>
                <w:szCs w:val="21"/>
              </w:rPr>
            </w:pPr>
          </w:p>
        </w:tc>
        <w:tc>
          <w:tcPr>
            <w:tcW w:w="962" w:type="pct"/>
            <w:noWrap w:val="0"/>
            <w:vAlign w:val="center"/>
          </w:tcPr>
          <w:p w14:paraId="04A4BFFE">
            <w:pPr>
              <w:adjustRightInd w:val="0"/>
              <w:snapToGrid w:val="0"/>
              <w:spacing w:before="50" w:line="360" w:lineRule="auto"/>
              <w:ind w:left="-88" w:leftChars="-42"/>
              <w:jc w:val="center"/>
              <w:rPr>
                <w:color w:val="auto"/>
                <w:szCs w:val="21"/>
              </w:rPr>
            </w:pPr>
          </w:p>
        </w:tc>
        <w:tc>
          <w:tcPr>
            <w:tcW w:w="905" w:type="pct"/>
            <w:noWrap w:val="0"/>
            <w:vAlign w:val="center"/>
          </w:tcPr>
          <w:p w14:paraId="2A2F78CE">
            <w:pPr>
              <w:adjustRightInd w:val="0"/>
              <w:snapToGrid w:val="0"/>
              <w:spacing w:before="50" w:line="360" w:lineRule="auto"/>
              <w:ind w:left="-88" w:leftChars="-42"/>
              <w:jc w:val="center"/>
              <w:rPr>
                <w:color w:val="auto"/>
                <w:szCs w:val="21"/>
              </w:rPr>
            </w:pPr>
          </w:p>
        </w:tc>
        <w:tc>
          <w:tcPr>
            <w:tcW w:w="634" w:type="pct"/>
            <w:noWrap w:val="0"/>
            <w:vAlign w:val="center"/>
          </w:tcPr>
          <w:p w14:paraId="26D05CB8">
            <w:pPr>
              <w:adjustRightInd w:val="0"/>
              <w:snapToGrid w:val="0"/>
              <w:spacing w:before="50" w:line="360" w:lineRule="auto"/>
              <w:ind w:left="-88" w:leftChars="-42"/>
              <w:jc w:val="center"/>
              <w:rPr>
                <w:color w:val="auto"/>
                <w:szCs w:val="21"/>
              </w:rPr>
            </w:pPr>
          </w:p>
        </w:tc>
      </w:tr>
      <w:tr w14:paraId="59652EB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5000" w:type="pct"/>
            <w:gridSpan w:val="6"/>
            <w:noWrap w:val="0"/>
            <w:vAlign w:val="center"/>
          </w:tcPr>
          <w:p w14:paraId="643DDFCC">
            <w:pPr>
              <w:rPr>
                <w:b/>
                <w:color w:val="auto"/>
              </w:rPr>
            </w:pPr>
            <w:r>
              <w:rPr>
                <w:b/>
                <w:color w:val="auto"/>
              </w:rPr>
              <w:t>投标人保证：我单位对招标文件的其他采购需求条款完全响应，无偏离。</w:t>
            </w:r>
          </w:p>
        </w:tc>
      </w:tr>
    </w:tbl>
    <w:p w14:paraId="4C95D72F">
      <w:pPr>
        <w:adjustRightInd w:val="0"/>
        <w:snapToGrid w:val="0"/>
        <w:spacing w:before="50" w:line="360" w:lineRule="auto"/>
        <w:ind w:left="-88" w:leftChars="-42"/>
        <w:rPr>
          <w:color w:val="auto"/>
          <w:sz w:val="24"/>
        </w:rPr>
      </w:pPr>
      <w:r>
        <w:rPr>
          <w:b/>
          <w:color w:val="auto"/>
          <w:sz w:val="24"/>
        </w:rPr>
        <w:t>备注</w:t>
      </w:r>
      <w:r>
        <w:rPr>
          <w:color w:val="auto"/>
          <w:sz w:val="24"/>
        </w:rPr>
        <w:t>：</w:t>
      </w:r>
    </w:p>
    <w:p w14:paraId="60153127">
      <w:pPr>
        <w:adjustRightInd w:val="0"/>
        <w:snapToGrid w:val="0"/>
        <w:spacing w:before="50" w:line="360" w:lineRule="auto"/>
        <w:ind w:left="-88" w:leftChars="-42"/>
        <w:rPr>
          <w:rFonts w:hint="eastAsia"/>
          <w:color w:val="auto"/>
          <w:sz w:val="24"/>
        </w:rPr>
      </w:pPr>
      <w:r>
        <w:rPr>
          <w:color w:val="auto"/>
          <w:sz w:val="24"/>
        </w:rPr>
        <w:t>（1）投标人应根据招标文件第</w:t>
      </w:r>
      <w:r>
        <w:rPr>
          <w:rFonts w:hint="eastAsia"/>
          <w:color w:val="auto"/>
          <w:sz w:val="24"/>
          <w:lang w:val="en-US" w:eastAsia="zh-CN"/>
        </w:rPr>
        <w:t>二</w:t>
      </w:r>
      <w:r>
        <w:rPr>
          <w:color w:val="auto"/>
          <w:sz w:val="24"/>
        </w:rPr>
        <w:t>章中采购需求填写本表，逐条应答；</w:t>
      </w:r>
    </w:p>
    <w:p w14:paraId="54935394">
      <w:pPr>
        <w:adjustRightInd w:val="0"/>
        <w:snapToGrid w:val="0"/>
        <w:spacing w:before="50" w:line="360" w:lineRule="auto"/>
        <w:ind w:left="-88" w:leftChars="-42"/>
        <w:rPr>
          <w:rFonts w:hint="eastAsia"/>
          <w:color w:val="auto"/>
          <w:sz w:val="24"/>
        </w:rPr>
      </w:pPr>
      <w:r>
        <w:rPr>
          <w:color w:val="auto"/>
          <w:sz w:val="24"/>
        </w:rPr>
        <w:t>（2）</w:t>
      </w:r>
      <w:r>
        <w:rPr>
          <w:rFonts w:hint="eastAsia"/>
          <w:color w:val="auto"/>
          <w:sz w:val="24"/>
        </w:rPr>
        <w:t>采购需求必须全部满足，不得有偏离，否则投标无效</w:t>
      </w:r>
      <w:r>
        <w:rPr>
          <w:color w:val="auto"/>
          <w:sz w:val="24"/>
        </w:rPr>
        <w:t>；</w:t>
      </w:r>
    </w:p>
    <w:bookmarkEnd w:id="4"/>
    <w:bookmarkEnd w:id="5"/>
    <w:p w14:paraId="71254EC6">
      <w:pPr>
        <w:pStyle w:val="16"/>
        <w:rPr>
          <w:color w:val="auto"/>
        </w:rPr>
      </w:pPr>
    </w:p>
    <w:p w14:paraId="0F8FD442">
      <w:pPr>
        <w:pStyle w:val="18"/>
        <w:tabs>
          <w:tab w:val="left" w:pos="2312"/>
          <w:tab w:val="left" w:pos="2313"/>
        </w:tabs>
        <w:autoSpaceDE w:val="0"/>
        <w:autoSpaceDN w:val="0"/>
        <w:spacing w:before="43"/>
        <w:ind w:left="0" w:leftChars="0" w:firstLine="0" w:firstLineChars="0"/>
        <w:jc w:val="center"/>
        <w:rPr>
          <w:rFonts w:hint="eastAsia" w:ascii="宋体" w:hAnsi="宋体" w:eastAsia="宋体" w:cs="宋体"/>
          <w:b/>
          <w:color w:val="auto"/>
          <w:sz w:val="28"/>
          <w:szCs w:val="28"/>
          <w:lang w:eastAsia="zh-CN"/>
        </w:rPr>
      </w:pPr>
      <w:r>
        <w:rPr>
          <w:rFonts w:hint="eastAsia" w:ascii="Times New Roman" w:hAnsi="Times New Roman"/>
          <w:b/>
          <w:bCs/>
          <w:color w:val="auto"/>
          <w:sz w:val="28"/>
          <w:szCs w:val="28"/>
        </w:rPr>
        <w:t>第四部分、</w:t>
      </w:r>
      <w:r>
        <w:rPr>
          <w:rFonts w:hint="eastAsia" w:ascii="宋体" w:hAnsi="宋体" w:cs="宋体"/>
          <w:b/>
          <w:color w:val="auto"/>
          <w:sz w:val="28"/>
          <w:szCs w:val="28"/>
          <w:lang w:eastAsia="zh-CN"/>
        </w:rPr>
        <w:t>其他需提供的材料</w:t>
      </w:r>
    </w:p>
    <w:p w14:paraId="20F17816">
      <w:pPr>
        <w:adjustRightInd w:val="0"/>
        <w:snapToGrid w:val="0"/>
        <w:spacing w:before="120" w:beforeLines="50" w:line="360" w:lineRule="auto"/>
        <w:jc w:val="center"/>
        <w:rPr>
          <w:rFonts w:ascii="宋体" w:hAnsi="宋体" w:cs="宋体"/>
          <w:color w:val="auto"/>
          <w:sz w:val="24"/>
        </w:rPr>
      </w:pPr>
      <w:r>
        <w:rPr>
          <w:rFonts w:hint="eastAsia" w:ascii="宋体" w:hAnsi="宋体" w:cs="宋体"/>
          <w:color w:val="auto"/>
          <w:sz w:val="24"/>
          <w:lang w:val="en-US" w:eastAsia="zh-CN"/>
        </w:rPr>
        <w:t xml:space="preserve">  </w:t>
      </w:r>
      <w:r>
        <w:rPr>
          <w:rFonts w:hint="eastAsia" w:ascii="宋体" w:hAnsi="宋体" w:cs="宋体"/>
          <w:color w:val="auto"/>
          <w:sz w:val="24"/>
        </w:rPr>
        <w:t>备</w:t>
      </w:r>
      <w:r>
        <w:rPr>
          <w:rFonts w:ascii="宋体" w:hAnsi="宋体" w:cs="宋体"/>
          <w:color w:val="auto"/>
          <w:sz w:val="24"/>
        </w:rPr>
        <w:t>注：</w:t>
      </w:r>
      <w:r>
        <w:rPr>
          <w:rFonts w:hint="eastAsia" w:ascii="宋体" w:hAnsi="宋体" w:cs="宋体"/>
          <w:color w:val="auto"/>
          <w:sz w:val="24"/>
          <w:lang w:eastAsia="zh-CN"/>
        </w:rPr>
        <w:t>按要求提供</w:t>
      </w:r>
      <w:r>
        <w:rPr>
          <w:rFonts w:ascii="宋体" w:hAnsi="宋体" w:cs="宋体"/>
          <w:color w:val="auto"/>
          <w:sz w:val="24"/>
        </w:rPr>
        <w:t>提供材料</w:t>
      </w:r>
    </w:p>
    <w:p w14:paraId="076806B6">
      <w:pPr>
        <w:pStyle w:val="16"/>
        <w:rPr>
          <w:color w:val="auto"/>
        </w:rPr>
      </w:pPr>
    </w:p>
    <w:p w14:paraId="1AA19DFA">
      <w:pPr>
        <w:pStyle w:val="16"/>
        <w:rPr>
          <w:color w:val="auto"/>
        </w:rPr>
      </w:pPr>
    </w:p>
    <w:p w14:paraId="4461DEBA">
      <w:pPr>
        <w:pStyle w:val="16"/>
        <w:rPr>
          <w:color w:val="auto"/>
        </w:rPr>
      </w:pPr>
    </w:p>
    <w:p w14:paraId="4F259EF0">
      <w:pPr>
        <w:pStyle w:val="18"/>
        <w:tabs>
          <w:tab w:val="left" w:pos="2312"/>
          <w:tab w:val="left" w:pos="2313"/>
        </w:tabs>
        <w:autoSpaceDE w:val="0"/>
        <w:autoSpaceDN w:val="0"/>
        <w:spacing w:before="43"/>
        <w:ind w:left="0" w:leftChars="0" w:firstLine="0" w:firstLineChars="0"/>
        <w:rPr>
          <w:rFonts w:ascii="Times New Roman" w:hAnsi="Times New Roman"/>
          <w:b/>
          <w:bCs/>
          <w:color w:val="auto"/>
          <w:sz w:val="28"/>
          <w:szCs w:val="28"/>
        </w:rPr>
      </w:pPr>
    </w:p>
    <w:p w14:paraId="03A61B5D">
      <w:pPr>
        <w:rPr>
          <w:color w:val="auto"/>
        </w:rPr>
      </w:pPr>
    </w:p>
    <w:p w14:paraId="40DFB52B">
      <w:pPr>
        <w:rPr>
          <w:color w:val="auto"/>
        </w:rPr>
      </w:pPr>
    </w:p>
    <w:p w14:paraId="3338304C">
      <w:pPr>
        <w:rPr>
          <w:color w:val="auto"/>
        </w:rPr>
      </w:pPr>
    </w:p>
    <w:p w14:paraId="56521BD8">
      <w:pPr>
        <w:rPr>
          <w:color w:val="auto"/>
        </w:rPr>
      </w:pPr>
    </w:p>
    <w:p w14:paraId="0E18F0D5"/>
    <w:p w14:paraId="45A210FE"/>
    <w:p w14:paraId="1935DD43"/>
    <w:sectPr>
      <w:footerReference r:id="rId6"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altName w:val="黑体"/>
    <w:panose1 w:val="02000000000000000000"/>
    <w:charset w:val="86"/>
    <w:family w:val="auto"/>
    <w:pitch w:val="default"/>
    <w:sig w:usb0="00000000" w:usb1="00000000" w:usb2="00000000" w:usb3="00000000" w:csb0="00040000"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E1D5F1">
    <w:pPr>
      <w:pStyle w:val="8"/>
      <w:rPr>
        <w:rFonts w:hint="eastAsia" w:ascii="仿宋_GB2312" w:eastAsia="仿宋_GB2312"/>
        <w:bCs/>
        <w:u w:val="single"/>
      </w:rPr>
    </w:pPr>
    <w:r>
      <w:rPr>
        <w:rFonts w:hint="eastAsia" w:ascii="仿宋_GB2312" w:eastAsia="仿宋_GB2312"/>
        <w:bCs/>
        <w:u w:val="single"/>
      </w:rPr>
      <w:t xml:space="preserve">                                                                                                 </w:t>
    </w:r>
  </w:p>
  <w:p w14:paraId="63555F8F">
    <w:pPr>
      <w:adjustRightInd w:val="0"/>
      <w:snapToGrid w:val="0"/>
      <w:spacing w:line="260" w:lineRule="atLeast"/>
      <w:ind w:left="482" w:hanging="482"/>
      <w:rPr>
        <w:rFonts w:hint="eastAsia" w:ascii="宋体" w:hAnsi="宋体"/>
        <w:kern w:val="0"/>
        <w:sz w:val="18"/>
        <w:szCs w:val="21"/>
      </w:rPr>
    </w:pPr>
  </w:p>
  <w:p w14:paraId="37A57789">
    <w:pPr>
      <w:adjustRightInd w:val="0"/>
      <w:snapToGrid w:val="0"/>
      <w:spacing w:line="260" w:lineRule="atLeast"/>
      <w:rPr>
        <w:rFonts w:hint="eastAsia"/>
        <w:kern w:val="0"/>
        <w:sz w:val="18"/>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690776">
    <w:pPr>
      <w:pStyle w:val="8"/>
      <w:rPr>
        <w:rFonts w:hint="eastAsia" w:ascii="仿宋_GB2312" w:eastAsia="仿宋_GB2312"/>
        <w:bCs/>
        <w:u w:val="single"/>
      </w:rPr>
    </w:pPr>
    <w:r>
      <w:rPr>
        <w:rFonts w:hint="eastAsia" w:ascii="仿宋_GB2312" w:eastAsia="仿宋_GB2312"/>
        <w:bCs/>
        <w:u w:val="single"/>
      </w:rPr>
      <w:t xml:space="preserve">                                                                                                 </w:t>
    </w:r>
  </w:p>
  <w:p w14:paraId="5E2B89F1">
    <w:pPr>
      <w:adjustRightInd w:val="0"/>
      <w:snapToGrid w:val="0"/>
      <w:spacing w:line="260" w:lineRule="atLeast"/>
      <w:rPr>
        <w:rFonts w:hint="eastAsia"/>
        <w:kern w:val="0"/>
        <w:sz w:val="18"/>
        <w:szCs w:val="21"/>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B50E2D">
    <w:pPr>
      <w:pStyle w:val="8"/>
      <w:rPr>
        <w:rFonts w:hint="eastAsia" w:ascii="仿宋_GB2312" w:eastAsia="仿宋_GB2312"/>
        <w:bCs/>
        <w:u w:val="single"/>
      </w:rPr>
    </w:pPr>
    <w:r>
      <w:rPr>
        <w:rFonts w:hint="eastAsia" w:ascii="仿宋_GB2312" w:eastAsia="仿宋_GB2312"/>
        <w:bCs/>
        <w:u w:val="single"/>
      </w:rPr>
      <w:t xml:space="preserve">                                                                                                 </w:t>
    </w:r>
  </w:p>
  <w:p w14:paraId="555107B2">
    <w:pPr>
      <w:adjustRightInd w:val="0"/>
      <w:snapToGrid w:val="0"/>
      <w:spacing w:line="260" w:lineRule="atLeast"/>
      <w:rPr>
        <w:rFonts w:hint="eastAsia"/>
        <w:kern w:val="0"/>
        <w:sz w:val="18"/>
        <w:szCs w:val="21"/>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E449AC">
    <w:pPr>
      <w:pStyle w:val="9"/>
      <w:ind w:left="8280" w:hanging="8280" w:hangingChars="4600"/>
      <w:jc w:val="both"/>
      <w:rPr>
        <w:rFonts w:hint="eastAsia"/>
      </w:rPr>
    </w:pP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820A895"/>
    <w:multiLevelType w:val="singleLevel"/>
    <w:tmpl w:val="B820A895"/>
    <w:lvl w:ilvl="0" w:tentative="0">
      <w:start w:val="2"/>
      <w:numFmt w:val="chineseCounting"/>
      <w:suff w:val="nothing"/>
      <w:lvlText w:val="%1、"/>
      <w:lvlJc w:val="left"/>
      <w:rPr>
        <w:rFonts w:hint="eastAsia"/>
      </w:rPr>
    </w:lvl>
  </w:abstractNum>
  <w:abstractNum w:abstractNumId="1">
    <w:nsid w:val="E5EEFDF4"/>
    <w:multiLevelType w:val="singleLevel"/>
    <w:tmpl w:val="E5EEFDF4"/>
    <w:lvl w:ilvl="0" w:tentative="0">
      <w:start w:val="3"/>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A4A5C5C"/>
    <w:rsid w:val="15C73B23"/>
    <w:rsid w:val="1E426089"/>
    <w:rsid w:val="24556CAB"/>
    <w:rsid w:val="2A4A5C5C"/>
    <w:rsid w:val="2E781E73"/>
    <w:rsid w:val="3B654562"/>
    <w:rsid w:val="46587C08"/>
    <w:rsid w:val="4A1E7F2C"/>
    <w:rsid w:val="5664316A"/>
    <w:rsid w:val="75C129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adjustRightInd w:val="0"/>
      <w:spacing w:before="340" w:after="330" w:line="578" w:lineRule="atLeast"/>
      <w:textAlignment w:val="baseline"/>
      <w:outlineLvl w:val="0"/>
    </w:pPr>
    <w:rPr>
      <w:b/>
      <w:kern w:val="44"/>
      <w:sz w:val="44"/>
      <w:szCs w:val="20"/>
    </w:rPr>
  </w:style>
  <w:style w:type="paragraph" w:styleId="3">
    <w:name w:val="heading 2"/>
    <w:basedOn w:val="1"/>
    <w:next w:val="1"/>
    <w:qFormat/>
    <w:uiPriority w:val="9"/>
    <w:pPr>
      <w:keepNext/>
      <w:keepLines/>
      <w:spacing w:line="360" w:lineRule="auto"/>
      <w:outlineLvl w:val="1"/>
    </w:pPr>
    <w:rPr>
      <w:rFonts w:ascii="Arial" w:hAnsi="Arial"/>
      <w:b/>
      <w:bCs/>
      <w:sz w:val="24"/>
      <w:szCs w:val="32"/>
    </w:rPr>
  </w:style>
  <w:style w:type="paragraph" w:styleId="4">
    <w:name w:val="heading 3"/>
    <w:basedOn w:val="1"/>
    <w:next w:val="1"/>
    <w:qFormat/>
    <w:uiPriority w:val="0"/>
    <w:pPr>
      <w:keepNext/>
      <w:keepLines/>
      <w:adjustRightInd w:val="0"/>
      <w:spacing w:before="260" w:after="260" w:line="416" w:lineRule="atLeast"/>
      <w:textAlignment w:val="baseline"/>
      <w:outlineLvl w:val="2"/>
    </w:pPr>
    <w:rPr>
      <w:b/>
      <w:kern w:val="0"/>
      <w:sz w:val="32"/>
      <w:szCs w:val="20"/>
    </w:rPr>
  </w:style>
  <w:style w:type="character" w:default="1" w:styleId="14">
    <w:name w:val="Default Paragraph Font"/>
    <w:semiHidden/>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styleId="5">
    <w:name w:val="Normal Indent"/>
    <w:basedOn w:val="1"/>
    <w:next w:val="6"/>
    <w:qFormat/>
    <w:uiPriority w:val="0"/>
    <w:pPr>
      <w:widowControl/>
      <w:ind w:firstLine="420"/>
      <w:jc w:val="left"/>
    </w:pPr>
    <w:rPr>
      <w:kern w:val="0"/>
      <w:sz w:val="20"/>
      <w:szCs w:val="20"/>
    </w:rPr>
  </w:style>
  <w:style w:type="paragraph" w:customStyle="1" w:styleId="6">
    <w:name w:val="Default"/>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paragraph" w:styleId="7">
    <w:name w:val="Body Text Indent"/>
    <w:basedOn w:val="1"/>
    <w:next w:val="1"/>
    <w:qFormat/>
    <w:uiPriority w:val="0"/>
    <w:pPr>
      <w:spacing w:after="120"/>
      <w:ind w:left="420" w:leftChars="200"/>
    </w:pPr>
    <w:rPr>
      <w:kern w:val="0"/>
      <w:sz w:val="24"/>
    </w:rPr>
  </w:style>
  <w:style w:type="paragraph" w:styleId="8">
    <w:name w:val="footer"/>
    <w:basedOn w:val="1"/>
    <w:qFormat/>
    <w:uiPriority w:val="0"/>
    <w:pPr>
      <w:tabs>
        <w:tab w:val="center" w:pos="4153"/>
        <w:tab w:val="right" w:pos="8306"/>
      </w:tabs>
      <w:snapToGrid w:val="0"/>
      <w:jc w:val="left"/>
    </w:pPr>
    <w:rPr>
      <w:kern w:val="0"/>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Body Text 2"/>
    <w:basedOn w:val="1"/>
    <w:qFormat/>
    <w:uiPriority w:val="0"/>
    <w:pPr>
      <w:spacing w:after="120" w:line="480" w:lineRule="auto"/>
    </w:pPr>
  </w:style>
  <w:style w:type="paragraph" w:styleId="11">
    <w:name w:val="Normal (Web)"/>
    <w:basedOn w:val="1"/>
    <w:qFormat/>
    <w:uiPriority w:val="0"/>
    <w:rPr>
      <w:sz w:val="24"/>
    </w:rPr>
  </w:style>
  <w:style w:type="paragraph" w:styleId="12">
    <w:name w:val="Body Text First Indent 2"/>
    <w:basedOn w:val="7"/>
    <w:next w:val="5"/>
    <w:qFormat/>
    <w:uiPriority w:val="0"/>
    <w:pPr>
      <w:ind w:firstLine="420" w:firstLineChars="200"/>
    </w:pPr>
  </w:style>
  <w:style w:type="paragraph" w:customStyle="1" w:styleId="15">
    <w:name w:val="正文格式"/>
    <w:basedOn w:val="1"/>
    <w:qFormat/>
    <w:uiPriority w:val="0"/>
    <w:pPr>
      <w:widowControl/>
      <w:adjustRightInd w:val="0"/>
      <w:snapToGrid w:val="0"/>
      <w:spacing w:line="400" w:lineRule="atLeast"/>
      <w:ind w:firstLine="482"/>
      <w:textAlignment w:val="baseline"/>
    </w:pPr>
    <w:rPr>
      <w:kern w:val="0"/>
      <w:sz w:val="24"/>
    </w:rPr>
  </w:style>
  <w:style w:type="paragraph" w:customStyle="1" w:styleId="16">
    <w:name w:val="无间隔1"/>
    <w:qFormat/>
    <w:uiPriority w:val="0"/>
    <w:pPr>
      <w:widowControl w:val="0"/>
      <w:jc w:val="both"/>
    </w:pPr>
    <w:rPr>
      <w:rFonts w:ascii="Calibri" w:hAnsi="Calibri" w:eastAsia="宋体" w:cs="Times New Roman"/>
      <w:kern w:val="2"/>
      <w:sz w:val="21"/>
      <w:szCs w:val="22"/>
      <w:lang w:val="en-US" w:eastAsia="zh-CN" w:bidi="ar-SA"/>
    </w:rPr>
  </w:style>
  <w:style w:type="paragraph" w:customStyle="1" w:styleId="17">
    <w:name w:val="列出段落1"/>
    <w:basedOn w:val="1"/>
    <w:qFormat/>
    <w:uiPriority w:val="99"/>
    <w:pPr>
      <w:ind w:firstLine="420" w:firstLineChars="200"/>
    </w:pPr>
  </w:style>
  <w:style w:type="paragraph" w:styleId="18">
    <w:name w:val="List Paragraph"/>
    <w:basedOn w:val="1"/>
    <w:qFormat/>
    <w:uiPriority w:val="34"/>
    <w:pPr>
      <w:ind w:firstLine="420" w:firstLineChars="200"/>
    </w:pPr>
    <w:rPr>
      <w:rFonts w:ascii="Calibri" w:hAnsi="Calibri"/>
      <w:szCs w:val="22"/>
    </w:rPr>
  </w:style>
  <w:style w:type="paragraph" w:customStyle="1" w:styleId="19">
    <w:name w:val="pa-1"/>
    <w:basedOn w:val="1"/>
    <w:qFormat/>
    <w:uiPriority w:val="0"/>
    <w:pPr>
      <w:widowControl/>
      <w:spacing w:before="100" w:beforeAutospacing="1" w:after="100" w:afterAutospacing="1"/>
      <w:jc w:val="left"/>
    </w:pPr>
    <w:rPr>
      <w:rFonts w:ascii="宋体" w:hAnsi="宋体" w:cs="宋体"/>
      <w:kern w:val="0"/>
      <w:sz w:val="24"/>
      <w:szCs w:val="24"/>
    </w:rPr>
  </w:style>
  <w:style w:type="character" w:customStyle="1" w:styleId="20">
    <w:name w:val="ca-22"/>
    <w:basedOn w:val="14"/>
    <w:qFormat/>
    <w:uiPriority w:val="0"/>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26</Pages>
  <Words>13962</Words>
  <Characters>14624</Characters>
  <Lines>0</Lines>
  <Paragraphs>0</Paragraphs>
  <TotalTime>1</TotalTime>
  <ScaleCrop>false</ScaleCrop>
  <LinksUpToDate>false</LinksUpToDate>
  <CharactersWithSpaces>15660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2026-02-04T05:59:00Z</dcterms:created>
  <dc:creator>是小豹子</dc:creator>
  <cp:lastModifiedBy>是小豹子</cp:lastModifiedBy>
  <dcterms:modified xsi:type="dcterms:W3CDTF">2026-04-01T10:29:32Z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2D49213CE5824C6B90AA540E09982A48_11</vt:lpwstr>
  </property>
  <property fmtid="{D5CDD505-2E9C-101B-9397-08002B2CF9AE}" pid="4" name="KSOTemplateDocerSaveRecord">
    <vt:lpwstr>eyJoZGlkIjoiMjI0YzkyZjA4NDE5ZWViZGEyZTVjOTNhYTg4ZmYzYTciLCJ1c2VySWQiOiIzMDQ3NTQ4MDUifQ==</vt:lpwstr>
  </property>
</Properties>
</file>