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E6CB9">
      <w:pPr>
        <w:pStyle w:val="5"/>
        <w:snapToGrid w:val="0"/>
        <w:jc w:val="center"/>
        <w:rPr>
          <w:rFonts w:ascii="Arial" w:hAnsi="Arial" w:eastAsia="方正小标宋简体" w:cs="Arial"/>
          <w:color w:val="auto"/>
          <w:sz w:val="72"/>
          <w:szCs w:val="72"/>
        </w:rPr>
      </w:pPr>
    </w:p>
    <w:p w14:paraId="2E98DCBA">
      <w:pPr>
        <w:pStyle w:val="5"/>
        <w:tabs>
          <w:tab w:val="left" w:pos="312"/>
        </w:tabs>
        <w:snapToGrid w:val="0"/>
        <w:spacing w:line="288" w:lineRule="auto"/>
        <w:jc w:val="center"/>
        <w:rPr>
          <w:rFonts w:hint="eastAsia" w:ascii="Arial" w:hAnsi="Arial" w:eastAsia="方正小标宋简体" w:cs="Arial"/>
          <w:color w:val="auto"/>
          <w:sz w:val="72"/>
          <w:szCs w:val="72"/>
          <w:lang w:eastAsia="zh-CN"/>
        </w:rPr>
      </w:pPr>
      <w:bookmarkStart w:id="0" w:name="_Toc16523570"/>
      <w:r>
        <w:rPr>
          <w:rFonts w:hint="eastAsia" w:ascii="Arial" w:hAnsi="Arial" w:eastAsia="方正小标宋简体" w:cs="Arial"/>
          <w:color w:val="auto"/>
          <w:sz w:val="72"/>
          <w:szCs w:val="72"/>
        </w:rPr>
        <w:t>娄底市中心医院</w:t>
      </w:r>
      <w:r>
        <w:rPr>
          <w:rFonts w:hint="eastAsia" w:ascii="Arial" w:hAnsi="Arial" w:eastAsia="方正小标宋简体" w:cs="Arial"/>
          <w:color w:val="auto"/>
          <w:sz w:val="72"/>
          <w:szCs w:val="72"/>
          <w:lang w:eastAsia="zh-CN"/>
        </w:rPr>
        <w:t>院内</w:t>
      </w:r>
    </w:p>
    <w:p w14:paraId="2D54DD90">
      <w:pPr>
        <w:pStyle w:val="5"/>
        <w:snapToGrid w:val="0"/>
        <w:jc w:val="center"/>
        <w:rPr>
          <w:rFonts w:ascii="Arial" w:hAnsi="Arial" w:eastAsia="方正小标宋简体" w:cs="Arial"/>
          <w:color w:val="auto"/>
          <w:sz w:val="72"/>
          <w:szCs w:val="72"/>
        </w:rPr>
      </w:pPr>
    </w:p>
    <w:p w14:paraId="692D2DB5">
      <w:pPr>
        <w:pStyle w:val="5"/>
        <w:snapToGrid w:val="0"/>
        <w:jc w:val="center"/>
        <w:rPr>
          <w:rFonts w:hint="eastAsia" w:ascii="Arial" w:hAnsi="Arial" w:eastAsia="方正小标宋简体" w:cs="Arial"/>
          <w:color w:val="auto"/>
          <w:sz w:val="72"/>
          <w:szCs w:val="72"/>
          <w:lang w:eastAsia="zh-CN"/>
        </w:rPr>
      </w:pPr>
      <w:r>
        <w:rPr>
          <w:rFonts w:hint="eastAsia" w:ascii="Arial" w:hAnsi="Arial" w:eastAsia="方正小标宋简体" w:cs="Arial"/>
          <w:color w:val="auto"/>
          <w:sz w:val="72"/>
          <w:szCs w:val="72"/>
          <w:lang w:eastAsia="zh-CN"/>
        </w:rPr>
        <w:t>招</w:t>
      </w:r>
    </w:p>
    <w:p w14:paraId="0DADCB48">
      <w:pPr>
        <w:pStyle w:val="5"/>
        <w:snapToGrid w:val="0"/>
        <w:jc w:val="center"/>
        <w:rPr>
          <w:rFonts w:hint="eastAsia" w:ascii="Arial" w:hAnsi="Arial" w:eastAsia="方正小标宋简体" w:cs="Arial"/>
          <w:color w:val="auto"/>
          <w:sz w:val="72"/>
          <w:szCs w:val="72"/>
          <w:lang w:eastAsia="zh-CN"/>
        </w:rPr>
      </w:pPr>
    </w:p>
    <w:p w14:paraId="788AF8A4">
      <w:pPr>
        <w:pStyle w:val="5"/>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lang w:eastAsia="zh-CN"/>
        </w:rPr>
        <w:t>标</w:t>
      </w:r>
    </w:p>
    <w:p w14:paraId="21BB5C33">
      <w:pPr>
        <w:pStyle w:val="5"/>
        <w:snapToGrid w:val="0"/>
        <w:jc w:val="center"/>
        <w:rPr>
          <w:rFonts w:ascii="Arial" w:hAnsi="Arial" w:eastAsia="方正小标宋简体" w:cs="Arial"/>
          <w:color w:val="auto"/>
          <w:sz w:val="72"/>
          <w:szCs w:val="72"/>
        </w:rPr>
      </w:pPr>
    </w:p>
    <w:p w14:paraId="5F69EBCF">
      <w:pPr>
        <w:pStyle w:val="5"/>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503B679C">
      <w:pPr>
        <w:pStyle w:val="5"/>
        <w:snapToGrid w:val="0"/>
        <w:jc w:val="center"/>
        <w:rPr>
          <w:rFonts w:ascii="Arial" w:hAnsi="Arial" w:eastAsia="方正小标宋简体" w:cs="Arial"/>
          <w:color w:val="auto"/>
          <w:sz w:val="72"/>
          <w:szCs w:val="72"/>
        </w:rPr>
      </w:pPr>
    </w:p>
    <w:p w14:paraId="2B2937B0">
      <w:pPr>
        <w:pStyle w:val="5"/>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1E111AF1">
      <w:pPr>
        <w:pStyle w:val="5"/>
        <w:snapToGrid w:val="0"/>
        <w:jc w:val="center"/>
        <w:rPr>
          <w:rFonts w:ascii="Arial" w:hAnsi="Arial" w:cs="Arial"/>
          <w:color w:val="auto"/>
          <w:sz w:val="32"/>
          <w:szCs w:val="32"/>
        </w:rPr>
      </w:pPr>
    </w:p>
    <w:p w14:paraId="2E067A04">
      <w:pPr>
        <w:pStyle w:val="5"/>
        <w:snapToGrid w:val="0"/>
        <w:jc w:val="center"/>
        <w:rPr>
          <w:rFonts w:ascii="Arial" w:hAnsi="Arial" w:cs="Arial"/>
          <w:color w:val="auto"/>
          <w:sz w:val="32"/>
          <w:szCs w:val="32"/>
        </w:rPr>
      </w:pPr>
    </w:p>
    <w:p w14:paraId="20A09B03">
      <w:pPr>
        <w:pStyle w:val="5"/>
        <w:snapToGrid w:val="0"/>
        <w:jc w:val="center"/>
        <w:rPr>
          <w:rFonts w:ascii="Arial" w:hAnsi="Arial" w:cs="Arial"/>
          <w:color w:val="auto"/>
          <w:sz w:val="32"/>
          <w:szCs w:val="32"/>
        </w:rPr>
      </w:pPr>
    </w:p>
    <w:p w14:paraId="47A0C992">
      <w:pPr>
        <w:spacing w:line="360" w:lineRule="auto"/>
        <w:rPr>
          <w:rFonts w:hint="eastAsia"/>
          <w:bCs/>
          <w:color w:val="auto"/>
          <w:sz w:val="32"/>
          <w:szCs w:val="32"/>
        </w:rPr>
      </w:pPr>
    </w:p>
    <w:p w14:paraId="0ED3409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eastAsia="宋体"/>
          <w:bCs/>
          <w:color w:val="auto"/>
          <w:sz w:val="32"/>
          <w:szCs w:val="32"/>
          <w:lang w:eastAsia="zh-CN"/>
        </w:rPr>
      </w:pPr>
      <w:r>
        <w:rPr>
          <w:rFonts w:hint="eastAsia"/>
          <w:bCs/>
          <w:color w:val="auto"/>
          <w:sz w:val="32"/>
          <w:szCs w:val="32"/>
        </w:rPr>
        <w:t>项目名称：</w:t>
      </w:r>
      <w:r>
        <w:rPr>
          <w:rFonts w:hint="eastAsia"/>
          <w:bCs/>
          <w:color w:val="auto"/>
          <w:sz w:val="32"/>
          <w:szCs w:val="32"/>
          <w:lang w:val="en-US" w:eastAsia="zh-CN"/>
        </w:rPr>
        <w:t>娄底市中心医院（娄底医院）医用瓶氧、特殊气体采购</w:t>
      </w:r>
      <w:r>
        <w:rPr>
          <w:rFonts w:hint="eastAsia"/>
          <w:bCs/>
          <w:color w:val="auto"/>
          <w:sz w:val="32"/>
          <w:szCs w:val="32"/>
          <w:lang w:eastAsia="zh-CN"/>
        </w:rPr>
        <w:t>招标</w:t>
      </w:r>
      <w:r>
        <w:rPr>
          <w:rFonts w:hint="eastAsia"/>
          <w:bCs/>
          <w:color w:val="auto"/>
          <w:sz w:val="32"/>
          <w:szCs w:val="32"/>
        </w:rPr>
        <w:t>文件</w:t>
      </w:r>
      <w:r>
        <w:rPr>
          <w:rFonts w:hint="eastAsia"/>
          <w:bCs/>
          <w:color w:val="auto"/>
          <w:sz w:val="32"/>
          <w:szCs w:val="32"/>
          <w:lang w:eastAsia="zh-CN"/>
        </w:rPr>
        <w:t>院内招标</w:t>
      </w:r>
    </w:p>
    <w:p w14:paraId="0752DD91">
      <w:pPr>
        <w:spacing w:line="320" w:lineRule="exact"/>
        <w:jc w:val="left"/>
        <w:rPr>
          <w:color w:val="auto"/>
          <w:sz w:val="24"/>
        </w:rPr>
      </w:pPr>
    </w:p>
    <w:p w14:paraId="05F94062">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六</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三</w:t>
      </w:r>
      <w:r>
        <w:rPr>
          <w:rFonts w:hint="eastAsia" w:ascii="宋体" w:hAnsi="宋体" w:cs="宋体"/>
          <w:bCs/>
          <w:color w:val="auto"/>
          <w:sz w:val="32"/>
          <w:szCs w:val="32"/>
        </w:rPr>
        <w:t>月</w:t>
      </w:r>
    </w:p>
    <w:p w14:paraId="02A5E9BC">
      <w:pPr>
        <w:rPr>
          <w:rFonts w:hint="eastAsia" w:ascii="宋体" w:hAnsi="宋体" w:cs="宋体"/>
          <w:color w:val="auto"/>
          <w:sz w:val="44"/>
          <w:szCs w:val="44"/>
          <w:lang w:val="en-US" w:eastAsia="zh-CN"/>
        </w:rPr>
      </w:pPr>
    </w:p>
    <w:p w14:paraId="46E662AB">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211D5364">
      <w:pPr>
        <w:pStyle w:val="5"/>
        <w:numPr>
          <w:ilvl w:val="0"/>
          <w:numId w:val="0"/>
        </w:numPr>
        <w:tabs>
          <w:tab w:val="left" w:pos="312"/>
        </w:tabs>
        <w:snapToGrid w:val="0"/>
        <w:spacing w:line="480" w:lineRule="auto"/>
        <w:ind w:firstLine="560" w:firstLineChars="200"/>
        <w:rPr>
          <w:rFonts w:hint="eastAsia"/>
          <w:bCs/>
          <w:color w:val="auto"/>
          <w:sz w:val="28"/>
          <w:szCs w:val="28"/>
        </w:rPr>
      </w:pPr>
      <w:r>
        <w:rPr>
          <w:rFonts w:hint="eastAsia" w:ascii="仿宋" w:hAnsi="仿宋" w:eastAsia="仿宋" w:cs="仿宋"/>
          <w:i w:val="0"/>
          <w:iCs w:val="0"/>
          <w:caps w:val="0"/>
          <w:color w:val="auto"/>
          <w:spacing w:val="0"/>
          <w:sz w:val="28"/>
          <w:szCs w:val="28"/>
          <w:shd w:val="clear" w:fill="FFFFFF"/>
          <w:lang w:eastAsia="zh-CN"/>
        </w:rPr>
        <w:t>娄底市中心医院（娄底医院）医用瓶氧、特殊气体采购项目</w:t>
      </w:r>
      <w:r>
        <w:rPr>
          <w:rFonts w:hint="eastAsia"/>
          <w:bCs/>
          <w:color w:val="auto"/>
          <w:sz w:val="28"/>
          <w:szCs w:val="28"/>
          <w:lang w:val="en-US" w:eastAsia="zh-CN"/>
        </w:rPr>
        <w:t>进行挂网</w:t>
      </w:r>
      <w:r>
        <w:rPr>
          <w:rFonts w:hint="eastAsia"/>
          <w:bCs/>
          <w:color w:val="auto"/>
          <w:sz w:val="28"/>
          <w:szCs w:val="28"/>
        </w:rPr>
        <w:t>，公告如下：</w:t>
      </w:r>
    </w:p>
    <w:p w14:paraId="529A8506">
      <w:pPr>
        <w:pStyle w:val="5"/>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4CB04DB2">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ascii="仿宋" w:hAnsi="仿宋" w:eastAsia="仿宋" w:cs="仿宋"/>
          <w:i w:val="0"/>
          <w:iCs w:val="0"/>
          <w:caps w:val="0"/>
          <w:color w:val="auto"/>
          <w:spacing w:val="0"/>
          <w:sz w:val="28"/>
          <w:szCs w:val="28"/>
          <w:shd w:val="clear" w:fill="FFFFFF"/>
          <w:lang w:eastAsia="zh-CN"/>
        </w:rPr>
        <w:t>娄底市中心医院（娄底医院）医用瓶氧、特殊气体采购项目</w:t>
      </w:r>
    </w:p>
    <w:p w14:paraId="578DFB3B">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264727AD">
      <w:pPr>
        <w:pStyle w:val="5"/>
        <w:numPr>
          <w:ilvl w:val="0"/>
          <w:numId w:val="0"/>
        </w:numPr>
        <w:tabs>
          <w:tab w:val="left" w:pos="312"/>
        </w:tabs>
        <w:snapToGrid w:val="0"/>
        <w:spacing w:line="48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医院公开挂网，最低评标价法，在满足所有参数的条件下，报价最低者中标，如有多个并列最低价，则由并列最低价投标人再次报价，直至出现最低报价为止。</w:t>
      </w:r>
    </w:p>
    <w:p w14:paraId="2481ACB4">
      <w:pPr>
        <w:pStyle w:val="5"/>
        <w:numPr>
          <w:ilvl w:val="0"/>
          <w:numId w:val="1"/>
        </w:numPr>
        <w:tabs>
          <w:tab w:val="left" w:pos="312"/>
        </w:tabs>
        <w:snapToGrid w:val="0"/>
        <w:spacing w:line="480" w:lineRule="auto"/>
        <w:ind w:firstLine="560" w:firstLineChars="200"/>
        <w:rPr>
          <w:rFonts w:hint="eastAsia" w:ascii="仿宋" w:hAnsi="仿宋" w:eastAsia="仿宋" w:cs="仿宋"/>
          <w:color w:val="auto"/>
          <w:sz w:val="28"/>
          <w:szCs w:val="28"/>
        </w:rPr>
      </w:pPr>
      <w:r>
        <w:rPr>
          <w:rFonts w:hint="eastAsia"/>
          <w:bCs/>
          <w:color w:val="auto"/>
          <w:sz w:val="28"/>
          <w:szCs w:val="28"/>
          <w:lang w:val="en-US" w:eastAsia="zh-CN"/>
        </w:rPr>
        <w:t>投标人资格要求</w:t>
      </w:r>
    </w:p>
    <w:p w14:paraId="6DB5151B">
      <w:pPr>
        <w:pStyle w:val="5"/>
        <w:numPr>
          <w:ilvl w:val="0"/>
          <w:numId w:val="0"/>
        </w:numPr>
        <w:tabs>
          <w:tab w:val="left" w:pos="312"/>
        </w:tabs>
        <w:snapToGrid w:val="0"/>
        <w:spacing w:line="48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eastAsia="zh-CN"/>
        </w:rPr>
        <w:t>1.</w:t>
      </w:r>
      <w:r>
        <w:rPr>
          <w:rFonts w:hint="eastAsia" w:ascii="仿宋" w:hAnsi="仿宋" w:eastAsia="仿宋" w:cs="仿宋"/>
          <w:color w:val="auto"/>
          <w:sz w:val="28"/>
          <w:szCs w:val="28"/>
        </w:rPr>
        <w:t>投标人的基本资格条件：投标人必须是在中华人民共和国境内注册登记的法人、其他组织或者自然人，且应当符合《</w:t>
      </w:r>
      <w:r>
        <w:rPr>
          <w:rFonts w:hint="eastAsia" w:ascii="仿宋" w:hAnsi="仿宋" w:eastAsia="仿宋" w:cs="仿宋"/>
          <w:color w:val="auto"/>
          <w:sz w:val="28"/>
          <w:szCs w:val="28"/>
          <w:lang w:eastAsia="zh-CN"/>
        </w:rPr>
        <w:t>中华人民共和国政府采购法</w:t>
      </w:r>
      <w:r>
        <w:rPr>
          <w:rFonts w:hint="eastAsia" w:ascii="仿宋" w:hAnsi="仿宋" w:eastAsia="仿宋" w:cs="仿宋"/>
          <w:color w:val="auto"/>
          <w:sz w:val="28"/>
          <w:szCs w:val="28"/>
        </w:rPr>
        <w:t>》第二十二条第一款的规定，即：</w:t>
      </w:r>
    </w:p>
    <w:p w14:paraId="42EE5785">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（1）具有独立承担民事责任的能力；</w:t>
      </w:r>
    </w:p>
    <w:p w14:paraId="3CBAD015">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（2）具有良好的商业信誉和健全的财务会计制度；</w:t>
      </w:r>
    </w:p>
    <w:p w14:paraId="59C3543A">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（3）具有履行合同所必需的设备和专业技术能力；</w:t>
      </w:r>
    </w:p>
    <w:p w14:paraId="1B5317E0">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（4）有依法缴纳税收和社会保障资金的良好记录；</w:t>
      </w:r>
    </w:p>
    <w:p w14:paraId="038AE15C">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（5）参加政府采购活动前三年内，在经营活动中没有重大违法记录；</w:t>
      </w:r>
    </w:p>
    <w:p w14:paraId="167EB11D">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（6）法律、行政法规规定的其他条件。</w:t>
      </w:r>
    </w:p>
    <w:p w14:paraId="6A49AF48">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联合体投标</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本次招标不接受联合体投标。</w:t>
      </w:r>
    </w:p>
    <w:p w14:paraId="3D052ED2">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3.</w:t>
      </w:r>
      <w:r>
        <w:rPr>
          <w:rFonts w:hint="eastAsia" w:ascii="仿宋" w:hAnsi="仿宋" w:eastAsia="仿宋" w:cs="仿宋"/>
          <w:color w:val="auto"/>
          <w:sz w:val="28"/>
          <w:szCs w:val="28"/>
        </w:rPr>
        <w:t>单位负责人为同一人或者存在直接控股、管理关系的不同投标人，不得参加同一合同项下的政府采购活动。</w:t>
      </w:r>
    </w:p>
    <w:p w14:paraId="0FE93EB5">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4.</w:t>
      </w:r>
      <w:r>
        <w:rPr>
          <w:rFonts w:hint="eastAsia" w:ascii="仿宋" w:hAnsi="仿宋" w:eastAsia="仿宋" w:cs="仿宋"/>
          <w:color w:val="auto"/>
          <w:sz w:val="28"/>
          <w:szCs w:val="28"/>
        </w:rPr>
        <w:t>列入失信被执行人、重大税收违法案件当事人名单，列入政府采购严重违法失信行为记录名单的，拒绝其参与政府采购活动。</w:t>
      </w:r>
    </w:p>
    <w:p w14:paraId="4D779DB1">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四、投标截止时间、开标时间及地点：</w:t>
      </w:r>
    </w:p>
    <w:p w14:paraId="396E2A40">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1、报名方式及报名内容：包含但不限于将以下信息发至邮箱（28693680@QQ,COM）参与项目名称、公司名称、联系人、联系方式，公司相关资质等；</w:t>
      </w:r>
    </w:p>
    <w:p w14:paraId="3F6D496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2、报名截止时间：自本报名信息发布之日起5个工作日；</w:t>
      </w:r>
    </w:p>
    <w:p w14:paraId="2012B7F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3、开标时间：202</w:t>
      </w:r>
      <w:r>
        <w:rPr>
          <w:rFonts w:hint="eastAsia" w:cs="仿宋_GB2312"/>
          <w:bCs/>
          <w:color w:val="auto"/>
          <w:kern w:val="0"/>
          <w:sz w:val="28"/>
          <w:szCs w:val="28"/>
          <w:lang w:val="en-US" w:eastAsia="zh-CN" w:bidi="ar-SA"/>
        </w:rPr>
        <w:t>6</w:t>
      </w:r>
      <w:r>
        <w:rPr>
          <w:rFonts w:hint="eastAsia" w:ascii="仿宋_GB2312" w:hAnsi="Times New Roman" w:eastAsia="仿宋_GB2312" w:cs="仿宋_GB2312"/>
          <w:bCs/>
          <w:color w:val="auto"/>
          <w:kern w:val="0"/>
          <w:sz w:val="28"/>
          <w:szCs w:val="28"/>
          <w:lang w:val="en-US" w:eastAsia="zh-CN" w:bidi="ar-SA"/>
        </w:rPr>
        <w:t>年</w:t>
      </w:r>
      <w:r>
        <w:rPr>
          <w:rFonts w:hint="eastAsia"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月</w:t>
      </w:r>
      <w:r>
        <w:rPr>
          <w:rFonts w:hint="eastAsia" w:cs="仿宋_GB2312"/>
          <w:bCs/>
          <w:color w:val="auto"/>
          <w:kern w:val="0"/>
          <w:sz w:val="28"/>
          <w:szCs w:val="28"/>
          <w:lang w:val="en-US" w:eastAsia="zh-CN" w:bidi="ar-SA"/>
        </w:rPr>
        <w:t>26</w:t>
      </w:r>
      <w:r>
        <w:rPr>
          <w:rFonts w:hint="eastAsia" w:ascii="仿宋_GB2312" w:hAnsi="Times New Roman" w:eastAsia="仿宋_GB2312" w:cs="仿宋_GB2312"/>
          <w:bCs/>
          <w:color w:val="auto"/>
          <w:kern w:val="0"/>
          <w:sz w:val="28"/>
          <w:szCs w:val="28"/>
          <w:lang w:val="en-US" w:eastAsia="zh-CN" w:bidi="ar-SA"/>
        </w:rPr>
        <w:t>日</w:t>
      </w:r>
      <w:r>
        <w:rPr>
          <w:rFonts w:hint="eastAsia" w:cs="仿宋_GB2312"/>
          <w:bCs/>
          <w:color w:val="auto"/>
          <w:kern w:val="0"/>
          <w:sz w:val="28"/>
          <w:szCs w:val="28"/>
          <w:lang w:val="en-US" w:eastAsia="zh-CN" w:bidi="ar-SA"/>
        </w:rPr>
        <w:t>9:00</w:t>
      </w:r>
      <w:r>
        <w:rPr>
          <w:rFonts w:hint="eastAsia" w:ascii="仿宋_GB2312" w:hAnsi="Times New Roman" w:eastAsia="仿宋_GB2312" w:cs="仿宋_GB2312"/>
          <w:bCs/>
          <w:color w:val="auto"/>
          <w:kern w:val="0"/>
          <w:sz w:val="28"/>
          <w:szCs w:val="28"/>
          <w:lang w:val="en-US" w:eastAsia="zh-CN" w:bidi="ar-SA"/>
        </w:rPr>
        <w:t>；</w:t>
      </w:r>
    </w:p>
    <w:p w14:paraId="0F04DBBD">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4、开标地点;娄底市中心医院综合楼420室。</w:t>
      </w:r>
    </w:p>
    <w:p w14:paraId="76911C32">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五、招标人地址和联系方法：</w:t>
      </w:r>
    </w:p>
    <w:p w14:paraId="0449468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1、招标人名称：娄底市中心医院</w:t>
      </w:r>
      <w:bookmarkStart w:id="5" w:name="_GoBack"/>
      <w:bookmarkEnd w:id="5"/>
    </w:p>
    <w:p w14:paraId="22CFF104">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2、联系人及联系方式：廖海星 15873871616</w:t>
      </w:r>
    </w:p>
    <w:p w14:paraId="5141471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3、招标人地址：娄底市长青中街51号</w:t>
      </w:r>
    </w:p>
    <w:p w14:paraId="376A01D2">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六、投标须知</w:t>
      </w:r>
    </w:p>
    <w:p w14:paraId="2256C154">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1、否决投标的情形：</w:t>
      </w:r>
    </w:p>
    <w:p w14:paraId="00C887C9">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1.1、投标人以他人名义投标、串通投标、以行贿手段谋取中标的；</w:t>
      </w:r>
    </w:p>
    <w:p w14:paraId="32666238">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1.2、资格评审时，投标人资格条件不符合国家有关规定或者招标文件要求的，或者拒不按照要求对投标文件进行澄清、说明或补正，或者其说明补正无法证明其为合格投标人的；</w:t>
      </w:r>
    </w:p>
    <w:p w14:paraId="02DB57C6">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1.3、评标委员会认定投标人以低于成本报价竞标的；</w:t>
      </w:r>
    </w:p>
    <w:p w14:paraId="12A7472B">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1.4、投标人未按照要求出席开标会的；</w:t>
      </w:r>
    </w:p>
    <w:p w14:paraId="43B3A0F6">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1.5、投标报价有错误的，评标委员会将要求投标人作出书面澄清说明和确认，投标人拒不作出澄清说明和确认的；</w:t>
      </w:r>
    </w:p>
    <w:p w14:paraId="322FAE91">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2、有下列情形之一的，招标人将重新招标：</w:t>
      </w:r>
    </w:p>
    <w:p w14:paraId="58B98DEA">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2.1、投标截止时间止，投标人少于3家的；</w:t>
      </w:r>
    </w:p>
    <w:p w14:paraId="71BCFD3A">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2.2、经评标委员会评审后，符合资格审查的投标人少于3家的。</w:t>
      </w:r>
    </w:p>
    <w:p w14:paraId="573EED2D">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bCs/>
          <w:color w:val="auto"/>
          <w:sz w:val="28"/>
          <w:szCs w:val="28"/>
          <w:lang w:val="en-US" w:eastAsia="zh-CN"/>
        </w:rPr>
      </w:pPr>
      <w:r>
        <w:rPr>
          <w:rFonts w:hint="eastAsia" w:ascii="仿宋_GB2312" w:hAnsi="Times New Roman" w:eastAsia="仿宋_GB2312" w:cs="仿宋_GB2312"/>
          <w:bCs/>
          <w:color w:val="auto"/>
          <w:kern w:val="0"/>
          <w:sz w:val="28"/>
          <w:szCs w:val="28"/>
          <w:lang w:val="en-US" w:eastAsia="zh-CN" w:bidi="ar-SA"/>
        </w:rPr>
        <w:t>3、投标单位必须提供纸质投标文件及电子版投标文件（PDF格式签字盖章版本）</w:t>
      </w:r>
    </w:p>
    <w:p w14:paraId="2AF177D9">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793AD0A9">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0BDF83F3">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626BB1E6">
      <w:pPr>
        <w:spacing w:line="360" w:lineRule="auto"/>
        <w:ind w:firstLine="560" w:firstLineChars="200"/>
        <w:rPr>
          <w:rFonts w:ascii="仿宋_GB2312" w:eastAsia="仿宋_GB2312" w:cs="仿宋_GB2312"/>
          <w:bCs/>
          <w:color w:val="auto"/>
          <w:kern w:val="0"/>
          <w:sz w:val="28"/>
          <w:szCs w:val="28"/>
        </w:rPr>
      </w:pPr>
      <w:r>
        <w:rPr>
          <w:rFonts w:hint="eastAsia" w:ascii="仿宋_GB2312" w:eastAsia="仿宋_GB2312" w:cs="仿宋_GB2312"/>
          <w:bCs/>
          <w:color w:val="auto"/>
          <w:kern w:val="0"/>
          <w:sz w:val="28"/>
          <w:szCs w:val="28"/>
        </w:rPr>
        <w:t>一、采购清单、采购项目交付或者实施的时间和地点</w:t>
      </w:r>
    </w:p>
    <w:p w14:paraId="374A3519">
      <w:pPr>
        <w:spacing w:line="360" w:lineRule="auto"/>
        <w:ind w:firstLine="560" w:firstLineChars="200"/>
        <w:rPr>
          <w:rFonts w:ascii="仿宋_GB2312" w:eastAsia="仿宋_GB2312" w:cs="仿宋_GB2312"/>
          <w:bCs/>
          <w:color w:val="auto"/>
          <w:kern w:val="0"/>
          <w:sz w:val="28"/>
          <w:szCs w:val="28"/>
        </w:rPr>
      </w:pPr>
      <w:r>
        <w:rPr>
          <w:rFonts w:hint="eastAsia" w:ascii="仿宋_GB2312" w:eastAsia="仿宋_GB2312" w:cs="仿宋_GB2312"/>
          <w:bCs/>
          <w:color w:val="auto"/>
          <w:kern w:val="0"/>
          <w:sz w:val="28"/>
          <w:szCs w:val="28"/>
        </w:rPr>
        <w:t>1.采购项目</w:t>
      </w:r>
    </w:p>
    <w:tbl>
      <w:tblPr>
        <w:tblStyle w:val="11"/>
        <w:tblW w:w="88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6"/>
        <w:gridCol w:w="4811"/>
        <w:gridCol w:w="2901"/>
      </w:tblGrid>
      <w:tr w14:paraId="0D1BC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166" w:type="dxa"/>
            <w:tcBorders>
              <w:top w:val="single" w:color="auto" w:sz="4" w:space="0"/>
              <w:left w:val="single" w:color="auto" w:sz="4" w:space="0"/>
              <w:bottom w:val="single" w:color="auto" w:sz="4" w:space="0"/>
              <w:right w:val="single" w:color="auto" w:sz="4" w:space="0"/>
            </w:tcBorders>
            <w:vAlign w:val="center"/>
          </w:tcPr>
          <w:p w14:paraId="25774FB3">
            <w:pPr>
              <w:spacing w:line="360" w:lineRule="auto"/>
              <w:jc w:val="center"/>
              <w:rPr>
                <w:rFonts w:ascii="仿宋_GB2312" w:eastAsia="仿宋_GB2312" w:cs="仿宋_GB2312"/>
                <w:bCs/>
                <w:color w:val="auto"/>
                <w:kern w:val="0"/>
                <w:sz w:val="24"/>
              </w:rPr>
            </w:pPr>
            <w:r>
              <w:rPr>
                <w:rFonts w:ascii="仿宋_GB2312" w:eastAsia="仿宋_GB2312" w:cs="仿宋_GB2312"/>
                <w:bCs/>
                <w:color w:val="auto"/>
                <w:kern w:val="0"/>
                <w:sz w:val="24"/>
              </w:rPr>
              <w:t>序号</w:t>
            </w:r>
          </w:p>
        </w:tc>
        <w:tc>
          <w:tcPr>
            <w:tcW w:w="4811" w:type="dxa"/>
            <w:tcBorders>
              <w:top w:val="single" w:color="auto" w:sz="4" w:space="0"/>
              <w:left w:val="single" w:color="auto" w:sz="4" w:space="0"/>
              <w:bottom w:val="single" w:color="auto" w:sz="4" w:space="0"/>
              <w:right w:val="single" w:color="auto" w:sz="4" w:space="0"/>
            </w:tcBorders>
            <w:vAlign w:val="center"/>
          </w:tcPr>
          <w:p w14:paraId="3AAD0101">
            <w:pPr>
              <w:spacing w:line="360" w:lineRule="auto"/>
              <w:jc w:val="center"/>
              <w:rPr>
                <w:rFonts w:ascii="仿宋_GB2312" w:eastAsia="仿宋_GB2312" w:cs="仿宋_GB2312"/>
                <w:bCs/>
                <w:color w:val="auto"/>
                <w:kern w:val="0"/>
                <w:sz w:val="24"/>
              </w:rPr>
            </w:pPr>
            <w:r>
              <w:rPr>
                <w:rFonts w:ascii="仿宋_GB2312" w:eastAsia="仿宋_GB2312" w:cs="仿宋_GB2312"/>
                <w:bCs/>
                <w:color w:val="auto"/>
                <w:kern w:val="0"/>
                <w:sz w:val="24"/>
              </w:rPr>
              <w:t>项目名称</w:t>
            </w:r>
          </w:p>
        </w:tc>
        <w:tc>
          <w:tcPr>
            <w:tcW w:w="2901" w:type="dxa"/>
            <w:tcBorders>
              <w:top w:val="single" w:color="auto" w:sz="4" w:space="0"/>
              <w:left w:val="single" w:color="auto" w:sz="4" w:space="0"/>
              <w:bottom w:val="single" w:color="auto" w:sz="4" w:space="0"/>
              <w:right w:val="single" w:color="auto" w:sz="4" w:space="0"/>
            </w:tcBorders>
            <w:vAlign w:val="center"/>
          </w:tcPr>
          <w:p w14:paraId="55AB8912">
            <w:pPr>
              <w:spacing w:line="360" w:lineRule="auto"/>
              <w:jc w:val="center"/>
              <w:rPr>
                <w:rFonts w:ascii="仿宋_GB2312" w:eastAsia="仿宋_GB2312" w:cs="仿宋_GB2312"/>
                <w:bCs/>
                <w:color w:val="auto"/>
                <w:kern w:val="0"/>
                <w:sz w:val="24"/>
              </w:rPr>
            </w:pPr>
            <w:r>
              <w:rPr>
                <w:rFonts w:hint="eastAsia" w:ascii="仿宋_GB2312" w:eastAsia="仿宋_GB2312" w:cs="仿宋_GB2312"/>
                <w:bCs/>
                <w:color w:val="auto"/>
                <w:kern w:val="0"/>
                <w:sz w:val="24"/>
              </w:rPr>
              <w:t>总预算</w:t>
            </w:r>
          </w:p>
        </w:tc>
      </w:tr>
      <w:tr w14:paraId="37192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atLeast"/>
        </w:trPr>
        <w:tc>
          <w:tcPr>
            <w:tcW w:w="1166" w:type="dxa"/>
            <w:tcBorders>
              <w:top w:val="single" w:color="auto" w:sz="4" w:space="0"/>
              <w:left w:val="single" w:color="auto" w:sz="4" w:space="0"/>
              <w:bottom w:val="single" w:color="auto" w:sz="4" w:space="0"/>
              <w:right w:val="single" w:color="auto" w:sz="4" w:space="0"/>
            </w:tcBorders>
            <w:vAlign w:val="center"/>
          </w:tcPr>
          <w:p w14:paraId="2E86F615">
            <w:pPr>
              <w:spacing w:line="360" w:lineRule="auto"/>
              <w:jc w:val="center"/>
              <w:rPr>
                <w:rFonts w:ascii="仿宋_GB2312" w:eastAsia="仿宋_GB2312" w:cs="仿宋_GB2312"/>
                <w:bCs/>
                <w:color w:val="auto"/>
                <w:kern w:val="0"/>
                <w:sz w:val="24"/>
              </w:rPr>
            </w:pPr>
            <w:r>
              <w:rPr>
                <w:rFonts w:ascii="仿宋_GB2312" w:eastAsia="仿宋_GB2312" w:cs="仿宋_GB2312"/>
                <w:bCs/>
                <w:color w:val="auto"/>
                <w:kern w:val="0"/>
                <w:sz w:val="24"/>
              </w:rPr>
              <w:t>1</w:t>
            </w:r>
          </w:p>
        </w:tc>
        <w:tc>
          <w:tcPr>
            <w:tcW w:w="4811" w:type="dxa"/>
            <w:tcBorders>
              <w:top w:val="single" w:color="auto" w:sz="4" w:space="0"/>
              <w:left w:val="single" w:color="auto" w:sz="4" w:space="0"/>
              <w:bottom w:val="single" w:color="auto" w:sz="4" w:space="0"/>
              <w:right w:val="single" w:color="auto" w:sz="4" w:space="0"/>
            </w:tcBorders>
            <w:vAlign w:val="center"/>
          </w:tcPr>
          <w:p w14:paraId="64F64F94">
            <w:pPr>
              <w:spacing w:line="360" w:lineRule="auto"/>
              <w:jc w:val="center"/>
              <w:rPr>
                <w:rFonts w:hint="eastAsia" w:ascii="仿宋_GB2312" w:eastAsia="宋体" w:cs="仿宋_GB2312"/>
                <w:bCs/>
                <w:color w:val="auto"/>
                <w:kern w:val="0"/>
                <w:sz w:val="24"/>
                <w:lang w:val="en-US" w:eastAsia="zh-CN"/>
              </w:rPr>
            </w:pPr>
            <w:r>
              <w:rPr>
                <w:rFonts w:hint="eastAsia" w:ascii="仿宋" w:hAnsi="仿宋" w:eastAsia="仿宋" w:cs="仿宋"/>
                <w:color w:val="auto"/>
                <w:sz w:val="24"/>
                <w:szCs w:val="24"/>
                <w:vertAlign w:val="baseline"/>
                <w:lang w:val="en-US" w:eastAsia="zh-CN"/>
              </w:rPr>
              <w:t>娄底市中心医院（娄底医院）医用瓶氧、特殊气体采购采购</w:t>
            </w:r>
          </w:p>
        </w:tc>
        <w:tc>
          <w:tcPr>
            <w:tcW w:w="2901" w:type="dxa"/>
            <w:tcBorders>
              <w:top w:val="single" w:color="auto" w:sz="4" w:space="0"/>
              <w:left w:val="single" w:color="auto" w:sz="4" w:space="0"/>
              <w:bottom w:val="single" w:color="auto" w:sz="4" w:space="0"/>
              <w:right w:val="single" w:color="auto" w:sz="4" w:space="0"/>
            </w:tcBorders>
            <w:vAlign w:val="center"/>
          </w:tcPr>
          <w:p w14:paraId="60729B6A">
            <w:pPr>
              <w:spacing w:line="360" w:lineRule="auto"/>
              <w:jc w:val="center"/>
              <w:rPr>
                <w:rFonts w:hint="default" w:ascii="仿宋_GB2312" w:eastAsia="仿宋_GB2312" w:cs="仿宋_GB2312"/>
                <w:bCs/>
                <w:color w:val="auto"/>
                <w:kern w:val="0"/>
                <w:sz w:val="24"/>
                <w:lang w:val="en-US" w:eastAsia="zh-CN"/>
              </w:rPr>
            </w:pPr>
            <w:r>
              <w:rPr>
                <w:rFonts w:hint="eastAsia" w:ascii="仿宋" w:hAnsi="仿宋" w:eastAsia="仿宋" w:cs="仿宋"/>
                <w:b w:val="0"/>
                <w:i w:val="0"/>
                <w:iCs w:val="0"/>
                <w:caps w:val="0"/>
                <w:strike w:val="0"/>
                <w:color w:val="auto"/>
                <w:spacing w:val="0"/>
                <w:kern w:val="0"/>
                <w:sz w:val="28"/>
                <w:szCs w:val="28"/>
                <w:u w:val="none"/>
                <w:lang w:val="en-US" w:eastAsia="zh-CN" w:bidi="ar"/>
              </w:rPr>
              <w:t>199963.50</w:t>
            </w:r>
          </w:p>
        </w:tc>
      </w:tr>
    </w:tbl>
    <w:p w14:paraId="6D637F87">
      <w:pPr>
        <w:spacing w:line="360" w:lineRule="auto"/>
        <w:ind w:firstLine="560" w:firstLineChars="200"/>
        <w:rPr>
          <w:rFonts w:ascii="仿宋_GB2312" w:eastAsia="仿宋_GB2312" w:cs="仿宋_GB2312"/>
          <w:bCs/>
          <w:color w:val="auto"/>
          <w:kern w:val="0"/>
          <w:sz w:val="28"/>
          <w:szCs w:val="28"/>
        </w:rPr>
      </w:pPr>
      <w:r>
        <w:rPr>
          <w:rFonts w:hint="eastAsia" w:ascii="仿宋_GB2312" w:eastAsia="仿宋_GB2312" w:cs="仿宋_GB2312"/>
          <w:bCs/>
          <w:color w:val="auto"/>
          <w:kern w:val="0"/>
          <w:sz w:val="28"/>
          <w:szCs w:val="28"/>
        </w:rPr>
        <w:t>2、服务地点：娄底市中心医院</w:t>
      </w:r>
      <w:r>
        <w:rPr>
          <w:rFonts w:hint="eastAsia" w:ascii="仿宋_GB2312" w:eastAsia="仿宋_GB2312" w:cs="仿宋_GB2312"/>
          <w:bCs/>
          <w:color w:val="auto"/>
          <w:kern w:val="0"/>
          <w:sz w:val="28"/>
          <w:szCs w:val="28"/>
          <w:lang w:eastAsia="zh-CN"/>
        </w:rPr>
        <w:t>、</w:t>
      </w:r>
      <w:r>
        <w:rPr>
          <w:rFonts w:hint="eastAsia" w:ascii="仿宋_GB2312" w:eastAsia="仿宋_GB2312" w:cs="仿宋_GB2312"/>
          <w:bCs/>
          <w:color w:val="auto"/>
          <w:kern w:val="0"/>
          <w:sz w:val="28"/>
          <w:szCs w:val="28"/>
          <w:lang w:val="en-US" w:eastAsia="zh-CN"/>
        </w:rPr>
        <w:t>广州医科大学附属第一医院娄底医院</w:t>
      </w:r>
      <w:r>
        <w:rPr>
          <w:rFonts w:hint="eastAsia" w:ascii="仿宋_GB2312" w:eastAsia="仿宋_GB2312" w:cs="仿宋_GB2312"/>
          <w:bCs/>
          <w:color w:val="auto"/>
          <w:kern w:val="0"/>
          <w:sz w:val="28"/>
          <w:szCs w:val="28"/>
        </w:rPr>
        <w:t>。</w:t>
      </w:r>
    </w:p>
    <w:p w14:paraId="4D4D8E51">
      <w:pPr>
        <w:spacing w:line="360" w:lineRule="auto"/>
        <w:ind w:firstLine="560" w:firstLineChars="200"/>
        <w:rPr>
          <w:rFonts w:ascii="仿宋_GB2312" w:eastAsia="仿宋_GB2312" w:cs="仿宋_GB2312"/>
          <w:bCs/>
          <w:color w:val="auto"/>
          <w:kern w:val="0"/>
          <w:sz w:val="28"/>
          <w:szCs w:val="28"/>
        </w:rPr>
      </w:pPr>
      <w:r>
        <w:rPr>
          <w:rFonts w:hint="eastAsia" w:ascii="仿宋_GB2312" w:eastAsia="仿宋_GB2312" w:cs="仿宋_GB2312"/>
          <w:bCs/>
          <w:color w:val="auto"/>
          <w:kern w:val="0"/>
          <w:sz w:val="28"/>
          <w:szCs w:val="28"/>
        </w:rPr>
        <w:t>二、项目内容及要求，以下内容均需满足，不满足的视为无效投标</w:t>
      </w:r>
    </w:p>
    <w:p w14:paraId="116D1444">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left="559" w:leftChars="266" w:right="0" w:firstLine="0" w:firstLineChars="0"/>
        <w:jc w:val="left"/>
        <w:rPr>
          <w:rFonts w:hint="eastAsia" w:ascii="仿宋" w:hAnsi="仿宋" w:eastAsia="仿宋" w:cs="仿宋"/>
          <w:b/>
          <w:i w:val="0"/>
          <w:iCs w:val="0"/>
          <w:caps w:val="0"/>
          <w:strike w:val="0"/>
          <w:color w:val="auto"/>
          <w:spacing w:val="0"/>
          <w:kern w:val="0"/>
          <w:sz w:val="28"/>
          <w:szCs w:val="28"/>
          <w:u w:val="none"/>
          <w:lang w:val="en-US" w:eastAsia="zh-CN" w:bidi="ar"/>
        </w:rPr>
      </w:pPr>
      <w:r>
        <w:rPr>
          <w:rFonts w:hint="eastAsia" w:ascii="仿宋" w:hAnsi="仿宋" w:eastAsia="仿宋" w:cs="仿宋"/>
          <w:b/>
          <w:i w:val="0"/>
          <w:iCs w:val="0"/>
          <w:caps w:val="0"/>
          <w:strike w:val="0"/>
          <w:color w:val="auto"/>
          <w:spacing w:val="0"/>
          <w:kern w:val="0"/>
          <w:sz w:val="28"/>
          <w:szCs w:val="28"/>
          <w:u w:val="none"/>
          <w:lang w:val="en-US" w:eastAsia="zh-CN" w:bidi="ar"/>
        </w:rPr>
        <w:t>（一）项目背景与需求​</w:t>
      </w:r>
    </w:p>
    <w:p w14:paraId="605B41E6">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left="0" w:leftChars="0" w:right="0" w:firstLine="560" w:firstLineChars="200"/>
        <w:jc w:val="left"/>
        <w:rPr>
          <w:rFonts w:hint="eastAsia" w:ascii="仿宋" w:hAnsi="仿宋" w:eastAsia="仿宋" w:cs="仿宋"/>
          <w:b w:val="0"/>
          <w:i w:val="0"/>
          <w:iCs w:val="0"/>
          <w:caps w:val="0"/>
          <w:strike w:val="0"/>
          <w:color w:val="auto"/>
          <w:spacing w:val="0"/>
          <w:kern w:val="0"/>
          <w:sz w:val="28"/>
          <w:szCs w:val="28"/>
          <w:u w:val="none"/>
          <w:lang w:val="en-US" w:eastAsia="zh-CN" w:bidi="ar"/>
        </w:rPr>
      </w:pPr>
      <w:r>
        <w:rPr>
          <w:rFonts w:hint="eastAsia" w:ascii="仿宋" w:hAnsi="仿宋" w:eastAsia="仿宋" w:cs="仿宋"/>
          <w:b w:val="0"/>
          <w:i w:val="0"/>
          <w:iCs w:val="0"/>
          <w:caps w:val="0"/>
          <w:strike w:val="0"/>
          <w:color w:val="auto"/>
          <w:spacing w:val="0"/>
          <w:kern w:val="0"/>
          <w:sz w:val="28"/>
          <w:szCs w:val="28"/>
          <w:u w:val="none"/>
          <w:lang w:val="en-US" w:eastAsia="zh-CN" w:bidi="ar"/>
        </w:rPr>
        <w:t>为保障采购人临床医疗、诊断、实验室检测等工作的持续开展，需通过公开招标方式确定合格供应商，提供符合国家医疗标准的医用瓶氧及特殊气体，确保气体质量安全、供应稳定、服务高效，满足急诊、手术、重症监护、检验等场景的常态化及应急需求。​</w:t>
      </w:r>
    </w:p>
    <w:p w14:paraId="34DF57A7">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left="0" w:right="0" w:firstLine="562" w:firstLineChars="200"/>
        <w:jc w:val="left"/>
        <w:rPr>
          <w:rFonts w:hint="eastAsia" w:ascii="仿宋" w:hAnsi="仿宋" w:eastAsia="仿宋" w:cs="仿宋"/>
          <w:b/>
          <w:i w:val="0"/>
          <w:iCs w:val="0"/>
          <w:caps w:val="0"/>
          <w:strike w:val="0"/>
          <w:color w:val="auto"/>
          <w:spacing w:val="0"/>
          <w:kern w:val="0"/>
          <w:sz w:val="28"/>
          <w:szCs w:val="28"/>
          <w:u w:val="none"/>
          <w:lang w:val="en-US" w:eastAsia="zh-CN" w:bidi="ar"/>
        </w:rPr>
      </w:pPr>
      <w:r>
        <w:rPr>
          <w:rFonts w:hint="eastAsia" w:ascii="仿宋" w:hAnsi="仿宋" w:eastAsia="仿宋" w:cs="仿宋"/>
          <w:b/>
          <w:i w:val="0"/>
          <w:iCs w:val="0"/>
          <w:caps w:val="0"/>
          <w:strike w:val="0"/>
          <w:color w:val="auto"/>
          <w:spacing w:val="0"/>
          <w:kern w:val="0"/>
          <w:sz w:val="28"/>
          <w:szCs w:val="28"/>
          <w:u w:val="none"/>
          <w:lang w:val="en-US" w:eastAsia="zh-CN" w:bidi="ar"/>
        </w:rPr>
        <w:t>（二）项目预算与周期​</w:t>
      </w:r>
    </w:p>
    <w:p w14:paraId="5CF666EF">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right="0" w:firstLine="560" w:firstLineChars="200"/>
        <w:jc w:val="left"/>
        <w:rPr>
          <w:rFonts w:hint="eastAsia" w:ascii="仿宋" w:hAnsi="仿宋" w:eastAsia="仿宋" w:cs="仿宋"/>
          <w:b w:val="0"/>
          <w:i w:val="0"/>
          <w:iCs w:val="0"/>
          <w:caps w:val="0"/>
          <w:strike w:val="0"/>
          <w:color w:val="auto"/>
          <w:spacing w:val="0"/>
          <w:kern w:val="0"/>
          <w:sz w:val="28"/>
          <w:szCs w:val="28"/>
          <w:u w:val="none"/>
          <w:lang w:val="en-US" w:eastAsia="zh-CN" w:bidi="ar"/>
        </w:rPr>
      </w:pPr>
      <w:r>
        <w:rPr>
          <w:rFonts w:hint="eastAsia" w:ascii="仿宋" w:hAnsi="仿宋" w:eastAsia="仿宋" w:cs="仿宋"/>
          <w:b w:val="0"/>
          <w:i w:val="0"/>
          <w:iCs w:val="0"/>
          <w:caps w:val="0"/>
          <w:strike w:val="0"/>
          <w:color w:val="auto"/>
          <w:spacing w:val="0"/>
          <w:kern w:val="0"/>
          <w:sz w:val="28"/>
          <w:szCs w:val="28"/>
          <w:u w:val="none"/>
          <w:lang w:val="en-US" w:eastAsia="zh-CN" w:bidi="ar"/>
        </w:rPr>
        <w:t>项目预算：本项目年度采购预算为：199963.50元，最终结算以实际采购量为准。​</w:t>
      </w:r>
    </w:p>
    <w:p w14:paraId="58BFA29A">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left="0" w:leftChars="0" w:right="0" w:firstLine="480" w:firstLineChars="0"/>
        <w:jc w:val="left"/>
        <w:rPr>
          <w:rFonts w:hint="eastAsia" w:ascii="仿宋" w:hAnsi="仿宋" w:eastAsia="仿宋" w:cs="仿宋"/>
          <w:b w:val="0"/>
          <w:i w:val="0"/>
          <w:iCs w:val="0"/>
          <w:caps w:val="0"/>
          <w:strike w:val="0"/>
          <w:color w:val="auto"/>
          <w:spacing w:val="0"/>
          <w:kern w:val="0"/>
          <w:sz w:val="28"/>
          <w:szCs w:val="28"/>
          <w:u w:val="none"/>
          <w:lang w:val="en-US" w:eastAsia="zh-CN" w:bidi="ar"/>
        </w:rPr>
      </w:pPr>
      <w:r>
        <w:rPr>
          <w:rFonts w:hint="eastAsia" w:ascii="仿宋" w:hAnsi="仿宋" w:eastAsia="仿宋" w:cs="仿宋"/>
          <w:b w:val="0"/>
          <w:i w:val="0"/>
          <w:iCs w:val="0"/>
          <w:caps w:val="0"/>
          <w:strike w:val="0"/>
          <w:color w:val="auto"/>
          <w:spacing w:val="0"/>
          <w:kern w:val="0"/>
          <w:sz w:val="28"/>
          <w:szCs w:val="28"/>
          <w:u w:val="none"/>
          <w:lang w:val="en-US" w:eastAsia="zh-CN" w:bidi="ar"/>
        </w:rPr>
        <w:t>服务周期：自合同签订之日起 1年。​</w:t>
      </w:r>
    </w:p>
    <w:p w14:paraId="13F65675">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line="500" w:lineRule="exact"/>
        <w:ind w:leftChars="200" w:right="0" w:rightChars="0"/>
        <w:jc w:val="left"/>
        <w:rPr>
          <w:rFonts w:hint="eastAsia" w:ascii="仿宋" w:hAnsi="仿宋" w:eastAsia="仿宋" w:cs="仿宋"/>
          <w:b/>
          <w:i w:val="0"/>
          <w:iCs w:val="0"/>
          <w:caps w:val="0"/>
          <w:strike w:val="0"/>
          <w:color w:val="auto"/>
          <w:spacing w:val="0"/>
          <w:kern w:val="0"/>
          <w:sz w:val="28"/>
          <w:szCs w:val="28"/>
          <w:u w:val="none"/>
          <w:lang w:val="en-US" w:eastAsia="zh-CN" w:bidi="ar"/>
        </w:rPr>
      </w:pPr>
      <w:r>
        <w:rPr>
          <w:rFonts w:hint="eastAsia" w:ascii="仿宋" w:hAnsi="仿宋" w:eastAsia="仿宋" w:cs="仿宋"/>
          <w:b/>
          <w:i w:val="0"/>
          <w:iCs w:val="0"/>
          <w:caps w:val="0"/>
          <w:strike w:val="0"/>
          <w:color w:val="auto"/>
          <w:spacing w:val="0"/>
          <w:kern w:val="0"/>
          <w:sz w:val="28"/>
          <w:szCs w:val="28"/>
          <w:u w:val="none"/>
          <w:lang w:val="en-US" w:eastAsia="zh-CN" w:bidi="ar"/>
        </w:rPr>
        <w:t>（三）采购内容及数量</w:t>
      </w:r>
    </w:p>
    <w:p w14:paraId="28803AEC">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line="500" w:lineRule="exact"/>
        <w:ind w:right="0" w:rightChars="0" w:firstLine="562" w:firstLineChars="200"/>
        <w:jc w:val="left"/>
        <w:rPr>
          <w:rFonts w:hint="eastAsia" w:ascii="仿宋" w:hAnsi="仿宋" w:eastAsia="仿宋" w:cs="仿宋"/>
          <w:b/>
          <w:i w:val="0"/>
          <w:iCs w:val="0"/>
          <w:caps w:val="0"/>
          <w:strike w:val="0"/>
          <w:color w:val="auto"/>
          <w:spacing w:val="0"/>
          <w:kern w:val="0"/>
          <w:sz w:val="28"/>
          <w:szCs w:val="28"/>
          <w:u w:val="none"/>
          <w:lang w:val="en-US" w:eastAsia="zh-CN" w:bidi="ar"/>
        </w:rPr>
      </w:pPr>
      <w:r>
        <w:rPr>
          <w:rFonts w:hint="eastAsia" w:ascii="仿宋" w:hAnsi="仿宋" w:eastAsia="仿宋" w:cs="仿宋"/>
          <w:b/>
          <w:i w:val="0"/>
          <w:iCs w:val="0"/>
          <w:caps w:val="0"/>
          <w:strike w:val="0"/>
          <w:color w:val="auto"/>
          <w:spacing w:val="0"/>
          <w:kern w:val="0"/>
          <w:sz w:val="28"/>
          <w:szCs w:val="28"/>
          <w:u w:val="none"/>
          <w:lang w:val="en-US" w:eastAsia="zh-CN" w:bidi="ar"/>
        </w:rPr>
        <w:t>1 、采购产品清单</w:t>
      </w:r>
    </w:p>
    <w:tbl>
      <w:tblPr>
        <w:tblStyle w:val="11"/>
        <w:tblW w:w="9540" w:type="dxa"/>
        <w:tblInd w:w="-56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91"/>
        <w:gridCol w:w="971"/>
        <w:gridCol w:w="1378"/>
        <w:gridCol w:w="885"/>
        <w:gridCol w:w="1305"/>
        <w:gridCol w:w="1725"/>
        <w:gridCol w:w="870"/>
        <w:gridCol w:w="915"/>
      </w:tblGrid>
      <w:tr w14:paraId="6B186A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1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B3E84">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名称</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45BB7">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≥纯度</w:t>
            </w:r>
          </w:p>
        </w:tc>
        <w:tc>
          <w:tcPr>
            <w:tcW w:w="13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3E9A4">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压力或公斤</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D359B">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容量</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26901">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冷却后压力</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C5C26">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国家标准</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0FBB3">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数量</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E26D2">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限价</w:t>
            </w:r>
          </w:p>
        </w:tc>
      </w:tr>
      <w:tr w14:paraId="4E9B8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1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5F1DA">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医用氧（大瓶）</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6FED5">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99.50%</w:t>
            </w:r>
          </w:p>
        </w:tc>
        <w:tc>
          <w:tcPr>
            <w:tcW w:w="13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BEF85">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14±0.5MPa</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ACC04">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40L</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9FDD3">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13MPa</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357BC">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GB8982-2009</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88336">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1400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EB247">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43.05</w:t>
            </w:r>
          </w:p>
        </w:tc>
      </w:tr>
      <w:tr w14:paraId="493A64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1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20C3C">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医用氧（小瓶）</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77B6E">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99.50%</w:t>
            </w:r>
          </w:p>
        </w:tc>
        <w:tc>
          <w:tcPr>
            <w:tcW w:w="13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DFD72">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14±0.5MPa</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93F24">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10L</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0CB96">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13MPa</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946F9">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GB8982-2009</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4847B">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500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00BBA">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25.20</w:t>
            </w:r>
          </w:p>
        </w:tc>
      </w:tr>
      <w:tr w14:paraId="06E5E1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1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074C5">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二氧化碳</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52F75">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99.50%</w:t>
            </w:r>
          </w:p>
        </w:tc>
        <w:tc>
          <w:tcPr>
            <w:tcW w:w="13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924F7">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17±0.5KG</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28909">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40L、18KG</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08219">
            <w:pPr>
              <w:keepNext w:val="0"/>
              <w:keepLines w:val="0"/>
              <w:pageBreakBefore w:val="0"/>
              <w:kinsoku/>
              <w:wordWrap/>
              <w:overflowPunct/>
              <w:topLinePunct w:val="0"/>
              <w:autoSpaceDE/>
              <w:autoSpaceDN/>
              <w:bidi w:val="0"/>
              <w:adjustRightInd/>
              <w:snapToGrid/>
              <w:spacing w:line="500" w:lineRule="exact"/>
              <w:jc w:val="center"/>
              <w:rPr>
                <w:rFonts w:hint="eastAsia" w:ascii="仿宋" w:hAnsi="仿宋" w:eastAsia="仿宋" w:cs="仿宋"/>
                <w:i w:val="0"/>
                <w:iCs w:val="0"/>
                <w:color w:val="000000"/>
                <w:sz w:val="21"/>
                <w:szCs w:val="21"/>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7650C">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GB/T23938-2021</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D4441">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150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575A6">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47.25</w:t>
            </w:r>
          </w:p>
        </w:tc>
      </w:tr>
      <w:tr w14:paraId="4BBFC2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1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E690F">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高纯二氧化碳</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F56A2">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99.99%</w:t>
            </w:r>
          </w:p>
        </w:tc>
        <w:tc>
          <w:tcPr>
            <w:tcW w:w="13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C16FC">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17±0.5KG</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B1B09">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40L、18KG</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833CB">
            <w:pPr>
              <w:keepNext w:val="0"/>
              <w:keepLines w:val="0"/>
              <w:pageBreakBefore w:val="0"/>
              <w:kinsoku/>
              <w:wordWrap/>
              <w:overflowPunct/>
              <w:topLinePunct w:val="0"/>
              <w:autoSpaceDE/>
              <w:autoSpaceDN/>
              <w:bidi w:val="0"/>
              <w:adjustRightInd/>
              <w:snapToGrid/>
              <w:spacing w:line="500" w:lineRule="exact"/>
              <w:jc w:val="center"/>
              <w:rPr>
                <w:rFonts w:hint="eastAsia" w:ascii="仿宋" w:hAnsi="仿宋" w:eastAsia="仿宋" w:cs="仿宋"/>
                <w:i w:val="0"/>
                <w:iCs w:val="0"/>
                <w:color w:val="000000"/>
                <w:sz w:val="21"/>
                <w:szCs w:val="21"/>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9DE6D">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GB/T23938-2021</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AD6AB">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20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9B725">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315.00</w:t>
            </w:r>
          </w:p>
        </w:tc>
      </w:tr>
      <w:tr w14:paraId="53A3EF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1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665D6">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高纯氮</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4129C">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100.00%</w:t>
            </w:r>
          </w:p>
        </w:tc>
        <w:tc>
          <w:tcPr>
            <w:tcW w:w="13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B6A70">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14±0.5MPa</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E1C17">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40L</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13CD2">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13MPa</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D9F53">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GB/T3864-2008</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F9332">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80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F15FB">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94.50</w:t>
            </w:r>
          </w:p>
        </w:tc>
      </w:tr>
      <w:tr w14:paraId="56449A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1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48551">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液氮</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619E1">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100.00%</w:t>
            </w:r>
          </w:p>
        </w:tc>
        <w:tc>
          <w:tcPr>
            <w:tcW w:w="13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A1F1C">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120±0.5KG</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7D93F">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40L</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E5A23">
            <w:pPr>
              <w:keepNext w:val="0"/>
              <w:keepLines w:val="0"/>
              <w:pageBreakBefore w:val="0"/>
              <w:kinsoku/>
              <w:wordWrap/>
              <w:overflowPunct/>
              <w:topLinePunct w:val="0"/>
              <w:autoSpaceDE/>
              <w:autoSpaceDN/>
              <w:bidi w:val="0"/>
              <w:adjustRightInd/>
              <w:snapToGrid/>
              <w:spacing w:line="500" w:lineRule="exact"/>
              <w:jc w:val="center"/>
              <w:rPr>
                <w:rFonts w:hint="eastAsia" w:ascii="仿宋" w:hAnsi="仿宋" w:eastAsia="仿宋" w:cs="仿宋"/>
                <w:i w:val="0"/>
                <w:iCs w:val="0"/>
                <w:color w:val="000000"/>
                <w:sz w:val="21"/>
                <w:szCs w:val="21"/>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9033F">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GB/T3864-2008</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6050E">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70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2CB30">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399.00</w:t>
            </w:r>
          </w:p>
        </w:tc>
      </w:tr>
      <w:tr w14:paraId="30E49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1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3718E">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纯氩</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96E8E">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99.99%</w:t>
            </w:r>
          </w:p>
        </w:tc>
        <w:tc>
          <w:tcPr>
            <w:tcW w:w="13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7BAC7">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14±0.5MPa</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C67CE">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40L</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88E38">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13MPa</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4C1BD">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GB/T4842-2006</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37D09">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4C231">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69.30</w:t>
            </w:r>
          </w:p>
        </w:tc>
      </w:tr>
      <w:tr w14:paraId="30572D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1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D32CB">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高纯氩</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3DF23">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100.00%</w:t>
            </w:r>
          </w:p>
        </w:tc>
        <w:tc>
          <w:tcPr>
            <w:tcW w:w="13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FF23C">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14±0.5MPa</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ED65D">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40L</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23D50">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13MPa</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DC506">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GB/T4842-2006</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7FE8D">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20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2E9F1">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100.80</w:t>
            </w:r>
          </w:p>
        </w:tc>
      </w:tr>
      <w:tr w14:paraId="3BCF23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1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73EDA">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乙炔</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63A2F">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98%</w:t>
            </w:r>
          </w:p>
        </w:tc>
        <w:tc>
          <w:tcPr>
            <w:tcW w:w="13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39BC4">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5-7KG</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BB41D">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2KG</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18401">
            <w:pPr>
              <w:keepNext w:val="0"/>
              <w:keepLines w:val="0"/>
              <w:pageBreakBefore w:val="0"/>
              <w:kinsoku/>
              <w:wordWrap/>
              <w:overflowPunct/>
              <w:topLinePunct w:val="0"/>
              <w:autoSpaceDE/>
              <w:autoSpaceDN/>
              <w:bidi w:val="0"/>
              <w:adjustRightInd/>
              <w:snapToGrid/>
              <w:spacing w:line="500" w:lineRule="exact"/>
              <w:jc w:val="center"/>
              <w:rPr>
                <w:rFonts w:hint="eastAsia" w:ascii="仿宋" w:hAnsi="仿宋" w:eastAsia="仿宋" w:cs="仿宋"/>
                <w:i w:val="0"/>
                <w:iCs w:val="0"/>
                <w:color w:val="000000"/>
                <w:sz w:val="21"/>
                <w:szCs w:val="21"/>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949F2">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GB6819-2004</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256A2">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20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5F2E5">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70.35</w:t>
            </w:r>
          </w:p>
        </w:tc>
      </w:tr>
      <w:tr w14:paraId="53E3B3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1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F0728">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氦气</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56B75">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99.99%</w:t>
            </w:r>
          </w:p>
        </w:tc>
        <w:tc>
          <w:tcPr>
            <w:tcW w:w="13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F7500">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14±0.5MPa</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41642">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10L</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7A4F4">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13MPa</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35036">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GB/T4842-2017</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5377B">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DD1B9">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840.00</w:t>
            </w:r>
          </w:p>
        </w:tc>
      </w:tr>
      <w:tr w14:paraId="5E39E1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1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0F3B8">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氧气瓶租瓶费</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85700">
            <w:pPr>
              <w:keepNext w:val="0"/>
              <w:keepLines w:val="0"/>
              <w:pageBreakBefore w:val="0"/>
              <w:kinsoku/>
              <w:wordWrap/>
              <w:overflowPunct/>
              <w:topLinePunct w:val="0"/>
              <w:autoSpaceDE/>
              <w:autoSpaceDN/>
              <w:bidi w:val="0"/>
              <w:adjustRightInd/>
              <w:snapToGrid/>
              <w:spacing w:line="500" w:lineRule="exact"/>
              <w:rPr>
                <w:rFonts w:hint="eastAsia" w:ascii="仿宋" w:hAnsi="仿宋" w:eastAsia="仿宋" w:cs="仿宋"/>
                <w:sz w:val="21"/>
                <w:szCs w:val="21"/>
                <w:lang w:val="en-US" w:eastAsia="zh-CN"/>
              </w:rPr>
            </w:pPr>
          </w:p>
        </w:tc>
        <w:tc>
          <w:tcPr>
            <w:tcW w:w="13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282F7">
            <w:pPr>
              <w:keepNext w:val="0"/>
              <w:keepLines w:val="0"/>
              <w:pageBreakBefore w:val="0"/>
              <w:kinsoku/>
              <w:wordWrap/>
              <w:overflowPunct/>
              <w:topLinePunct w:val="0"/>
              <w:autoSpaceDE/>
              <w:autoSpaceDN/>
              <w:bidi w:val="0"/>
              <w:adjustRightInd/>
              <w:snapToGrid/>
              <w:spacing w:line="500" w:lineRule="exact"/>
              <w:rPr>
                <w:rFonts w:hint="eastAsia" w:ascii="仿宋" w:hAnsi="仿宋" w:eastAsia="仿宋" w:cs="仿宋"/>
                <w:sz w:val="21"/>
                <w:szCs w:val="21"/>
                <w:lang w:val="en-US" w:eastAsia="zh-CN"/>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0C3BA">
            <w:pPr>
              <w:keepNext w:val="0"/>
              <w:keepLines w:val="0"/>
              <w:pageBreakBefore w:val="0"/>
              <w:kinsoku/>
              <w:wordWrap/>
              <w:overflowPunct/>
              <w:topLinePunct w:val="0"/>
              <w:autoSpaceDE/>
              <w:autoSpaceDN/>
              <w:bidi w:val="0"/>
              <w:adjustRightInd/>
              <w:snapToGrid/>
              <w:spacing w:line="500" w:lineRule="exact"/>
              <w:rPr>
                <w:rFonts w:hint="eastAsia" w:ascii="仿宋" w:hAnsi="仿宋" w:eastAsia="仿宋" w:cs="仿宋"/>
                <w:sz w:val="21"/>
                <w:szCs w:val="21"/>
                <w:lang w:val="en-US" w:eastAsia="zh-CN"/>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C6668">
            <w:pPr>
              <w:keepNext w:val="0"/>
              <w:keepLines w:val="0"/>
              <w:pageBreakBefore w:val="0"/>
              <w:kinsoku/>
              <w:wordWrap/>
              <w:overflowPunct/>
              <w:topLinePunct w:val="0"/>
              <w:autoSpaceDE/>
              <w:autoSpaceDN/>
              <w:bidi w:val="0"/>
              <w:adjustRightInd/>
              <w:snapToGrid/>
              <w:spacing w:line="500" w:lineRule="exact"/>
              <w:rPr>
                <w:rFonts w:hint="eastAsia" w:ascii="仿宋" w:hAnsi="仿宋" w:eastAsia="仿宋" w:cs="仿宋"/>
                <w:sz w:val="21"/>
                <w:szCs w:val="21"/>
                <w:lang w:val="en-US" w:eastAsia="zh-CN"/>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4302F">
            <w:pPr>
              <w:keepNext w:val="0"/>
              <w:keepLines w:val="0"/>
              <w:pageBreakBefore w:val="0"/>
              <w:kinsoku/>
              <w:wordWrap/>
              <w:overflowPunct/>
              <w:topLinePunct w:val="0"/>
              <w:autoSpaceDE/>
              <w:autoSpaceDN/>
              <w:bidi w:val="0"/>
              <w:adjustRightInd/>
              <w:snapToGrid/>
              <w:spacing w:line="500" w:lineRule="exact"/>
              <w:rPr>
                <w:rFonts w:hint="eastAsia" w:ascii="仿宋" w:hAnsi="仿宋" w:eastAsia="仿宋" w:cs="仿宋"/>
                <w:sz w:val="21"/>
                <w:szCs w:val="21"/>
                <w:lang w:val="en-US" w:eastAsia="zh-CN"/>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133CA">
            <w:pPr>
              <w:keepNext w:val="0"/>
              <w:keepLines w:val="0"/>
              <w:pageBreakBefore w:val="0"/>
              <w:kinsoku/>
              <w:wordWrap/>
              <w:overflowPunct/>
              <w:topLinePunct w:val="0"/>
              <w:autoSpaceDE/>
              <w:autoSpaceDN/>
              <w:bidi w:val="0"/>
              <w:adjustRightInd/>
              <w:snapToGrid/>
              <w:spacing w:line="500" w:lineRule="exact"/>
              <w:rPr>
                <w:rFonts w:hint="eastAsia" w:ascii="仿宋" w:hAnsi="仿宋" w:eastAsia="仿宋" w:cs="仿宋"/>
                <w:sz w:val="21"/>
                <w:szCs w:val="21"/>
                <w:lang w:val="en-US"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3BDB7">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0.60</w:t>
            </w:r>
          </w:p>
        </w:tc>
      </w:tr>
    </w:tbl>
    <w:p w14:paraId="435B6DC2">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right="0" w:firstLine="562" w:firstLineChars="200"/>
        <w:jc w:val="left"/>
        <w:rPr>
          <w:rFonts w:hint="eastAsia" w:ascii="仿宋" w:hAnsi="仿宋" w:eastAsia="仿宋" w:cs="仿宋"/>
          <w:b/>
          <w:i w:val="0"/>
          <w:iCs w:val="0"/>
          <w:caps w:val="0"/>
          <w:strike w:val="0"/>
          <w:color w:val="auto"/>
          <w:spacing w:val="0"/>
          <w:kern w:val="0"/>
          <w:sz w:val="28"/>
          <w:szCs w:val="28"/>
          <w:u w:val="none"/>
          <w:lang w:val="en-US" w:eastAsia="zh-CN" w:bidi="ar"/>
        </w:rPr>
      </w:pPr>
      <w:r>
        <w:rPr>
          <w:rFonts w:hint="eastAsia" w:ascii="仿宋" w:hAnsi="仿宋" w:eastAsia="仿宋" w:cs="仿宋"/>
          <w:b/>
          <w:i w:val="0"/>
          <w:iCs w:val="0"/>
          <w:caps w:val="0"/>
          <w:strike w:val="0"/>
          <w:color w:val="auto"/>
          <w:spacing w:val="0"/>
          <w:kern w:val="0"/>
          <w:sz w:val="28"/>
          <w:szCs w:val="28"/>
          <w:u w:val="none"/>
          <w:lang w:val="en-US" w:eastAsia="zh-CN" w:bidi="ar"/>
        </w:rPr>
        <w:t>三、 投标人特定资格要求​​</w:t>
      </w:r>
    </w:p>
    <w:p w14:paraId="0C08339E">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right="0" w:firstLine="560" w:firstLineChars="200"/>
        <w:jc w:val="left"/>
        <w:rPr>
          <w:rFonts w:hint="eastAsia" w:ascii="仿宋" w:hAnsi="仿宋" w:eastAsia="仿宋" w:cs="仿宋"/>
          <w:b w:val="0"/>
          <w:i w:val="0"/>
          <w:iCs w:val="0"/>
          <w:caps w:val="0"/>
          <w:strike w:val="0"/>
          <w:color w:val="auto"/>
          <w:spacing w:val="0"/>
          <w:kern w:val="0"/>
          <w:sz w:val="28"/>
          <w:szCs w:val="28"/>
          <w:u w:val="none"/>
          <w:lang w:val="en-US" w:eastAsia="zh-CN" w:bidi="ar"/>
        </w:rPr>
      </w:pPr>
      <w:r>
        <w:rPr>
          <w:rFonts w:hint="eastAsia" w:ascii="仿宋" w:hAnsi="仿宋" w:eastAsia="仿宋" w:cs="仿宋"/>
          <w:b w:val="0"/>
          <w:i w:val="0"/>
          <w:iCs w:val="0"/>
          <w:caps w:val="0"/>
          <w:strike w:val="0"/>
          <w:color w:val="auto"/>
          <w:spacing w:val="0"/>
          <w:kern w:val="0"/>
          <w:sz w:val="28"/>
          <w:szCs w:val="28"/>
          <w:u w:val="none"/>
          <w:lang w:val="en-US" w:eastAsia="zh-CN" w:bidi="ar"/>
        </w:rPr>
        <w:t>生产 / 经营资质：​</w:t>
      </w:r>
    </w:p>
    <w:p w14:paraId="274A2E43">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left="0" w:leftChars="0" w:right="0" w:firstLine="560" w:firstLineChars="200"/>
        <w:jc w:val="left"/>
        <w:rPr>
          <w:rFonts w:hint="eastAsia" w:ascii="仿宋" w:hAnsi="仿宋" w:eastAsia="仿宋" w:cs="仿宋"/>
          <w:b w:val="0"/>
          <w:i w:val="0"/>
          <w:iCs w:val="0"/>
          <w:caps w:val="0"/>
          <w:strike w:val="0"/>
          <w:color w:val="auto"/>
          <w:spacing w:val="0"/>
          <w:kern w:val="0"/>
          <w:sz w:val="28"/>
          <w:szCs w:val="28"/>
          <w:u w:val="none"/>
          <w:lang w:val="en-US" w:eastAsia="zh-CN" w:bidi="ar"/>
        </w:rPr>
      </w:pPr>
      <w:r>
        <w:rPr>
          <w:rFonts w:hint="eastAsia" w:ascii="仿宋" w:hAnsi="仿宋" w:eastAsia="仿宋" w:cs="仿宋"/>
          <w:b w:val="0"/>
          <w:i w:val="0"/>
          <w:iCs w:val="0"/>
          <w:caps w:val="0"/>
          <w:strike w:val="0"/>
          <w:color w:val="auto"/>
          <w:spacing w:val="0"/>
          <w:kern w:val="0"/>
          <w:sz w:val="28"/>
          <w:szCs w:val="28"/>
          <w:u w:val="none"/>
          <w:lang w:val="en-US" w:eastAsia="zh-CN" w:bidi="ar"/>
        </w:rPr>
        <w:t>若为制造商：需提供有效的《药品生产许可证》（生产范围包含医用氧或对应特殊气体）、《药品注册批件》（医用氧适用）、《气瓶充装许可证》（充装介质包含投标产品）、《危险化学品安全生产许可证》（涉及危险化学品生产时）。</w:t>
      </w:r>
    </w:p>
    <w:p w14:paraId="3365A5DB">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left="0" w:leftChars="0" w:right="0" w:firstLine="560" w:firstLineChars="200"/>
        <w:jc w:val="left"/>
        <w:rPr>
          <w:rFonts w:hint="eastAsia" w:ascii="仿宋" w:hAnsi="仿宋" w:eastAsia="仿宋" w:cs="仿宋"/>
          <w:b w:val="0"/>
          <w:i w:val="0"/>
          <w:iCs w:val="0"/>
          <w:caps w:val="0"/>
          <w:strike w:val="0"/>
          <w:color w:val="auto"/>
          <w:spacing w:val="0"/>
          <w:kern w:val="0"/>
          <w:sz w:val="28"/>
          <w:szCs w:val="28"/>
          <w:u w:val="none"/>
          <w:lang w:val="en-US" w:eastAsia="zh-CN" w:bidi="ar"/>
        </w:rPr>
      </w:pPr>
      <w:r>
        <w:rPr>
          <w:rFonts w:hint="eastAsia" w:ascii="仿宋" w:hAnsi="仿宋" w:eastAsia="仿宋" w:cs="仿宋"/>
          <w:b w:val="0"/>
          <w:i w:val="0"/>
          <w:iCs w:val="0"/>
          <w:caps w:val="0"/>
          <w:strike w:val="0"/>
          <w:color w:val="auto"/>
          <w:spacing w:val="0"/>
          <w:kern w:val="0"/>
          <w:sz w:val="28"/>
          <w:szCs w:val="28"/>
          <w:u w:val="none"/>
          <w:lang w:val="en-US" w:eastAsia="zh-CN" w:bidi="ar"/>
        </w:rPr>
        <w:t>若为经销商：需提供有效的《药品经营许可证》（经营范围包含医用氧或对应特殊气体）、《危险化学品经营许可证》，同时提供所代理产品制造商的上述全部资质复印件（加盖制造商公章及投标人公章）。​运输资质：投标人自行配送的，需提供《道路运输经营许可证》（许可范围包含危险货物运输，类别覆盖投标气体）；委托第三方配送的，需提供第三方的《道路运输经营许可证》及双方签订的委托配送协议（协议有效期覆盖本项目服务周期）。​​</w:t>
      </w:r>
    </w:p>
    <w:p w14:paraId="31AF41F0">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left="0" w:right="0" w:firstLine="562" w:firstLineChars="200"/>
        <w:jc w:val="left"/>
        <w:rPr>
          <w:rFonts w:hint="eastAsia" w:ascii="仿宋" w:hAnsi="仿宋" w:eastAsia="仿宋" w:cs="仿宋"/>
          <w:b/>
          <w:i w:val="0"/>
          <w:iCs w:val="0"/>
          <w:caps w:val="0"/>
          <w:strike w:val="0"/>
          <w:color w:val="auto"/>
          <w:spacing w:val="0"/>
          <w:kern w:val="0"/>
          <w:sz w:val="28"/>
          <w:szCs w:val="28"/>
          <w:u w:val="none"/>
          <w:lang w:val="en-US" w:eastAsia="zh-CN" w:bidi="ar"/>
        </w:rPr>
      </w:pPr>
      <w:r>
        <w:rPr>
          <w:rFonts w:hint="eastAsia" w:ascii="仿宋" w:hAnsi="仿宋" w:eastAsia="仿宋" w:cs="仿宋"/>
          <w:b/>
          <w:i w:val="0"/>
          <w:iCs w:val="0"/>
          <w:caps w:val="0"/>
          <w:strike w:val="0"/>
          <w:color w:val="auto"/>
          <w:spacing w:val="0"/>
          <w:kern w:val="0"/>
          <w:sz w:val="28"/>
          <w:szCs w:val="28"/>
          <w:u w:val="none"/>
          <w:lang w:val="en-US" w:eastAsia="zh-CN" w:bidi="ar"/>
        </w:rPr>
        <w:t>四、技术要求​</w:t>
      </w:r>
    </w:p>
    <w:p w14:paraId="6224E5D6">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left="0" w:right="0" w:firstLine="562" w:firstLineChars="200"/>
        <w:jc w:val="left"/>
        <w:rPr>
          <w:rFonts w:hint="eastAsia" w:ascii="仿宋" w:hAnsi="仿宋" w:eastAsia="仿宋" w:cs="仿宋"/>
          <w:b/>
          <w:i w:val="0"/>
          <w:iCs w:val="0"/>
          <w:caps w:val="0"/>
          <w:strike w:val="0"/>
          <w:color w:val="auto"/>
          <w:spacing w:val="0"/>
          <w:kern w:val="0"/>
          <w:sz w:val="28"/>
          <w:szCs w:val="28"/>
          <w:u w:val="none"/>
          <w:lang w:val="en-US" w:eastAsia="zh-CN" w:bidi="ar"/>
        </w:rPr>
      </w:pPr>
      <w:r>
        <w:rPr>
          <w:rFonts w:hint="eastAsia" w:ascii="仿宋" w:hAnsi="仿宋" w:eastAsia="仿宋" w:cs="仿宋"/>
          <w:b/>
          <w:i w:val="0"/>
          <w:iCs w:val="0"/>
          <w:caps w:val="0"/>
          <w:strike w:val="0"/>
          <w:color w:val="auto"/>
          <w:spacing w:val="0"/>
          <w:kern w:val="0"/>
          <w:sz w:val="28"/>
          <w:szCs w:val="28"/>
          <w:u w:val="none"/>
          <w:lang w:val="en-US" w:eastAsia="zh-CN" w:bidi="ar"/>
        </w:rPr>
        <w:t>1. 产品质量要求​</w:t>
      </w:r>
    </w:p>
    <w:p w14:paraId="59DB8E94">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left="0" w:leftChars="0" w:right="0" w:firstLine="560" w:firstLineChars="200"/>
        <w:jc w:val="left"/>
        <w:rPr>
          <w:rFonts w:hint="eastAsia" w:ascii="仿宋" w:hAnsi="仿宋" w:eastAsia="仿宋" w:cs="仿宋"/>
          <w:b w:val="0"/>
          <w:i w:val="0"/>
          <w:iCs w:val="0"/>
          <w:caps w:val="0"/>
          <w:strike w:val="0"/>
          <w:color w:val="auto"/>
          <w:spacing w:val="0"/>
          <w:kern w:val="0"/>
          <w:sz w:val="28"/>
          <w:szCs w:val="28"/>
          <w:u w:val="none"/>
          <w:lang w:val="en-US" w:eastAsia="zh-CN" w:bidi="ar"/>
        </w:rPr>
      </w:pPr>
      <w:r>
        <w:rPr>
          <w:rFonts w:hint="eastAsia" w:ascii="仿宋" w:hAnsi="仿宋" w:eastAsia="仿宋" w:cs="仿宋"/>
          <w:b w:val="0"/>
          <w:i w:val="0"/>
          <w:iCs w:val="0"/>
          <w:caps w:val="0"/>
          <w:strike w:val="0"/>
          <w:color w:val="auto"/>
          <w:spacing w:val="0"/>
          <w:kern w:val="0"/>
          <w:sz w:val="28"/>
          <w:szCs w:val="28"/>
          <w:u w:val="none"/>
          <w:lang w:val="en-US" w:eastAsia="zh-CN" w:bidi="ar"/>
        </w:rPr>
        <w:t>所有产品需符合国家现行强制性标准，其中医用瓶氧纯度≥99.5%，特殊气体纯度及杂质含量需满足对应医用级标准，严禁提供工业级气体替代医用级气体。</w:t>
      </w:r>
    </w:p>
    <w:p w14:paraId="1A230B35">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left="0" w:leftChars="0" w:right="0" w:firstLine="560" w:firstLineChars="200"/>
        <w:jc w:val="left"/>
        <w:rPr>
          <w:rFonts w:hint="eastAsia" w:ascii="仿宋" w:hAnsi="仿宋" w:eastAsia="仿宋" w:cs="仿宋"/>
          <w:b w:val="0"/>
          <w:i w:val="0"/>
          <w:iCs w:val="0"/>
          <w:caps w:val="0"/>
          <w:strike w:val="0"/>
          <w:color w:val="auto"/>
          <w:spacing w:val="0"/>
          <w:kern w:val="0"/>
          <w:sz w:val="28"/>
          <w:szCs w:val="28"/>
          <w:u w:val="none"/>
          <w:lang w:val="en-US" w:eastAsia="zh-CN" w:bidi="ar"/>
        </w:rPr>
      </w:pPr>
      <w:r>
        <w:rPr>
          <w:rFonts w:hint="eastAsia" w:ascii="仿宋" w:hAnsi="仿宋" w:eastAsia="仿宋" w:cs="仿宋"/>
          <w:b w:val="0"/>
          <w:i w:val="0"/>
          <w:iCs w:val="0"/>
          <w:caps w:val="0"/>
          <w:strike w:val="0"/>
          <w:color w:val="auto"/>
          <w:spacing w:val="0"/>
          <w:kern w:val="0"/>
          <w:sz w:val="28"/>
          <w:szCs w:val="28"/>
          <w:u w:val="none"/>
          <w:lang w:val="en-US" w:eastAsia="zh-CN" w:bidi="ar"/>
        </w:rPr>
        <w:t xml:space="preserve">产品包装需符合 </w:t>
      </w:r>
      <w:r>
        <w:rPr>
          <w:rFonts w:hint="default" w:ascii="仿宋" w:hAnsi="仿宋" w:eastAsia="仿宋" w:cs="仿宋"/>
          <w:b w:val="0"/>
          <w:i w:val="0"/>
          <w:iCs w:val="0"/>
          <w:caps w:val="0"/>
          <w:strike w:val="0"/>
          <w:color w:val="auto"/>
          <w:spacing w:val="0"/>
          <w:kern w:val="0"/>
          <w:sz w:val="28"/>
          <w:szCs w:val="28"/>
          <w:u w:val="none"/>
          <w:lang w:val="en-US" w:eastAsia="zh-CN" w:bidi="ar"/>
        </w:rPr>
        <w:t>GB/T 5099《钢质无缝气瓶》系列标准、</w:t>
      </w:r>
      <w:r>
        <w:rPr>
          <w:rFonts w:hint="eastAsia" w:ascii="仿宋" w:hAnsi="仿宋" w:eastAsia="仿宋" w:cs="仿宋"/>
          <w:b w:val="0"/>
          <w:i w:val="0"/>
          <w:iCs w:val="0"/>
          <w:caps w:val="0"/>
          <w:strike w:val="0"/>
          <w:color w:val="auto"/>
          <w:spacing w:val="0"/>
          <w:kern w:val="0"/>
          <w:sz w:val="28"/>
          <w:szCs w:val="28"/>
          <w:u w:val="none"/>
          <w:lang w:val="en-US" w:eastAsia="zh-CN" w:bidi="ar"/>
        </w:rPr>
        <w:t>GB 190-2009《危险货物包装标志》要求，气瓶检验有效期自交付日起不少于 6 个月。​</w:t>
      </w:r>
    </w:p>
    <w:p w14:paraId="3A380D41">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left="0" w:right="0" w:firstLine="562" w:firstLineChars="200"/>
        <w:jc w:val="left"/>
        <w:rPr>
          <w:rFonts w:hint="eastAsia" w:ascii="仿宋" w:hAnsi="仿宋" w:eastAsia="仿宋" w:cs="仿宋"/>
          <w:b/>
          <w:i w:val="0"/>
          <w:iCs w:val="0"/>
          <w:caps w:val="0"/>
          <w:strike w:val="0"/>
          <w:color w:val="auto"/>
          <w:spacing w:val="0"/>
          <w:kern w:val="0"/>
          <w:sz w:val="28"/>
          <w:szCs w:val="28"/>
          <w:u w:val="none"/>
          <w:lang w:val="en-US" w:eastAsia="zh-CN" w:bidi="ar"/>
        </w:rPr>
      </w:pPr>
      <w:r>
        <w:rPr>
          <w:rFonts w:hint="eastAsia" w:ascii="仿宋" w:hAnsi="仿宋" w:eastAsia="仿宋" w:cs="仿宋"/>
          <w:b/>
          <w:i w:val="0"/>
          <w:iCs w:val="0"/>
          <w:caps w:val="0"/>
          <w:strike w:val="0"/>
          <w:color w:val="auto"/>
          <w:spacing w:val="0"/>
          <w:kern w:val="0"/>
          <w:sz w:val="28"/>
          <w:szCs w:val="28"/>
          <w:u w:val="none"/>
          <w:lang w:val="en-US" w:eastAsia="zh-CN" w:bidi="ar"/>
        </w:rPr>
        <w:t>2. 供应保障要求​</w:t>
      </w:r>
    </w:p>
    <w:p w14:paraId="5CE4A905">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left="0" w:leftChars="0" w:right="0" w:firstLine="560" w:firstLineChars="200"/>
        <w:jc w:val="left"/>
        <w:rPr>
          <w:rFonts w:hint="eastAsia" w:ascii="仿宋" w:hAnsi="仿宋" w:eastAsia="仿宋" w:cs="仿宋"/>
          <w:b w:val="0"/>
          <w:i w:val="0"/>
          <w:iCs w:val="0"/>
          <w:caps w:val="0"/>
          <w:strike w:val="0"/>
          <w:color w:val="auto"/>
          <w:spacing w:val="0"/>
          <w:kern w:val="0"/>
          <w:sz w:val="28"/>
          <w:szCs w:val="28"/>
          <w:u w:val="none"/>
          <w:lang w:val="en-US" w:eastAsia="zh-CN" w:bidi="ar"/>
        </w:rPr>
      </w:pPr>
      <w:r>
        <w:rPr>
          <w:rFonts w:hint="eastAsia" w:ascii="仿宋" w:hAnsi="仿宋" w:eastAsia="仿宋" w:cs="仿宋"/>
          <w:b w:val="0"/>
          <w:i w:val="0"/>
          <w:iCs w:val="0"/>
          <w:caps w:val="0"/>
          <w:strike w:val="0"/>
          <w:color w:val="auto"/>
          <w:spacing w:val="0"/>
          <w:kern w:val="0"/>
          <w:sz w:val="28"/>
          <w:szCs w:val="28"/>
          <w:u w:val="none"/>
          <w:lang w:val="en-US" w:eastAsia="zh-CN" w:bidi="ar"/>
        </w:rPr>
        <w:t>供应商需在采购人所在城市或周边 30 公里范围内设立仓储点，储备不少于7-15天预估用量的产品，确保突发情况下（如设备故障、极端天气）的应急供应。​</w:t>
      </w:r>
    </w:p>
    <w:p w14:paraId="05785721">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left="0" w:leftChars="0" w:right="0" w:firstLine="560" w:firstLineChars="200"/>
        <w:jc w:val="left"/>
        <w:rPr>
          <w:rFonts w:hint="eastAsia" w:ascii="仿宋" w:hAnsi="仿宋" w:eastAsia="仿宋" w:cs="仿宋"/>
          <w:b w:val="0"/>
          <w:i w:val="0"/>
          <w:iCs w:val="0"/>
          <w:caps w:val="0"/>
          <w:strike w:val="0"/>
          <w:color w:val="auto"/>
          <w:spacing w:val="0"/>
          <w:kern w:val="0"/>
          <w:sz w:val="28"/>
          <w:szCs w:val="28"/>
          <w:u w:val="none"/>
          <w:lang w:val="en-US" w:eastAsia="zh-CN" w:bidi="ar"/>
        </w:rPr>
      </w:pPr>
      <w:r>
        <w:rPr>
          <w:rFonts w:hint="eastAsia" w:ascii="仿宋" w:hAnsi="仿宋" w:eastAsia="仿宋" w:cs="仿宋"/>
          <w:b w:val="0"/>
          <w:i w:val="0"/>
          <w:iCs w:val="0"/>
          <w:caps w:val="0"/>
          <w:strike w:val="0"/>
          <w:color w:val="auto"/>
          <w:spacing w:val="0"/>
          <w:kern w:val="0"/>
          <w:sz w:val="28"/>
          <w:szCs w:val="28"/>
          <w:u w:val="none"/>
          <w:lang w:val="en-US" w:eastAsia="zh-CN" w:bidi="ar"/>
        </w:rPr>
        <w:t>接到采购人送货通知后， 24 小时内送达；若因供应商延迟送达导致采购人医疗工作受影响，每延迟1小时按500元/小时支付违约金。​</w:t>
      </w:r>
    </w:p>
    <w:p w14:paraId="0B8275BA">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left="0" w:right="0" w:firstLine="562" w:firstLineChars="200"/>
        <w:jc w:val="left"/>
        <w:rPr>
          <w:rFonts w:hint="eastAsia" w:ascii="仿宋" w:hAnsi="仿宋" w:eastAsia="仿宋" w:cs="仿宋"/>
          <w:b/>
          <w:i w:val="0"/>
          <w:iCs w:val="0"/>
          <w:caps w:val="0"/>
          <w:strike w:val="0"/>
          <w:color w:val="auto"/>
          <w:spacing w:val="0"/>
          <w:kern w:val="0"/>
          <w:sz w:val="28"/>
          <w:szCs w:val="28"/>
          <w:u w:val="none"/>
          <w:lang w:val="en-US" w:eastAsia="zh-CN" w:bidi="ar"/>
        </w:rPr>
      </w:pPr>
      <w:r>
        <w:rPr>
          <w:rFonts w:hint="eastAsia" w:ascii="仿宋" w:hAnsi="仿宋" w:eastAsia="仿宋" w:cs="仿宋"/>
          <w:b/>
          <w:i w:val="0"/>
          <w:iCs w:val="0"/>
          <w:caps w:val="0"/>
          <w:strike w:val="0"/>
          <w:color w:val="auto"/>
          <w:spacing w:val="0"/>
          <w:kern w:val="0"/>
          <w:sz w:val="28"/>
          <w:szCs w:val="28"/>
          <w:u w:val="none"/>
          <w:lang w:val="en-US" w:eastAsia="zh-CN" w:bidi="ar"/>
        </w:rPr>
        <w:t>3.检验检测要求​</w:t>
      </w:r>
    </w:p>
    <w:p w14:paraId="725CAFA5">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left="0" w:leftChars="0" w:right="0" w:firstLine="560" w:firstLineChars="200"/>
        <w:jc w:val="left"/>
        <w:rPr>
          <w:rFonts w:hint="eastAsia" w:ascii="仿宋" w:hAnsi="仿宋" w:eastAsia="仿宋" w:cs="仿宋"/>
          <w:b w:val="0"/>
          <w:i w:val="0"/>
          <w:iCs w:val="0"/>
          <w:caps w:val="0"/>
          <w:strike w:val="0"/>
          <w:color w:val="auto"/>
          <w:spacing w:val="0"/>
          <w:kern w:val="0"/>
          <w:sz w:val="28"/>
          <w:szCs w:val="28"/>
          <w:u w:val="none"/>
          <w:lang w:val="en-US" w:eastAsia="zh-CN" w:bidi="ar"/>
        </w:rPr>
      </w:pPr>
      <w:r>
        <w:rPr>
          <w:rFonts w:hint="eastAsia" w:ascii="仿宋" w:hAnsi="仿宋" w:eastAsia="仿宋" w:cs="仿宋"/>
          <w:b w:val="0"/>
          <w:i w:val="0"/>
          <w:iCs w:val="0"/>
          <w:caps w:val="0"/>
          <w:strike w:val="0"/>
          <w:color w:val="auto"/>
          <w:spacing w:val="0"/>
          <w:kern w:val="0"/>
          <w:sz w:val="28"/>
          <w:szCs w:val="28"/>
          <w:u w:val="none"/>
          <w:lang w:val="en-US" w:eastAsia="zh-CN" w:bidi="ar"/>
        </w:rPr>
        <w:t>每批产品交付时，供应商需随货提供出厂检验报告（加盖检验专用章），报告内容需包含产品名称、批号、检验项目、结果、标准依据等信息。​</w:t>
      </w:r>
    </w:p>
    <w:p w14:paraId="574A864E">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left="0" w:right="0" w:firstLine="560" w:firstLineChars="200"/>
        <w:jc w:val="left"/>
        <w:rPr>
          <w:rFonts w:hint="eastAsia" w:ascii="仿宋" w:hAnsi="仿宋" w:eastAsia="仿宋" w:cs="仿宋"/>
          <w:b w:val="0"/>
          <w:i w:val="0"/>
          <w:iCs w:val="0"/>
          <w:caps w:val="0"/>
          <w:strike w:val="0"/>
          <w:color w:val="auto"/>
          <w:spacing w:val="0"/>
          <w:kern w:val="0"/>
          <w:sz w:val="28"/>
          <w:szCs w:val="28"/>
          <w:u w:val="none"/>
          <w:lang w:val="en-US" w:eastAsia="zh-CN" w:bidi="ar"/>
        </w:rPr>
      </w:pPr>
      <w:r>
        <w:rPr>
          <w:rFonts w:hint="eastAsia" w:ascii="仿宋" w:hAnsi="仿宋" w:eastAsia="仿宋" w:cs="仿宋"/>
          <w:b w:val="0"/>
          <w:i w:val="0"/>
          <w:iCs w:val="0"/>
          <w:caps w:val="0"/>
          <w:strike w:val="0"/>
          <w:color w:val="auto"/>
          <w:spacing w:val="0"/>
          <w:kern w:val="0"/>
          <w:sz w:val="28"/>
          <w:szCs w:val="28"/>
          <w:u w:val="none"/>
          <w:lang w:val="en-US" w:eastAsia="zh-CN" w:bidi="ar"/>
        </w:rPr>
        <w:t>采购人有权随机抽样送第三方权威检测机构（具有 CMA、CNAS 资质）复检，复检费用由供应商承担；若复检不合格，供应商需在 3 日内无条件退换货，并赔偿采购人因此产生的所有损失（包括但不限于检测费、医疗替代成本等）。</w:t>
      </w:r>
    </w:p>
    <w:p w14:paraId="4E9C72DE">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left="0" w:right="0" w:firstLine="562" w:firstLineChars="200"/>
        <w:jc w:val="left"/>
        <w:rPr>
          <w:rFonts w:hint="eastAsia" w:ascii="仿宋" w:hAnsi="仿宋" w:eastAsia="仿宋" w:cs="仿宋"/>
          <w:b/>
          <w:i w:val="0"/>
          <w:iCs w:val="0"/>
          <w:caps w:val="0"/>
          <w:strike w:val="0"/>
          <w:color w:val="auto"/>
          <w:spacing w:val="0"/>
          <w:kern w:val="0"/>
          <w:sz w:val="28"/>
          <w:szCs w:val="28"/>
          <w:u w:val="none"/>
          <w:lang w:val="en-US" w:eastAsia="zh-CN" w:bidi="ar"/>
        </w:rPr>
      </w:pPr>
      <w:r>
        <w:rPr>
          <w:rFonts w:hint="eastAsia" w:ascii="仿宋" w:hAnsi="仿宋" w:eastAsia="仿宋" w:cs="仿宋"/>
          <w:b/>
          <w:i w:val="0"/>
          <w:iCs w:val="0"/>
          <w:caps w:val="0"/>
          <w:strike w:val="0"/>
          <w:color w:val="auto"/>
          <w:spacing w:val="0"/>
          <w:kern w:val="0"/>
          <w:sz w:val="28"/>
          <w:szCs w:val="28"/>
          <w:u w:val="none"/>
          <w:lang w:val="en-US" w:eastAsia="zh-CN" w:bidi="ar"/>
        </w:rPr>
        <w:t>五、商务要求​</w:t>
      </w:r>
    </w:p>
    <w:p w14:paraId="6660E939">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left="0" w:right="0" w:firstLine="562" w:firstLineChars="200"/>
        <w:jc w:val="left"/>
        <w:rPr>
          <w:rFonts w:hint="eastAsia" w:ascii="仿宋" w:hAnsi="仿宋" w:eastAsia="仿宋" w:cs="仿宋"/>
          <w:b/>
          <w:i w:val="0"/>
          <w:iCs w:val="0"/>
          <w:caps w:val="0"/>
          <w:strike w:val="0"/>
          <w:color w:val="auto"/>
          <w:spacing w:val="0"/>
          <w:kern w:val="0"/>
          <w:sz w:val="28"/>
          <w:szCs w:val="28"/>
          <w:u w:val="none"/>
          <w:lang w:val="en-US" w:eastAsia="zh-CN" w:bidi="ar"/>
        </w:rPr>
      </w:pPr>
      <w:r>
        <w:rPr>
          <w:rFonts w:hint="eastAsia" w:ascii="仿宋" w:hAnsi="仿宋" w:eastAsia="仿宋" w:cs="仿宋"/>
          <w:b/>
          <w:i w:val="0"/>
          <w:iCs w:val="0"/>
          <w:caps w:val="0"/>
          <w:strike w:val="0"/>
          <w:color w:val="auto"/>
          <w:spacing w:val="0"/>
          <w:kern w:val="0"/>
          <w:sz w:val="28"/>
          <w:szCs w:val="28"/>
          <w:u w:val="none"/>
          <w:lang w:val="en-US" w:eastAsia="zh-CN" w:bidi="ar"/>
        </w:rPr>
        <w:t>1.报价要求​</w:t>
      </w:r>
    </w:p>
    <w:p w14:paraId="236E1553">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left="0" w:leftChars="0" w:right="0" w:firstLine="560" w:firstLineChars="200"/>
        <w:jc w:val="left"/>
        <w:rPr>
          <w:rFonts w:hint="eastAsia" w:ascii="仿宋" w:hAnsi="仿宋" w:eastAsia="仿宋" w:cs="仿宋"/>
          <w:b w:val="0"/>
          <w:i w:val="0"/>
          <w:iCs w:val="0"/>
          <w:caps w:val="0"/>
          <w:strike w:val="0"/>
          <w:color w:val="auto"/>
          <w:spacing w:val="0"/>
          <w:kern w:val="0"/>
          <w:sz w:val="28"/>
          <w:szCs w:val="28"/>
          <w:u w:val="none"/>
          <w:lang w:val="en-US" w:eastAsia="zh-CN" w:bidi="ar"/>
        </w:rPr>
      </w:pPr>
      <w:r>
        <w:rPr>
          <w:rFonts w:hint="eastAsia" w:ascii="仿宋" w:hAnsi="仿宋" w:eastAsia="仿宋" w:cs="仿宋"/>
          <w:b w:val="0"/>
          <w:i w:val="0"/>
          <w:iCs w:val="0"/>
          <w:caps w:val="0"/>
          <w:strike w:val="0"/>
          <w:color w:val="auto"/>
          <w:spacing w:val="0"/>
          <w:kern w:val="0"/>
          <w:sz w:val="28"/>
          <w:szCs w:val="28"/>
          <w:u w:val="none"/>
          <w:lang w:val="en-US" w:eastAsia="zh-CN" w:bidi="ar"/>
        </w:rPr>
        <w:t>报价方式：采用固定单价报价，单价包含产品生产成本、包装费、运输费、装卸费、检验费、税费（增值税专用发票）等全部费用，合同履行期间单价不作调整。​​​</w:t>
      </w:r>
    </w:p>
    <w:p w14:paraId="55D4EB7B">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left="0" w:right="0" w:firstLine="562" w:firstLineChars="200"/>
        <w:jc w:val="left"/>
        <w:rPr>
          <w:rFonts w:hint="eastAsia" w:ascii="仿宋" w:hAnsi="仿宋" w:eastAsia="仿宋" w:cs="仿宋"/>
          <w:b/>
          <w:i w:val="0"/>
          <w:iCs w:val="0"/>
          <w:caps w:val="0"/>
          <w:strike w:val="0"/>
          <w:color w:val="auto"/>
          <w:spacing w:val="0"/>
          <w:kern w:val="0"/>
          <w:sz w:val="28"/>
          <w:szCs w:val="28"/>
          <w:u w:val="none"/>
          <w:lang w:val="en-US" w:eastAsia="zh-CN" w:bidi="ar"/>
        </w:rPr>
      </w:pPr>
      <w:r>
        <w:rPr>
          <w:rFonts w:hint="eastAsia" w:ascii="仿宋" w:hAnsi="仿宋" w:eastAsia="仿宋" w:cs="仿宋"/>
          <w:b/>
          <w:i w:val="0"/>
          <w:iCs w:val="0"/>
          <w:caps w:val="0"/>
          <w:strike w:val="0"/>
          <w:color w:val="auto"/>
          <w:spacing w:val="0"/>
          <w:kern w:val="0"/>
          <w:sz w:val="28"/>
          <w:szCs w:val="28"/>
          <w:u w:val="none"/>
          <w:lang w:val="en-US" w:eastAsia="zh-CN" w:bidi="ar"/>
        </w:rPr>
        <w:t>2.售后服务要求​</w:t>
      </w:r>
    </w:p>
    <w:p w14:paraId="64B9AA76">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right="0" w:firstLine="560" w:firstLineChars="200"/>
        <w:jc w:val="left"/>
        <w:rPr>
          <w:rFonts w:hint="eastAsia" w:ascii="仿宋" w:hAnsi="仿宋" w:eastAsia="仿宋" w:cs="仿宋"/>
          <w:b w:val="0"/>
          <w:i w:val="0"/>
          <w:iCs w:val="0"/>
          <w:caps w:val="0"/>
          <w:strike w:val="0"/>
          <w:color w:val="auto"/>
          <w:spacing w:val="0"/>
          <w:kern w:val="0"/>
          <w:sz w:val="28"/>
          <w:szCs w:val="28"/>
          <w:u w:val="none"/>
          <w:lang w:val="en-US" w:eastAsia="zh-CN" w:bidi="ar"/>
        </w:rPr>
      </w:pPr>
      <w:r>
        <w:rPr>
          <w:rFonts w:hint="eastAsia" w:ascii="仿宋_GB2312" w:hAnsi="仿宋_GB2312" w:eastAsia="仿宋_GB2312" w:cs="仿宋_GB2312"/>
          <w:color w:val="auto"/>
          <w:sz w:val="28"/>
          <w:szCs w:val="28"/>
          <w:lang w:val="en-US" w:eastAsia="zh-CN"/>
        </w:rPr>
        <w:t>供应商在质保期内免费提供维修、更换、保养、咨询等服务。如供应商提供的产品在质保期内出现质量问题，供应商应在接到采购人通知（包括电话通知）后1小时内响应，响应后4小时内赶到采购人提供服务，相关费用由供应商承担。如供应商不及时提供服务，采购人有权委托第三方提供维修、更换、保养、咨询等服务，由此产生的相关费用，采购人有权在应付款中扣除、不足部分由供应商另行补足，或要求供应商将第三方提供服务产生的相关费用直接支付给采购人。</w:t>
      </w:r>
    </w:p>
    <w:p w14:paraId="76075375">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left="0" w:leftChars="0" w:right="0" w:firstLine="560" w:firstLineChars="200"/>
        <w:jc w:val="left"/>
        <w:rPr>
          <w:rFonts w:hint="eastAsia" w:ascii="仿宋" w:hAnsi="仿宋" w:eastAsia="仿宋" w:cs="仿宋"/>
          <w:i w:val="0"/>
          <w:iCs w:val="0"/>
          <w:caps w:val="0"/>
          <w:color w:val="1F2329"/>
          <w:spacing w:val="0"/>
          <w:kern w:val="0"/>
          <w:sz w:val="28"/>
          <w:szCs w:val="28"/>
          <w:bdr w:val="single" w:color="auto" w:sz="2" w:space="0"/>
          <w:shd w:val="clear" w:fill="EFF0F1"/>
          <w:lang w:val="en-US" w:eastAsia="zh-CN" w:bidi="ar"/>
        </w:rPr>
      </w:pPr>
      <w:r>
        <w:rPr>
          <w:rFonts w:hint="eastAsia" w:ascii="仿宋" w:hAnsi="仿宋" w:eastAsia="仿宋" w:cs="仿宋"/>
          <w:b w:val="0"/>
          <w:i w:val="0"/>
          <w:iCs w:val="0"/>
          <w:caps w:val="0"/>
          <w:strike w:val="0"/>
          <w:color w:val="auto"/>
          <w:spacing w:val="0"/>
          <w:kern w:val="0"/>
          <w:sz w:val="28"/>
          <w:szCs w:val="28"/>
          <w:u w:val="none"/>
          <w:lang w:val="en-US" w:eastAsia="zh-CN" w:bidi="ar"/>
        </w:rPr>
        <w:t>每季度提供1次免费气瓶维护保养服务，包括气瓶外观检查、阀门密封性检测、防震圈更换等；每年提供2次技术培训，内容涵盖产品安全使用、应急处理、气瓶管理等。</w:t>
      </w:r>
    </w:p>
    <w:p w14:paraId="41EA669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三</w:t>
      </w:r>
      <w:r>
        <w:rPr>
          <w:rFonts w:hint="eastAsia" w:ascii="仿宋_GB2312" w:hAnsi="Times New Roman" w:eastAsia="仿宋_GB2312" w:cs="仿宋_GB2312"/>
          <w:bCs/>
          <w:color w:val="auto"/>
          <w:kern w:val="0"/>
          <w:sz w:val="28"/>
          <w:szCs w:val="28"/>
          <w:lang w:val="en-US" w:eastAsia="zh-CN" w:bidi="ar-SA"/>
        </w:rPr>
        <w:t>、</w:t>
      </w:r>
      <w:r>
        <w:rPr>
          <w:rFonts w:hint="default" w:ascii="仿宋_GB2312" w:hAnsi="Times New Roman" w:eastAsia="仿宋_GB2312" w:cs="仿宋_GB2312"/>
          <w:bCs/>
          <w:color w:val="auto"/>
          <w:kern w:val="0"/>
          <w:sz w:val="28"/>
          <w:szCs w:val="28"/>
          <w:lang w:val="en-US" w:eastAsia="zh-CN" w:bidi="ar-SA"/>
        </w:rPr>
        <w:t>标书要求</w:t>
      </w:r>
    </w:p>
    <w:p w14:paraId="2CC67DB6">
      <w:pPr>
        <w:keepNext w:val="0"/>
        <w:keepLines w:val="0"/>
        <w:pageBreakBefore w:val="0"/>
        <w:kinsoku/>
        <w:wordWrap/>
        <w:overflowPunct/>
        <w:topLinePunct w:val="0"/>
        <w:autoSpaceDE/>
        <w:autoSpaceDN/>
        <w:bidi w:val="0"/>
        <w:adjustRightInd/>
        <w:snapToGrid/>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2199F5FB">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45409F28">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7CA238F1">
      <w:pPr>
        <w:pageBreakBefore w:val="0"/>
        <w:kinsoku/>
        <w:wordWrap/>
        <w:overflowPunct/>
        <w:topLinePunct w:val="0"/>
        <w:bidi w:val="0"/>
        <w:spacing w:line="440" w:lineRule="exact"/>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、投标人认为需提供的其他和评审有关的资料；</w:t>
      </w:r>
    </w:p>
    <w:p w14:paraId="0572E21A">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、投标文件的每一页都必须加盖投标单位的公章；</w:t>
      </w:r>
    </w:p>
    <w:p w14:paraId="0ADCA157">
      <w:pPr>
        <w:pStyle w:val="10"/>
        <w:pageBreakBefore w:val="0"/>
        <w:kinsoku/>
        <w:wordWrap/>
        <w:overflowPunct/>
        <w:topLinePunct w:val="0"/>
        <w:bidi w:val="0"/>
        <w:spacing w:line="440" w:lineRule="exact"/>
        <w:ind w:left="0" w:leftChars="0"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6、投标文件一正一副，均需加盖公章；</w:t>
      </w:r>
    </w:p>
    <w:p w14:paraId="7AA24E65">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7、投标文件参数响应表中必须标注响应项佐证材料所对应页面。</w:t>
      </w:r>
    </w:p>
    <w:p w14:paraId="6844EC8E">
      <w:pPr>
        <w:pageBreakBefore w:val="0"/>
        <w:kinsoku/>
        <w:wordWrap/>
        <w:overflowPunct/>
        <w:topLinePunct w:val="0"/>
        <w:bidi w:val="0"/>
        <w:spacing w:line="440" w:lineRule="exact"/>
        <w:ind w:firstLine="560" w:firstLineChars="200"/>
        <w:textAlignment w:val="auto"/>
        <w:rPr>
          <w:rFonts w:hint="default"/>
          <w:color w:val="auto"/>
          <w:lang w:val="en-US" w:eastAsia="zh-CN"/>
        </w:rPr>
      </w:pPr>
      <w:r>
        <w:rPr>
          <w:rFonts w:hint="eastAsia" w:ascii="仿宋_GB2312" w:hAnsi="Times New Roman" w:eastAsia="仿宋_GB2312" w:cs="仿宋_GB2312"/>
          <w:bCs/>
          <w:color w:val="auto"/>
          <w:kern w:val="0"/>
          <w:sz w:val="28"/>
          <w:szCs w:val="28"/>
          <w:lang w:val="en-US" w:eastAsia="zh-CN" w:bidi="ar-SA"/>
        </w:rPr>
        <w:t>8、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5CEC1E4F">
      <w:pPr>
        <w:pStyle w:val="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420" w:leftChars="0"/>
        <w:jc w:val="both"/>
        <w:textAlignment w:val="auto"/>
        <w:rPr>
          <w:rFonts w:hint="eastAsia" w:ascii="仿宋" w:hAnsi="仿宋" w:eastAsia="仿宋" w:cs="仿宋"/>
          <w:b w:val="0"/>
          <w:bCs/>
          <w:color w:val="auto"/>
          <w:sz w:val="28"/>
          <w:szCs w:val="28"/>
        </w:rPr>
      </w:pPr>
      <w:r>
        <w:rPr>
          <w:rFonts w:hint="eastAsia" w:ascii="仿宋_GB2312" w:eastAsia="仿宋_GB2312" w:cs="仿宋_GB2312"/>
          <w:bCs/>
          <w:color w:val="auto"/>
          <w:kern w:val="0"/>
          <w:sz w:val="28"/>
          <w:szCs w:val="28"/>
          <w:lang w:val="en-US" w:eastAsia="zh-CN" w:bidi="ar-SA"/>
        </w:rPr>
        <w:t>四、合同</w:t>
      </w:r>
      <w:r>
        <w:rPr>
          <w:rFonts w:hint="eastAsia" w:ascii="仿宋" w:hAnsi="仿宋" w:eastAsia="仿宋" w:cs="仿宋"/>
          <w:b w:val="0"/>
          <w:bCs/>
          <w:color w:val="auto"/>
          <w:sz w:val="28"/>
          <w:szCs w:val="28"/>
        </w:rPr>
        <w:t xml:space="preserve"> </w:t>
      </w:r>
    </w:p>
    <w:p w14:paraId="3CF617B6">
      <w:pPr>
        <w:pStyle w:val="2"/>
        <w:keepNext w:val="0"/>
        <w:keepLines w:val="0"/>
        <w:pageBreakBefore w:val="0"/>
        <w:widowControl w:val="0"/>
        <w:kinsoku/>
        <w:wordWrap/>
        <w:overflowPunct/>
        <w:topLinePunct w:val="0"/>
        <w:autoSpaceDE/>
        <w:autoSpaceDN/>
        <w:bidi w:val="0"/>
        <w:adjustRightInd/>
        <w:snapToGrid/>
        <w:spacing w:before="0" w:beforeLines="0" w:after="0" w:afterLines="0" w:line="480" w:lineRule="exact"/>
        <w:jc w:val="both"/>
        <w:textAlignment w:val="auto"/>
        <w:rPr>
          <w:rFonts w:hint="eastAsia" w:asciiTheme="minorEastAsia" w:hAnsiTheme="minorEastAsia" w:eastAsiaTheme="minorEastAsia" w:cstheme="minorEastAsia"/>
          <w:b w:val="0"/>
          <w:bCs/>
          <w:color w:val="auto"/>
          <w:sz w:val="28"/>
          <w:szCs w:val="28"/>
          <w:lang w:val="en-US" w:eastAsia="zh-CN"/>
        </w:rPr>
      </w:pPr>
      <w:bookmarkStart w:id="1" w:name="OLE_LINK2"/>
      <w:r>
        <w:rPr>
          <w:rFonts w:hint="eastAsia" w:ascii="仿宋_GB2312" w:hAnsi="仿宋_GB2312" w:eastAsia="仿宋_GB2312" w:cs="仿宋_GB2312"/>
          <w:b w:val="0"/>
          <w:color w:val="auto"/>
          <w:kern w:val="2"/>
          <w:sz w:val="28"/>
          <w:szCs w:val="28"/>
          <w:lang w:val="en-US" w:eastAsia="zh-CN" w:bidi="ar-SA"/>
        </w:rPr>
        <w:t xml:space="preserve">                                     合同编号：</w:t>
      </w:r>
    </w:p>
    <w:p w14:paraId="0C8FC4D1">
      <w:pPr>
        <w:pStyle w:val="2"/>
        <w:keepNext w:val="0"/>
        <w:keepLines w:val="0"/>
        <w:pageBreakBefore w:val="0"/>
        <w:widowControl w:val="0"/>
        <w:kinsoku/>
        <w:wordWrap/>
        <w:overflowPunct/>
        <w:topLinePunct w:val="0"/>
        <w:autoSpaceDE/>
        <w:autoSpaceDN/>
        <w:bidi w:val="0"/>
        <w:adjustRightInd/>
        <w:snapToGrid/>
        <w:spacing w:before="0" w:beforeLines="0" w:after="0" w:afterLines="0" w:line="480" w:lineRule="exact"/>
        <w:jc w:val="center"/>
        <w:textAlignment w:val="auto"/>
        <w:rPr>
          <w:rFonts w:hint="eastAsia" w:ascii="宋体" w:hAnsi="宋体" w:eastAsia="宋体" w:cs="宋体"/>
          <w:b/>
          <w:bCs w:val="0"/>
          <w:color w:val="auto"/>
          <w:sz w:val="32"/>
          <w:szCs w:val="32"/>
        </w:rPr>
      </w:pPr>
      <w:r>
        <w:rPr>
          <w:rFonts w:hint="eastAsia" w:ascii="宋体" w:hAnsi="宋体" w:eastAsia="宋体" w:cs="宋体"/>
          <w:b/>
          <w:bCs w:val="0"/>
          <w:sz w:val="32"/>
          <w:szCs w:val="32"/>
          <w:lang w:val="en-US" w:eastAsia="zh-CN"/>
        </w:rPr>
        <w:t>娄底市中心医院（娄底医院）医用瓶氧</w:t>
      </w:r>
      <w:r>
        <w:rPr>
          <w:rFonts w:hint="eastAsia" w:ascii="宋体" w:hAnsi="宋体" w:eastAsia="宋体" w:cs="宋体"/>
          <w:b/>
          <w:bCs w:val="0"/>
          <w:color w:val="auto"/>
          <w:sz w:val="32"/>
          <w:szCs w:val="32"/>
        </w:rPr>
        <w:t>、特殊气体</w:t>
      </w:r>
      <w:r>
        <w:rPr>
          <w:rFonts w:hint="eastAsia" w:ascii="宋体" w:hAnsi="宋体" w:eastAsia="宋体" w:cs="宋体"/>
          <w:b/>
          <w:bCs w:val="0"/>
          <w:color w:val="auto"/>
          <w:sz w:val="32"/>
          <w:szCs w:val="32"/>
          <w:lang w:val="en-US" w:eastAsia="zh-CN"/>
        </w:rPr>
        <w:t>采购</w:t>
      </w:r>
      <w:r>
        <w:rPr>
          <w:rFonts w:hint="eastAsia" w:ascii="宋体" w:hAnsi="宋体" w:eastAsia="宋体" w:cs="宋体"/>
          <w:b/>
          <w:bCs w:val="0"/>
          <w:color w:val="auto"/>
          <w:sz w:val="32"/>
          <w:szCs w:val="32"/>
        </w:rPr>
        <w:t>合同</w:t>
      </w:r>
    </w:p>
    <w:p w14:paraId="7D274887">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color w:val="auto"/>
        </w:rPr>
      </w:pPr>
    </w:p>
    <w:p w14:paraId="5D4CB50E">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甲方（采购方）：娄底市中心医院</w:t>
      </w:r>
    </w:p>
    <w:p w14:paraId="307E5C62">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法定代表人：杨吉军</w:t>
      </w:r>
    </w:p>
    <w:p w14:paraId="4849397C">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统一社会信用代码：12431300447162073W</w:t>
      </w:r>
    </w:p>
    <w:p w14:paraId="6D6F8FA5">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地址：湖南省娄底市娄星区长青中街51号</w:t>
      </w:r>
    </w:p>
    <w:p w14:paraId="0A710C42">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联系人：</w:t>
      </w:r>
    </w:p>
    <w:p w14:paraId="7FFB7BC9">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联系电话：</w:t>
      </w:r>
    </w:p>
    <w:p w14:paraId="7338B486">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乙方（供货方）：</w:t>
      </w:r>
    </w:p>
    <w:p w14:paraId="687F7288">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法定代表人：</w:t>
      </w:r>
    </w:p>
    <w:p w14:paraId="2A2BC9DE">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统一社会信用代码：</w:t>
      </w:r>
    </w:p>
    <w:p w14:paraId="6F9A74FC">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地址：</w:t>
      </w:r>
    </w:p>
    <w:p w14:paraId="6D401EA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联系人：</w:t>
      </w:r>
    </w:p>
    <w:p w14:paraId="7042C272">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联系电话：</w:t>
      </w:r>
    </w:p>
    <w:p w14:paraId="70A99573">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甲方通过（□公开招标☑医院公开挂网□医院院内议价□湖南政府采购电子卖场竞价）方式采购</w:t>
      </w:r>
      <w:r>
        <w:rPr>
          <w:rFonts w:hint="eastAsia" w:ascii="仿宋" w:hAnsi="仿宋" w:eastAsia="仿宋" w:cs="仿宋"/>
          <w:color w:val="auto"/>
          <w:sz w:val="28"/>
          <w:szCs w:val="28"/>
          <w:u w:val="single"/>
          <w:lang w:val="en-US" w:eastAsia="zh-CN"/>
        </w:rPr>
        <w:t xml:space="preserve"> 医用瓶氧、特殊气体 </w:t>
      </w:r>
      <w:r>
        <w:rPr>
          <w:rFonts w:hint="eastAsia" w:ascii="仿宋" w:hAnsi="仿宋" w:eastAsia="仿宋" w:cs="仿宋"/>
          <w:color w:val="auto"/>
          <w:sz w:val="28"/>
          <w:szCs w:val="28"/>
          <w:lang w:val="en-US" w:eastAsia="zh-CN"/>
        </w:rPr>
        <w:t>，乙方为中标/中选供应商，项目编号：</w:t>
      </w:r>
      <w:r>
        <w:rPr>
          <w:rFonts w:hint="eastAsia" w:ascii="仿宋" w:hAnsi="仿宋" w:eastAsia="仿宋" w:cs="仿宋"/>
          <w:color w:val="auto"/>
          <w:sz w:val="28"/>
          <w:szCs w:val="28"/>
          <w:u w:val="single"/>
          <w:lang w:val="en-US" w:eastAsia="zh-CN"/>
        </w:rPr>
        <w:t xml:space="preserve"> / </w:t>
      </w:r>
      <w:r>
        <w:rPr>
          <w:rFonts w:hint="eastAsia" w:ascii="仿宋" w:hAnsi="仿宋" w:eastAsia="仿宋" w:cs="仿宋"/>
          <w:color w:val="auto"/>
          <w:sz w:val="28"/>
          <w:szCs w:val="28"/>
          <w:lang w:val="en-US" w:eastAsia="zh-CN"/>
        </w:rPr>
        <w:t>。根据《中华人民共和国民法典》《中华人民共和国政府采购法》等相关法律规定，甲乙双方在采购项目确定的基础上，就采购</w:t>
      </w:r>
      <w:r>
        <w:rPr>
          <w:rFonts w:hint="eastAsia" w:ascii="仿宋" w:hAnsi="仿宋" w:eastAsia="仿宋" w:cs="仿宋"/>
          <w:color w:val="auto"/>
          <w:sz w:val="28"/>
          <w:szCs w:val="28"/>
          <w:u w:val="single"/>
          <w:lang w:val="en-US" w:eastAsia="zh-CN"/>
        </w:rPr>
        <w:t xml:space="preserve"> 医用瓶氧、特殊气体 </w:t>
      </w:r>
      <w:r>
        <w:rPr>
          <w:rFonts w:hint="eastAsia" w:ascii="仿宋" w:hAnsi="仿宋" w:eastAsia="仿宋" w:cs="仿宋"/>
          <w:color w:val="auto"/>
          <w:sz w:val="28"/>
          <w:szCs w:val="28"/>
          <w:lang w:val="en-US" w:eastAsia="zh-CN"/>
        </w:rPr>
        <w:t>相关事宜平等、自愿、公平、诚信协商，达成一致，特订立本合同，以资共同遵守。</w:t>
      </w:r>
    </w:p>
    <w:p w14:paraId="036B3222">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sz w:val="28"/>
          <w:szCs w:val="28"/>
          <w:lang w:val="en-US" w:eastAsia="zh-CN"/>
        </w:rPr>
        <w:t>第一条 采购内容</w:t>
      </w:r>
    </w:p>
    <w:p w14:paraId="46A2A3A7">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1.1 </w:t>
      </w:r>
      <w:r>
        <w:rPr>
          <w:rFonts w:hint="eastAsia" w:ascii="仿宋_GB2312" w:hAnsi="仿宋_GB2312" w:eastAsia="仿宋_GB2312" w:cs="仿宋_GB2312"/>
          <w:color w:val="auto"/>
          <w:sz w:val="28"/>
          <w:szCs w:val="28"/>
        </w:rPr>
        <w:t>产品名称、钢瓶规格、单价</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数量</w:t>
      </w:r>
    </w:p>
    <w:tbl>
      <w:tblPr>
        <w:tblStyle w:val="11"/>
        <w:tblW w:w="8893" w:type="dxa"/>
        <w:tblInd w:w="-43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33"/>
        <w:gridCol w:w="953"/>
        <w:gridCol w:w="1361"/>
        <w:gridCol w:w="1061"/>
        <w:gridCol w:w="1403"/>
        <w:gridCol w:w="1736"/>
        <w:gridCol w:w="846"/>
      </w:tblGrid>
      <w:tr w14:paraId="10D79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5FDC9">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名称</w:t>
            </w: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A67FB">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≥纯度</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8668A">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压力或公斤</w:t>
            </w:r>
          </w:p>
        </w:tc>
        <w:tc>
          <w:tcPr>
            <w:tcW w:w="1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84952">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容量</w:t>
            </w: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9C8F2">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冷却后压力</w:t>
            </w:r>
          </w:p>
        </w:tc>
        <w:tc>
          <w:tcPr>
            <w:tcW w:w="1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3485F">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国家标准</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54410">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单价（元）</w:t>
            </w:r>
          </w:p>
        </w:tc>
      </w:tr>
      <w:tr w14:paraId="0A857D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DA037">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医用氧（大瓶）</w:t>
            </w: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4BA78">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99.50%</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3C709">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14±0.5MPa</w:t>
            </w:r>
          </w:p>
        </w:tc>
        <w:tc>
          <w:tcPr>
            <w:tcW w:w="1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65A80">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40L</w:t>
            </w: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FB6A4">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13MPa</w:t>
            </w:r>
          </w:p>
        </w:tc>
        <w:tc>
          <w:tcPr>
            <w:tcW w:w="1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2BBB4">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GB8982-2009</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7A84B">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544E7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BDBF0">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医用氧（小瓶）</w:t>
            </w: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87616">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99.50%</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53D5E">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14±0.5MPa</w:t>
            </w:r>
          </w:p>
        </w:tc>
        <w:tc>
          <w:tcPr>
            <w:tcW w:w="1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C0A51">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10L</w:t>
            </w: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3E985">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13MPa</w:t>
            </w:r>
          </w:p>
        </w:tc>
        <w:tc>
          <w:tcPr>
            <w:tcW w:w="1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D245A">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GB8982-2009</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03A5A">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8BEC5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4FCFB">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二氧化碳</w:t>
            </w: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61E38">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99.50%</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4CEF4">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17±0.5KG</w:t>
            </w:r>
          </w:p>
        </w:tc>
        <w:tc>
          <w:tcPr>
            <w:tcW w:w="1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E821B">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40L、18KG</w:t>
            </w: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D7039">
            <w:pPr>
              <w:keepNext w:val="0"/>
              <w:keepLines w:val="0"/>
              <w:pageBreakBefore w:val="0"/>
              <w:kinsoku/>
              <w:wordWrap/>
              <w:overflowPunct/>
              <w:topLinePunct w:val="0"/>
              <w:autoSpaceDE/>
              <w:autoSpaceDN/>
              <w:bidi w:val="0"/>
              <w:adjustRightInd/>
              <w:snapToGrid/>
              <w:spacing w:line="500" w:lineRule="exact"/>
              <w:jc w:val="center"/>
              <w:rPr>
                <w:rFonts w:hint="eastAsia" w:ascii="仿宋" w:hAnsi="仿宋" w:eastAsia="仿宋" w:cs="仿宋"/>
                <w:i w:val="0"/>
                <w:iCs w:val="0"/>
                <w:color w:val="000000"/>
                <w:sz w:val="21"/>
                <w:szCs w:val="21"/>
                <w:u w:val="none"/>
              </w:rPr>
            </w:pPr>
          </w:p>
        </w:tc>
        <w:tc>
          <w:tcPr>
            <w:tcW w:w="1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58B39">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GB/T23938-2021</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ED691">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仿宋" w:hAnsi="仿宋" w:eastAsia="仿宋" w:cs="仿宋"/>
                <w:i w:val="0"/>
                <w:iCs w:val="0"/>
                <w:color w:val="000000"/>
                <w:kern w:val="0"/>
                <w:sz w:val="21"/>
                <w:szCs w:val="21"/>
                <w:u w:val="none"/>
                <w:lang w:val="en-US" w:eastAsia="zh-CN" w:bidi="ar"/>
              </w:rPr>
            </w:pPr>
          </w:p>
        </w:tc>
      </w:tr>
      <w:tr w14:paraId="17874E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6C871">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高纯二氧化碳</w:t>
            </w: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39714">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99.99%</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358CF">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17±0.5KG</w:t>
            </w:r>
          </w:p>
        </w:tc>
        <w:tc>
          <w:tcPr>
            <w:tcW w:w="1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C72F5">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40L、18KG</w:t>
            </w: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67FA9">
            <w:pPr>
              <w:keepNext w:val="0"/>
              <w:keepLines w:val="0"/>
              <w:pageBreakBefore w:val="0"/>
              <w:kinsoku/>
              <w:wordWrap/>
              <w:overflowPunct/>
              <w:topLinePunct w:val="0"/>
              <w:autoSpaceDE/>
              <w:autoSpaceDN/>
              <w:bidi w:val="0"/>
              <w:adjustRightInd/>
              <w:snapToGrid/>
              <w:spacing w:line="500" w:lineRule="exact"/>
              <w:jc w:val="center"/>
              <w:rPr>
                <w:rFonts w:hint="eastAsia" w:ascii="仿宋" w:hAnsi="仿宋" w:eastAsia="仿宋" w:cs="仿宋"/>
                <w:i w:val="0"/>
                <w:iCs w:val="0"/>
                <w:color w:val="000000"/>
                <w:sz w:val="21"/>
                <w:szCs w:val="21"/>
                <w:u w:val="none"/>
              </w:rPr>
            </w:pPr>
          </w:p>
        </w:tc>
        <w:tc>
          <w:tcPr>
            <w:tcW w:w="1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5BA59">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GB/T23938-2021</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6E57B">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76DC4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65E1F">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高纯氮</w:t>
            </w: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2FF85">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100.00%</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47C05">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14±0.5MPa</w:t>
            </w:r>
          </w:p>
        </w:tc>
        <w:tc>
          <w:tcPr>
            <w:tcW w:w="1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842C7">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40L</w:t>
            </w: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85F86">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13MPa</w:t>
            </w:r>
          </w:p>
        </w:tc>
        <w:tc>
          <w:tcPr>
            <w:tcW w:w="1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2A4DE">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GB/T3864-2008</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CB9DF">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558C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F9550">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液氮</w:t>
            </w: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BD989">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100.00%</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B9EB7">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120±0.5KG</w:t>
            </w:r>
          </w:p>
        </w:tc>
        <w:tc>
          <w:tcPr>
            <w:tcW w:w="1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B2741">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40L</w:t>
            </w: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AB43B">
            <w:pPr>
              <w:keepNext w:val="0"/>
              <w:keepLines w:val="0"/>
              <w:pageBreakBefore w:val="0"/>
              <w:kinsoku/>
              <w:wordWrap/>
              <w:overflowPunct/>
              <w:topLinePunct w:val="0"/>
              <w:autoSpaceDE/>
              <w:autoSpaceDN/>
              <w:bidi w:val="0"/>
              <w:adjustRightInd/>
              <w:snapToGrid/>
              <w:spacing w:line="500" w:lineRule="exact"/>
              <w:jc w:val="center"/>
              <w:rPr>
                <w:rFonts w:hint="eastAsia" w:ascii="仿宋" w:hAnsi="仿宋" w:eastAsia="仿宋" w:cs="仿宋"/>
                <w:i w:val="0"/>
                <w:iCs w:val="0"/>
                <w:color w:val="000000"/>
                <w:sz w:val="21"/>
                <w:szCs w:val="21"/>
                <w:u w:val="none"/>
              </w:rPr>
            </w:pPr>
          </w:p>
        </w:tc>
        <w:tc>
          <w:tcPr>
            <w:tcW w:w="1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62C85">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GB/T3864-2008</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29FF7">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0B5FD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906C3">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纯氩</w:t>
            </w: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D4A72">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99.99%</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AF39D">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14±0.5MPa</w:t>
            </w:r>
          </w:p>
        </w:tc>
        <w:tc>
          <w:tcPr>
            <w:tcW w:w="1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16663">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40L</w:t>
            </w: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F3886">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13MPa</w:t>
            </w:r>
          </w:p>
        </w:tc>
        <w:tc>
          <w:tcPr>
            <w:tcW w:w="1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A29D5">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GB/T4842-2006</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97195">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769A6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FE3C7">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高纯氩</w:t>
            </w: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51B27">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100.00%</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6E325">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14±0.5MPa</w:t>
            </w:r>
          </w:p>
        </w:tc>
        <w:tc>
          <w:tcPr>
            <w:tcW w:w="1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62553">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40L</w:t>
            </w: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573BF">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13MPa</w:t>
            </w:r>
          </w:p>
        </w:tc>
        <w:tc>
          <w:tcPr>
            <w:tcW w:w="1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3A1E8">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GB/T4842-2006</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9FB22">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仿宋" w:hAnsi="仿宋" w:eastAsia="仿宋" w:cs="仿宋"/>
                <w:i w:val="0"/>
                <w:iCs w:val="0"/>
                <w:color w:val="000000"/>
                <w:kern w:val="0"/>
                <w:sz w:val="21"/>
                <w:szCs w:val="21"/>
                <w:u w:val="none"/>
                <w:lang w:val="en-US" w:eastAsia="zh-CN" w:bidi="ar"/>
              </w:rPr>
            </w:pPr>
          </w:p>
        </w:tc>
      </w:tr>
      <w:tr w14:paraId="27CCD2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56C88">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乙炔</w:t>
            </w: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2B051">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98%</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43554">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5-7KG</w:t>
            </w:r>
          </w:p>
        </w:tc>
        <w:tc>
          <w:tcPr>
            <w:tcW w:w="1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D4649">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2KG</w:t>
            </w: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3D150">
            <w:pPr>
              <w:keepNext w:val="0"/>
              <w:keepLines w:val="0"/>
              <w:pageBreakBefore w:val="0"/>
              <w:kinsoku/>
              <w:wordWrap/>
              <w:overflowPunct/>
              <w:topLinePunct w:val="0"/>
              <w:autoSpaceDE/>
              <w:autoSpaceDN/>
              <w:bidi w:val="0"/>
              <w:adjustRightInd/>
              <w:snapToGrid/>
              <w:spacing w:line="500" w:lineRule="exact"/>
              <w:jc w:val="center"/>
              <w:rPr>
                <w:rFonts w:hint="eastAsia" w:ascii="仿宋" w:hAnsi="仿宋" w:eastAsia="仿宋" w:cs="仿宋"/>
                <w:i w:val="0"/>
                <w:iCs w:val="0"/>
                <w:color w:val="000000"/>
                <w:sz w:val="21"/>
                <w:szCs w:val="21"/>
                <w:u w:val="none"/>
              </w:rPr>
            </w:pPr>
          </w:p>
        </w:tc>
        <w:tc>
          <w:tcPr>
            <w:tcW w:w="1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717A6">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GB6819-2004</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80FD7">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仿宋" w:hAnsi="仿宋" w:eastAsia="仿宋" w:cs="仿宋"/>
                <w:i w:val="0"/>
                <w:iCs w:val="0"/>
                <w:color w:val="000000"/>
                <w:kern w:val="0"/>
                <w:sz w:val="21"/>
                <w:szCs w:val="21"/>
                <w:u w:val="none"/>
                <w:lang w:val="en-US" w:eastAsia="zh-CN" w:bidi="ar"/>
              </w:rPr>
            </w:pPr>
          </w:p>
        </w:tc>
      </w:tr>
      <w:tr w14:paraId="52B243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58014">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氦气</w:t>
            </w: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91035">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99.99%</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534A0">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14±0.5MPa</w:t>
            </w:r>
          </w:p>
        </w:tc>
        <w:tc>
          <w:tcPr>
            <w:tcW w:w="1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B24E8">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10L</w:t>
            </w: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B4B5C">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13MPa</w:t>
            </w:r>
          </w:p>
        </w:tc>
        <w:tc>
          <w:tcPr>
            <w:tcW w:w="1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92406">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GB/T4842-2017</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BE290">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69529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E7211">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氧气瓶租瓶费</w:t>
            </w:r>
          </w:p>
        </w:tc>
        <w:tc>
          <w:tcPr>
            <w:tcW w:w="7360"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C2E44">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0.60元/个/天</w:t>
            </w:r>
          </w:p>
        </w:tc>
      </w:tr>
    </w:tbl>
    <w:p w14:paraId="43C2926A">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 xml:space="preserve">1.2 </w:t>
      </w:r>
      <w:r>
        <w:rPr>
          <w:rFonts w:hint="eastAsia" w:ascii="仿宋_GB2312" w:hAnsi="仿宋_GB2312" w:eastAsia="仿宋_GB2312" w:cs="仿宋_GB2312"/>
          <w:color w:val="auto"/>
          <w:sz w:val="28"/>
          <w:szCs w:val="28"/>
        </w:rPr>
        <w:t>数量：以甲方</w:t>
      </w:r>
      <w:r>
        <w:rPr>
          <w:rFonts w:hint="eastAsia" w:ascii="仿宋_GB2312" w:hAnsi="仿宋_GB2312" w:eastAsia="仿宋_GB2312" w:cs="仿宋_GB2312"/>
          <w:color w:val="auto"/>
          <w:sz w:val="28"/>
          <w:szCs w:val="28"/>
          <w:lang w:val="en-US" w:eastAsia="zh-CN"/>
        </w:rPr>
        <w:t>向乙方出具的收货凭据所记载的数量</w:t>
      </w:r>
      <w:r>
        <w:rPr>
          <w:rFonts w:hint="eastAsia" w:ascii="仿宋_GB2312" w:hAnsi="仿宋_GB2312" w:eastAsia="仿宋_GB2312" w:cs="仿宋_GB2312"/>
          <w:color w:val="auto"/>
          <w:sz w:val="28"/>
          <w:szCs w:val="28"/>
        </w:rPr>
        <w:t>为准</w:t>
      </w:r>
      <w:r>
        <w:rPr>
          <w:rFonts w:hint="eastAsia" w:ascii="仿宋_GB2312" w:hAnsi="仿宋_GB2312" w:eastAsia="仿宋_GB2312" w:cs="仿宋_GB2312"/>
          <w:color w:val="auto"/>
          <w:sz w:val="28"/>
          <w:szCs w:val="28"/>
          <w:lang w:eastAsia="zh-CN"/>
        </w:rPr>
        <w:t>。</w:t>
      </w:r>
    </w:p>
    <w:p w14:paraId="1FAF97AB">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1.3 本合同约定单价为固定价格，不因物价、市场波动变更，约定价格包括且不限于设计费、材料费、人工费、安装费、包装费、运输费、装卸费、调试费、</w:t>
      </w:r>
      <w:r>
        <w:rPr>
          <w:rFonts w:hint="eastAsia" w:ascii="仿宋_GB2312" w:hAnsi="仿宋_GB2312" w:eastAsia="仿宋_GB2312" w:cs="仿宋_GB2312"/>
          <w:color w:val="auto"/>
          <w:sz w:val="28"/>
          <w:szCs w:val="28"/>
        </w:rPr>
        <w:t>钢瓶</w:t>
      </w:r>
      <w:r>
        <w:rPr>
          <w:rFonts w:hint="eastAsia" w:ascii="仿宋_GB2312" w:hAnsi="仿宋_GB2312" w:eastAsia="仿宋_GB2312" w:cs="仿宋_GB2312"/>
          <w:color w:val="auto"/>
          <w:sz w:val="28"/>
          <w:szCs w:val="28"/>
          <w:lang w:eastAsia="zh-CN"/>
        </w:rPr>
        <w:t>维护费</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检测费、检验费、税费、保险费、售后服务费、附随服务费等在内所有费用。</w:t>
      </w:r>
    </w:p>
    <w:p w14:paraId="29E19574">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1.4 </w:t>
      </w:r>
      <w:r>
        <w:rPr>
          <w:rFonts w:hint="eastAsia" w:ascii="仿宋_GB2312" w:hAnsi="仿宋_GB2312" w:eastAsia="仿宋_GB2312" w:cs="仿宋_GB2312"/>
          <w:color w:val="auto"/>
          <w:sz w:val="28"/>
          <w:szCs w:val="28"/>
          <w:highlight w:val="none"/>
        </w:rPr>
        <w:t>钢瓶使用费：</w:t>
      </w:r>
      <w:r>
        <w:rPr>
          <w:rFonts w:hint="eastAsia" w:ascii="仿宋_GB2312" w:hAnsi="仿宋_GB2312" w:eastAsia="仿宋_GB2312" w:cs="仿宋_GB2312"/>
          <w:color w:val="auto"/>
          <w:sz w:val="28"/>
          <w:szCs w:val="28"/>
          <w:highlight w:val="none"/>
          <w:lang w:val="en-US" w:eastAsia="zh-CN"/>
        </w:rPr>
        <w:t>乙方提供给甲方使用的钢瓶，甲方除需对40L氧气钢瓶按</w:t>
      </w:r>
      <w:r>
        <w:rPr>
          <w:rFonts w:hint="eastAsia" w:ascii="仿宋_GB2312" w:hAnsi="仿宋_GB2312" w:eastAsia="仿宋_GB2312" w:cs="仿宋_GB2312"/>
          <w:color w:val="auto"/>
          <w:sz w:val="28"/>
          <w:szCs w:val="28"/>
          <w:highlight w:val="none"/>
          <w:u w:val="single"/>
          <w:lang w:val="en-US" w:eastAsia="zh-CN"/>
        </w:rPr>
        <w:t xml:space="preserve"> 0.6 </w:t>
      </w:r>
      <w:r>
        <w:rPr>
          <w:rFonts w:hint="eastAsia" w:ascii="仿宋_GB2312" w:hAnsi="仿宋_GB2312" w:eastAsia="仿宋_GB2312" w:cs="仿宋_GB2312"/>
          <w:color w:val="auto"/>
          <w:sz w:val="28"/>
          <w:szCs w:val="28"/>
          <w:highlight w:val="none"/>
          <w:lang w:val="en-US" w:eastAsia="zh-CN"/>
        </w:rPr>
        <w:t>元/个/天标准支付使用费外，其余钢瓶均为免费使用。</w:t>
      </w:r>
    </w:p>
    <w:p w14:paraId="0E59E811">
      <w:pPr>
        <w:keepNext w:val="0"/>
        <w:keepLines w:val="0"/>
        <w:pageBreakBefore w:val="0"/>
        <w:widowControl w:val="0"/>
        <w:kinsoku/>
        <w:wordWrap/>
        <w:overflowPunct/>
        <w:topLinePunct w:val="0"/>
        <w:autoSpaceDE/>
        <w:autoSpaceDN/>
        <w:bidi w:val="0"/>
        <w:snapToGrid/>
        <w:spacing w:line="480" w:lineRule="exact"/>
        <w:ind w:firstLine="562"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b/>
          <w:bCs/>
          <w:color w:val="auto"/>
          <w:sz w:val="28"/>
          <w:szCs w:val="28"/>
        </w:rPr>
        <w:t>第二条 质量要求及技术标准</w:t>
      </w:r>
    </w:p>
    <w:p w14:paraId="35AF725C">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2.1 </w:t>
      </w:r>
      <w:r>
        <w:rPr>
          <w:rFonts w:hint="eastAsia" w:ascii="仿宋_GB2312" w:hAnsi="仿宋_GB2312" w:eastAsia="仿宋_GB2312" w:cs="仿宋_GB2312"/>
          <w:color w:val="auto"/>
          <w:sz w:val="28"/>
          <w:szCs w:val="28"/>
        </w:rPr>
        <w:t>乙方提供的产品必须符合《中华</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人民共和国药典》</w:t>
      </w:r>
      <w:r>
        <w:rPr>
          <w:rFonts w:hint="eastAsia" w:ascii="仿宋_GB2312" w:hAnsi="仿宋_GB2312" w:eastAsia="仿宋_GB2312" w:cs="仿宋_GB2312"/>
          <w:color w:val="FF0000"/>
          <w:sz w:val="28"/>
          <w:szCs w:val="28"/>
        </w:rPr>
        <w:t>20</w:t>
      </w:r>
      <w:r>
        <w:rPr>
          <w:rFonts w:hint="eastAsia" w:ascii="仿宋_GB2312" w:hAnsi="仿宋_GB2312" w:eastAsia="仿宋_GB2312" w:cs="仿宋_GB2312"/>
          <w:color w:val="FF0000"/>
          <w:sz w:val="28"/>
          <w:szCs w:val="28"/>
          <w:lang w:val="en-US" w:eastAsia="zh-CN"/>
        </w:rPr>
        <w:t>2</w:t>
      </w:r>
      <w:r>
        <w:rPr>
          <w:rFonts w:hint="eastAsia" w:ascii="仿宋_GB2312" w:hAnsi="仿宋_GB2312" w:eastAsia="仿宋_GB2312" w:cs="仿宋_GB2312"/>
          <w:color w:val="FF0000"/>
          <w:sz w:val="28"/>
          <w:szCs w:val="28"/>
        </w:rPr>
        <w:t>5</w:t>
      </w:r>
      <w:r>
        <w:rPr>
          <w:rFonts w:hint="eastAsia" w:ascii="仿宋_GB2312" w:hAnsi="仿宋_GB2312" w:eastAsia="仿宋_GB2312" w:cs="仿宋_GB2312"/>
          <w:color w:val="FF0000"/>
          <w:sz w:val="28"/>
          <w:szCs w:val="28"/>
          <w:lang w:eastAsia="zh-CN"/>
        </w:rPr>
        <w:t>版</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二</w:t>
      </w:r>
      <w:r>
        <w:rPr>
          <w:rFonts w:hint="eastAsia" w:ascii="仿宋_GB2312" w:hAnsi="仿宋_GB2312" w:eastAsia="仿宋_GB2312" w:cs="仿宋_GB2312"/>
          <w:color w:val="auto"/>
          <w:sz w:val="28"/>
          <w:szCs w:val="28"/>
        </w:rPr>
        <w:t>部规定。</w:t>
      </w:r>
    </w:p>
    <w:p w14:paraId="7536D4CD">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left="0" w:leftChars="0" w:right="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2.2 乙方提供的</w:t>
      </w:r>
      <w:r>
        <w:rPr>
          <w:rFonts w:hint="eastAsia" w:ascii="仿宋" w:hAnsi="仿宋" w:eastAsia="仿宋" w:cs="仿宋"/>
          <w:b w:val="0"/>
          <w:i w:val="0"/>
          <w:iCs w:val="0"/>
          <w:caps w:val="0"/>
          <w:strike w:val="0"/>
          <w:color w:val="auto"/>
          <w:spacing w:val="0"/>
          <w:kern w:val="0"/>
          <w:sz w:val="28"/>
          <w:szCs w:val="28"/>
          <w:u w:val="none"/>
          <w:lang w:val="en-US" w:eastAsia="zh-CN" w:bidi="ar"/>
        </w:rPr>
        <w:t>所有产品需符合国家现行强制性标准，其中医用瓶氧纯度≥99.5%，特殊气体纯度及杂质含量需满足对应医用级标准，严禁使用工业级气体替代医用级气体</w:t>
      </w:r>
      <w:r>
        <w:rPr>
          <w:rFonts w:hint="eastAsia" w:ascii="仿宋_GB2312" w:hAnsi="仿宋_GB2312" w:eastAsia="仿宋_GB2312" w:cs="仿宋_GB2312"/>
          <w:color w:val="auto"/>
          <w:sz w:val="28"/>
          <w:szCs w:val="28"/>
        </w:rPr>
        <w:t>，每个钢瓶必须在有效使用期内，且经具有相应资质的气瓶检测检验机构检测检验合格。</w:t>
      </w:r>
    </w:p>
    <w:p w14:paraId="3424C7D5">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 w:hAnsi="仿宋" w:eastAsia="仿宋" w:cs="仿宋"/>
          <w:b w:val="0"/>
          <w:i w:val="0"/>
          <w:iCs w:val="0"/>
          <w:caps w:val="0"/>
          <w:strike w:val="0"/>
          <w:color w:val="auto"/>
          <w:spacing w:val="0"/>
          <w:kern w:val="0"/>
          <w:sz w:val="28"/>
          <w:szCs w:val="28"/>
          <w:u w:val="none"/>
          <w:lang w:val="en-US" w:eastAsia="zh-CN" w:bidi="ar"/>
        </w:rPr>
      </w:pPr>
      <w:r>
        <w:rPr>
          <w:rFonts w:hint="eastAsia" w:ascii="仿宋_GB2312" w:hAnsi="仿宋_GB2312" w:eastAsia="仿宋_GB2312" w:cs="仿宋_GB2312"/>
          <w:color w:val="auto"/>
          <w:sz w:val="28"/>
          <w:szCs w:val="28"/>
          <w:lang w:val="en-US" w:eastAsia="zh-CN"/>
        </w:rPr>
        <w:t>2.3 乙方提供的</w:t>
      </w:r>
      <w:r>
        <w:rPr>
          <w:rFonts w:hint="eastAsia" w:ascii="仿宋" w:hAnsi="仿宋" w:eastAsia="仿宋" w:cs="仿宋"/>
          <w:b w:val="0"/>
          <w:i w:val="0"/>
          <w:iCs w:val="0"/>
          <w:caps w:val="0"/>
          <w:strike w:val="0"/>
          <w:color w:val="auto"/>
          <w:spacing w:val="0"/>
          <w:kern w:val="0"/>
          <w:sz w:val="28"/>
          <w:szCs w:val="28"/>
          <w:u w:val="none"/>
          <w:lang w:val="en-US" w:eastAsia="zh-CN" w:bidi="ar"/>
        </w:rPr>
        <w:t xml:space="preserve">产品包装需符合 </w:t>
      </w:r>
      <w:r>
        <w:rPr>
          <w:rFonts w:hint="default" w:ascii="仿宋" w:hAnsi="仿宋" w:eastAsia="仿宋" w:cs="仿宋"/>
          <w:b w:val="0"/>
          <w:i w:val="0"/>
          <w:iCs w:val="0"/>
          <w:caps w:val="0"/>
          <w:strike w:val="0"/>
          <w:color w:val="auto"/>
          <w:spacing w:val="0"/>
          <w:kern w:val="0"/>
          <w:sz w:val="28"/>
          <w:szCs w:val="28"/>
          <w:u w:val="none"/>
          <w:lang w:val="en-US" w:eastAsia="zh-CN" w:bidi="ar"/>
        </w:rPr>
        <w:t>GB/T</w:t>
      </w:r>
      <w:r>
        <w:rPr>
          <w:rFonts w:hint="eastAsia" w:ascii="仿宋" w:hAnsi="仿宋" w:eastAsia="仿宋" w:cs="仿宋"/>
          <w:b w:val="0"/>
          <w:i w:val="0"/>
          <w:iCs w:val="0"/>
          <w:caps w:val="0"/>
          <w:strike w:val="0"/>
          <w:color w:val="auto"/>
          <w:spacing w:val="0"/>
          <w:kern w:val="0"/>
          <w:sz w:val="28"/>
          <w:szCs w:val="28"/>
          <w:u w:val="none"/>
          <w:lang w:val="en-US" w:eastAsia="zh-CN" w:bidi="ar"/>
        </w:rPr>
        <w:t xml:space="preserve"> 5099《钢质无缝气瓶》</w:t>
      </w:r>
      <w:r>
        <w:rPr>
          <w:rFonts w:hint="default" w:ascii="仿宋" w:hAnsi="仿宋" w:eastAsia="仿宋" w:cs="仿宋"/>
          <w:b w:val="0"/>
          <w:i w:val="0"/>
          <w:iCs w:val="0"/>
          <w:caps w:val="0"/>
          <w:strike w:val="0"/>
          <w:color w:val="auto"/>
          <w:spacing w:val="0"/>
          <w:kern w:val="0"/>
          <w:sz w:val="28"/>
          <w:szCs w:val="28"/>
          <w:u w:val="none"/>
          <w:lang w:val="en-US" w:eastAsia="zh-CN" w:bidi="ar"/>
        </w:rPr>
        <w:t>系列标准</w:t>
      </w:r>
      <w:r>
        <w:rPr>
          <w:rFonts w:hint="eastAsia" w:ascii="仿宋" w:hAnsi="仿宋" w:eastAsia="仿宋" w:cs="仿宋"/>
          <w:b w:val="0"/>
          <w:i w:val="0"/>
          <w:iCs w:val="0"/>
          <w:caps w:val="0"/>
          <w:strike w:val="0"/>
          <w:color w:val="auto"/>
          <w:spacing w:val="0"/>
          <w:kern w:val="0"/>
          <w:sz w:val="28"/>
          <w:szCs w:val="28"/>
          <w:u w:val="none"/>
          <w:lang w:val="en-US" w:eastAsia="zh-CN" w:bidi="ar"/>
        </w:rPr>
        <w:t>、GB 190-2009《危险货物包装标志》要求，气瓶检验有效期自交付日起不少于6个月。​</w:t>
      </w:r>
    </w:p>
    <w:p w14:paraId="11604904">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2.4 乙方交付的每批次的产品</w:t>
      </w:r>
      <w:r>
        <w:rPr>
          <w:rFonts w:hint="eastAsia" w:ascii="仿宋_GB2312" w:hAnsi="仿宋_GB2312" w:eastAsia="仿宋_GB2312" w:cs="仿宋_GB2312"/>
          <w:color w:val="auto"/>
          <w:sz w:val="28"/>
          <w:szCs w:val="28"/>
        </w:rPr>
        <w:t>必须提供产品检验合格证和使用说明书，并</w:t>
      </w:r>
      <w:r>
        <w:rPr>
          <w:rFonts w:hint="eastAsia" w:ascii="仿宋_GB2312" w:hAnsi="仿宋_GB2312" w:eastAsia="仿宋_GB2312" w:cs="仿宋_GB2312"/>
          <w:color w:val="auto"/>
          <w:sz w:val="28"/>
          <w:szCs w:val="28"/>
          <w:lang w:eastAsia="zh-CN"/>
        </w:rPr>
        <w:t>粘贴</w:t>
      </w:r>
      <w:r>
        <w:rPr>
          <w:rFonts w:hint="eastAsia" w:ascii="仿宋_GB2312" w:hAnsi="仿宋_GB2312" w:eastAsia="仿宋_GB2312" w:cs="仿宋_GB2312"/>
          <w:color w:val="auto"/>
          <w:sz w:val="28"/>
          <w:szCs w:val="28"/>
        </w:rPr>
        <w:t>于每个钢瓶之上。</w:t>
      </w:r>
    </w:p>
    <w:p w14:paraId="7E05D093">
      <w:pPr>
        <w:keepNext w:val="0"/>
        <w:keepLines w:val="0"/>
        <w:pageBreakBefore w:val="0"/>
        <w:widowControl w:val="0"/>
        <w:kinsoku/>
        <w:wordWrap/>
        <w:overflowPunct/>
        <w:topLinePunct w:val="0"/>
        <w:autoSpaceDE/>
        <w:autoSpaceDN/>
        <w:bidi w:val="0"/>
        <w:snapToGrid/>
        <w:spacing w:line="480" w:lineRule="exact"/>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第三条 订货、交货时间、地点、验收、质量异议</w:t>
      </w:r>
    </w:p>
    <w:p w14:paraId="34D78DC2">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3.1 甲方通过电话、微信等方式</w:t>
      </w:r>
      <w:r>
        <w:rPr>
          <w:rFonts w:hint="eastAsia" w:ascii="仿宋_GB2312" w:hAnsi="仿宋_GB2312" w:eastAsia="仿宋_GB2312" w:cs="仿宋_GB2312"/>
          <w:color w:val="auto"/>
          <w:sz w:val="28"/>
          <w:szCs w:val="28"/>
        </w:rPr>
        <w:t>将所需产品</w:t>
      </w:r>
      <w:r>
        <w:rPr>
          <w:rFonts w:hint="eastAsia" w:ascii="仿宋_GB2312" w:hAnsi="仿宋_GB2312" w:eastAsia="仿宋_GB2312" w:cs="仿宋_GB2312"/>
          <w:color w:val="auto"/>
          <w:sz w:val="28"/>
          <w:szCs w:val="28"/>
          <w:lang w:val="en-US" w:eastAsia="zh-CN"/>
        </w:rPr>
        <w:t>名称、</w:t>
      </w:r>
      <w:r>
        <w:rPr>
          <w:rFonts w:hint="eastAsia" w:ascii="仿宋_GB2312" w:hAnsi="仿宋_GB2312" w:eastAsia="仿宋_GB2312" w:cs="仿宋_GB2312"/>
          <w:color w:val="auto"/>
          <w:sz w:val="28"/>
          <w:szCs w:val="28"/>
        </w:rPr>
        <w:t>数量、交货时间、交货地点通知乙方。</w:t>
      </w:r>
    </w:p>
    <w:p w14:paraId="3A4C2190">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3.2 </w:t>
      </w:r>
      <w:r>
        <w:rPr>
          <w:rFonts w:hint="eastAsia" w:ascii="仿宋_GB2312" w:hAnsi="仿宋_GB2312" w:eastAsia="仿宋_GB2312" w:cs="仿宋_GB2312"/>
          <w:color w:val="auto"/>
          <w:sz w:val="28"/>
          <w:szCs w:val="28"/>
        </w:rPr>
        <w:t>乙方在接到甲方通知</w:t>
      </w:r>
      <w:r>
        <w:rPr>
          <w:rFonts w:hint="eastAsia" w:ascii="仿宋_GB2312" w:hAnsi="仿宋_GB2312" w:eastAsia="仿宋_GB2312" w:cs="仿宋_GB2312"/>
          <w:color w:val="auto"/>
          <w:sz w:val="28"/>
          <w:szCs w:val="28"/>
          <w:lang w:val="en-US" w:eastAsia="zh-CN"/>
        </w:rPr>
        <w:t>后24</w:t>
      </w:r>
      <w:r>
        <w:rPr>
          <w:rFonts w:hint="eastAsia" w:ascii="仿宋_GB2312" w:hAnsi="仿宋_GB2312" w:eastAsia="仿宋_GB2312" w:cs="仿宋_GB2312"/>
          <w:color w:val="auto"/>
          <w:sz w:val="28"/>
          <w:szCs w:val="28"/>
        </w:rPr>
        <w:t>小时内将甲方所需产品送至甲方指定地点。</w:t>
      </w:r>
    </w:p>
    <w:p w14:paraId="506CFE66">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left="0" w:leftChars="0" w:right="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3.3 </w:t>
      </w:r>
      <w:r>
        <w:rPr>
          <w:rFonts w:hint="eastAsia" w:ascii="仿宋_GB2312" w:hAnsi="仿宋_GB2312" w:eastAsia="仿宋_GB2312" w:cs="仿宋_GB2312"/>
          <w:color w:val="auto"/>
          <w:sz w:val="28"/>
          <w:szCs w:val="28"/>
        </w:rPr>
        <w:t>乙方将产品送至甲方指定地点后</w:t>
      </w:r>
      <w:r>
        <w:rPr>
          <w:rFonts w:hint="eastAsia" w:ascii="仿宋_GB2312" w:hAnsi="仿宋_GB2312" w:eastAsia="仿宋_GB2312" w:cs="仿宋_GB2312"/>
          <w:color w:val="auto"/>
          <w:sz w:val="28"/>
          <w:szCs w:val="28"/>
          <w:lang w:val="en-US" w:eastAsia="zh-CN"/>
        </w:rPr>
        <w:t>应提供</w:t>
      </w:r>
      <w:r>
        <w:rPr>
          <w:rFonts w:hint="eastAsia" w:ascii="仿宋" w:hAnsi="仿宋" w:eastAsia="仿宋" w:cs="仿宋"/>
          <w:b w:val="0"/>
          <w:i w:val="0"/>
          <w:iCs w:val="0"/>
          <w:caps w:val="0"/>
          <w:strike w:val="0"/>
          <w:color w:val="auto"/>
          <w:spacing w:val="0"/>
          <w:kern w:val="0"/>
          <w:sz w:val="28"/>
          <w:szCs w:val="28"/>
          <w:u w:val="none"/>
          <w:lang w:val="en-US" w:eastAsia="zh-CN" w:bidi="ar"/>
        </w:rPr>
        <w:t>出厂检验报告（加盖检验专用章），报告内容需包含产品名称、批号、检验项目、结果、标准依据等信息</w:t>
      </w:r>
      <w:r>
        <w:rPr>
          <w:rFonts w:hint="eastAsia" w:ascii="仿宋_GB2312" w:hAnsi="仿宋_GB2312" w:eastAsia="仿宋_GB2312" w:cs="仿宋_GB2312"/>
          <w:color w:val="auto"/>
          <w:sz w:val="28"/>
          <w:szCs w:val="28"/>
        </w:rPr>
        <w:t>，甲方应该派员对钢瓶数量</w:t>
      </w:r>
      <w:r>
        <w:rPr>
          <w:rFonts w:hint="eastAsia" w:ascii="仿宋_GB2312" w:hAnsi="仿宋_GB2312" w:eastAsia="仿宋_GB2312" w:cs="仿宋_GB2312"/>
          <w:color w:val="auto"/>
          <w:sz w:val="28"/>
          <w:szCs w:val="28"/>
          <w:lang w:val="en-US" w:eastAsia="zh-CN"/>
        </w:rPr>
        <w:t>及相应附件进行查验并</w:t>
      </w:r>
      <w:r>
        <w:rPr>
          <w:rFonts w:hint="eastAsia" w:ascii="仿宋_GB2312" w:hAnsi="仿宋_GB2312" w:eastAsia="仿宋_GB2312" w:cs="仿宋_GB2312"/>
          <w:color w:val="auto"/>
          <w:sz w:val="28"/>
          <w:szCs w:val="28"/>
        </w:rPr>
        <w:t>出具收货凭证。</w:t>
      </w:r>
    </w:p>
    <w:p w14:paraId="0C1952E3">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left="0" w:leftChars="0" w:right="0" w:firstLine="560" w:firstLineChars="200"/>
        <w:jc w:val="left"/>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sz w:val="28"/>
          <w:szCs w:val="28"/>
          <w:lang w:val="en-US" w:eastAsia="zh-CN"/>
        </w:rPr>
        <w:t xml:space="preserve">3.4 </w:t>
      </w:r>
      <w:r>
        <w:rPr>
          <w:rFonts w:hint="eastAsia" w:ascii="仿宋_GB2312" w:hAnsi="仿宋_GB2312" w:eastAsia="仿宋_GB2312" w:cs="仿宋_GB2312"/>
          <w:color w:val="auto"/>
          <w:sz w:val="28"/>
          <w:szCs w:val="28"/>
          <w:highlight w:val="none"/>
        </w:rPr>
        <w:t>甲方在收货验收过程中发现乙方提供的产品不符合标准，有权拒收并要求乙方更换</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乙方应在接到甲方通知后3日内更换到位</w:t>
      </w:r>
      <w:r>
        <w:rPr>
          <w:rFonts w:hint="eastAsia" w:ascii="仿宋_GB2312" w:hAnsi="仿宋_GB2312" w:eastAsia="仿宋_GB2312" w:cs="仿宋_GB2312"/>
          <w:color w:val="auto"/>
          <w:sz w:val="28"/>
          <w:szCs w:val="28"/>
          <w:highlight w:val="none"/>
        </w:rPr>
        <w:t>；甲方在产品质保期内发现乙方产品不符合产品质量标准，</w:t>
      </w:r>
      <w:r>
        <w:rPr>
          <w:rFonts w:hint="eastAsia" w:ascii="仿宋_GB2312" w:hAnsi="仿宋_GB2312" w:eastAsia="仿宋_GB2312" w:cs="仿宋_GB2312"/>
          <w:color w:val="auto"/>
          <w:kern w:val="0"/>
          <w:sz w:val="28"/>
          <w:szCs w:val="28"/>
          <w:highlight w:val="none"/>
        </w:rPr>
        <w:t>有权随时要求乙方更换或退货，</w:t>
      </w:r>
      <w:r>
        <w:rPr>
          <w:rFonts w:hint="eastAsia" w:ascii="仿宋_GB2312" w:hAnsi="仿宋_GB2312" w:eastAsia="仿宋_GB2312" w:cs="仿宋_GB2312"/>
          <w:color w:val="auto"/>
          <w:sz w:val="28"/>
          <w:szCs w:val="28"/>
          <w:highlight w:val="none"/>
          <w:lang w:val="en-US" w:eastAsia="zh-CN"/>
        </w:rPr>
        <w:t>乙方应在接到甲方通知后3日内更换到位或完成退货，</w:t>
      </w:r>
      <w:r>
        <w:rPr>
          <w:rFonts w:hint="eastAsia" w:ascii="仿宋_GB2312" w:hAnsi="仿宋_GB2312" w:eastAsia="仿宋_GB2312" w:cs="仿宋_GB2312"/>
          <w:color w:val="auto"/>
          <w:kern w:val="0"/>
          <w:sz w:val="28"/>
          <w:szCs w:val="28"/>
          <w:highlight w:val="none"/>
        </w:rPr>
        <w:t>由此产生的损失和费用均由乙方承担。</w:t>
      </w:r>
    </w:p>
    <w:p w14:paraId="6FC8291F">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left="0" w:leftChars="0" w:right="0" w:firstLine="560" w:firstLineChars="200"/>
        <w:jc w:val="left"/>
        <w:rPr>
          <w:rFonts w:hint="eastAsia" w:ascii="仿宋" w:hAnsi="仿宋" w:eastAsia="仿宋" w:cs="仿宋"/>
          <w:b w:val="0"/>
          <w:i w:val="0"/>
          <w:iCs w:val="0"/>
          <w:caps w:val="0"/>
          <w:strike w:val="0"/>
          <w:color w:val="auto"/>
          <w:spacing w:val="0"/>
          <w:kern w:val="0"/>
          <w:sz w:val="28"/>
          <w:szCs w:val="28"/>
          <w:u w:val="none"/>
          <w:lang w:val="en-US" w:eastAsia="zh-CN" w:bidi="ar"/>
        </w:rPr>
      </w:pPr>
      <w:r>
        <w:rPr>
          <w:rFonts w:hint="eastAsia" w:ascii="仿宋" w:hAnsi="仿宋" w:eastAsia="仿宋" w:cs="仿宋"/>
          <w:b w:val="0"/>
          <w:i w:val="0"/>
          <w:iCs w:val="0"/>
          <w:caps w:val="0"/>
          <w:strike w:val="0"/>
          <w:color w:val="auto"/>
          <w:spacing w:val="0"/>
          <w:kern w:val="0"/>
          <w:sz w:val="28"/>
          <w:szCs w:val="28"/>
          <w:u w:val="none"/>
          <w:lang w:val="en-US" w:eastAsia="zh-CN" w:bidi="ar"/>
        </w:rPr>
        <w:t>3.5 乙方需储备不少于7-15天预估用量的产品，确保突发情况下（如设备故障、极端天气）的应急供应。​</w:t>
      </w:r>
    </w:p>
    <w:p w14:paraId="3F3FEEBA">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left="0" w:right="0" w:firstLine="560" w:firstLineChars="200"/>
        <w:jc w:val="left"/>
        <w:rPr>
          <w:rFonts w:hint="eastAsia" w:ascii="仿宋" w:hAnsi="仿宋" w:eastAsia="仿宋" w:cs="仿宋"/>
          <w:b w:val="0"/>
          <w:i w:val="0"/>
          <w:iCs w:val="0"/>
          <w:caps w:val="0"/>
          <w:strike w:val="0"/>
          <w:color w:val="auto"/>
          <w:spacing w:val="0"/>
          <w:kern w:val="0"/>
          <w:sz w:val="28"/>
          <w:szCs w:val="28"/>
          <w:u w:val="none"/>
          <w:lang w:val="en-US" w:eastAsia="zh-CN" w:bidi="ar"/>
        </w:rPr>
      </w:pPr>
      <w:r>
        <w:rPr>
          <w:rFonts w:hint="eastAsia" w:ascii="仿宋" w:hAnsi="仿宋" w:eastAsia="仿宋" w:cs="仿宋"/>
          <w:b w:val="0"/>
          <w:i w:val="0"/>
          <w:iCs w:val="0"/>
          <w:caps w:val="0"/>
          <w:strike w:val="0"/>
          <w:color w:val="auto"/>
          <w:spacing w:val="0"/>
          <w:kern w:val="0"/>
          <w:sz w:val="28"/>
          <w:szCs w:val="28"/>
          <w:u w:val="none"/>
          <w:lang w:val="en-US" w:eastAsia="zh-CN" w:bidi="ar"/>
        </w:rPr>
        <w:t>3.6 甲方有权随机抽样送第三方权威检测机构（具有 CMA、CNAS 资质）复检，复检费用由乙方承担；若复检不合格，供应商需在 3 日内无条件退换货，并赔偿采购人因此产生的所有损失（包括但不限于检测费、医疗替代成本等）。</w:t>
      </w:r>
    </w:p>
    <w:p w14:paraId="620EFFE6">
      <w:pPr>
        <w:keepNext w:val="0"/>
        <w:keepLines w:val="0"/>
        <w:pageBreakBefore w:val="0"/>
        <w:widowControl w:val="0"/>
        <w:kinsoku/>
        <w:wordWrap/>
        <w:overflowPunct/>
        <w:topLinePunct w:val="0"/>
        <w:autoSpaceDE/>
        <w:autoSpaceDN/>
        <w:bidi w:val="0"/>
        <w:snapToGrid/>
        <w:spacing w:line="480" w:lineRule="exact"/>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第四条 合同期限</w:t>
      </w:r>
    </w:p>
    <w:p w14:paraId="67D5598E">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合同期限为</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壹</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年，从202</w:t>
      </w:r>
      <w:r>
        <w:rPr>
          <w:rFonts w:hint="eastAsia" w:ascii="仿宋_GB2312" w:hAnsi="仿宋_GB2312" w:eastAsia="仿宋_GB2312" w:cs="仿宋_GB2312"/>
          <w:color w:val="auto"/>
          <w:sz w:val="28"/>
          <w:szCs w:val="28"/>
          <w:lang w:val="en-US" w:eastAsia="zh-CN"/>
        </w:rPr>
        <w:t>6</w:t>
      </w:r>
      <w:r>
        <w:rPr>
          <w:rFonts w:hint="eastAsia" w:ascii="仿宋_GB2312" w:hAnsi="仿宋_GB2312" w:eastAsia="仿宋_GB2312" w:cs="仿宋_GB2312"/>
          <w:color w:val="auto"/>
          <w:sz w:val="28"/>
          <w:szCs w:val="28"/>
        </w:rPr>
        <w:t>年</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月</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日起至202</w:t>
      </w:r>
      <w:r>
        <w:rPr>
          <w:rFonts w:hint="eastAsia" w:ascii="仿宋_GB2312" w:hAnsi="仿宋_GB2312" w:eastAsia="仿宋_GB2312" w:cs="仿宋_GB2312"/>
          <w:color w:val="auto"/>
          <w:sz w:val="28"/>
          <w:szCs w:val="28"/>
          <w:lang w:val="en-US" w:eastAsia="zh-CN"/>
        </w:rPr>
        <w:t>7</w:t>
      </w:r>
      <w:r>
        <w:rPr>
          <w:rFonts w:hint="eastAsia" w:ascii="仿宋_GB2312" w:hAnsi="仿宋_GB2312" w:eastAsia="仿宋_GB2312" w:cs="仿宋_GB2312"/>
          <w:color w:val="auto"/>
          <w:sz w:val="28"/>
          <w:szCs w:val="28"/>
        </w:rPr>
        <w:t>年</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月</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日止。</w:t>
      </w:r>
    </w:p>
    <w:p w14:paraId="1BE1E56C">
      <w:pPr>
        <w:keepNext w:val="0"/>
        <w:keepLines w:val="0"/>
        <w:pageBreakBefore w:val="0"/>
        <w:widowControl w:val="0"/>
        <w:numPr>
          <w:ilvl w:val="0"/>
          <w:numId w:val="0"/>
        </w:numPr>
        <w:kinsoku/>
        <w:wordWrap/>
        <w:overflowPunct/>
        <w:topLinePunct w:val="0"/>
        <w:autoSpaceDE/>
        <w:autoSpaceDN/>
        <w:bidi w:val="0"/>
        <w:snapToGrid/>
        <w:spacing w:line="480" w:lineRule="exact"/>
        <w:ind w:firstLine="562" w:firstLineChars="200"/>
        <w:textAlignment w:val="auto"/>
        <w:rPr>
          <w:rFonts w:hint="default"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kern w:val="2"/>
          <w:sz w:val="28"/>
          <w:szCs w:val="28"/>
          <w:lang w:val="en-US" w:eastAsia="zh-CN" w:bidi="ar-SA"/>
        </w:rPr>
        <w:t>第五条 质保期</w:t>
      </w:r>
      <w:r>
        <w:rPr>
          <w:rFonts w:hint="eastAsia" w:ascii="仿宋_GB2312" w:hAnsi="仿宋_GB2312" w:eastAsia="仿宋_GB2312" w:cs="仿宋_GB2312"/>
          <w:b/>
          <w:bCs/>
          <w:color w:val="0000FF"/>
          <w:kern w:val="2"/>
          <w:sz w:val="28"/>
          <w:szCs w:val="28"/>
          <w:lang w:val="en-US" w:eastAsia="zh-CN" w:bidi="ar-SA"/>
        </w:rPr>
        <w:t>及售后服务</w:t>
      </w:r>
    </w:p>
    <w:p w14:paraId="70C33B71">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5.1 本合同产品质保期</w:t>
      </w:r>
      <w:r>
        <w:rPr>
          <w:rFonts w:hint="eastAsia" w:ascii="仿宋_GB2312" w:hAnsi="仿宋_GB2312" w:eastAsia="仿宋_GB2312" w:cs="仿宋_GB2312"/>
          <w:color w:val="auto"/>
          <w:sz w:val="28"/>
          <w:szCs w:val="28"/>
          <w:highlight w:val="none"/>
          <w:lang w:val="en-US" w:eastAsia="zh-CN"/>
        </w:rPr>
        <w:t>均为</w:t>
      </w:r>
      <w:r>
        <w:rPr>
          <w:rFonts w:hint="eastAsia" w:ascii="仿宋_GB2312" w:hAnsi="仿宋_GB2312" w:eastAsia="仿宋_GB2312" w:cs="仿宋_GB2312"/>
          <w:color w:val="auto"/>
          <w:sz w:val="28"/>
          <w:szCs w:val="28"/>
          <w:highlight w:val="none"/>
          <w:u w:val="single"/>
          <w:lang w:val="en-US" w:eastAsia="zh-CN"/>
        </w:rPr>
        <w:t xml:space="preserve"> 壹 </w:t>
      </w:r>
      <w:r>
        <w:rPr>
          <w:rFonts w:hint="eastAsia" w:ascii="仿宋_GB2312" w:hAnsi="仿宋_GB2312" w:eastAsia="仿宋_GB2312" w:cs="仿宋_GB2312"/>
          <w:color w:val="auto"/>
          <w:sz w:val="28"/>
          <w:szCs w:val="28"/>
          <w:highlight w:val="none"/>
          <w:lang w:val="en-US" w:eastAsia="zh-CN"/>
        </w:rPr>
        <w:t>年，</w:t>
      </w:r>
      <w:r>
        <w:rPr>
          <w:rFonts w:hint="eastAsia" w:ascii="仿宋_GB2312" w:hAnsi="仿宋_GB2312" w:eastAsia="仿宋_GB2312" w:cs="仿宋_GB2312"/>
          <w:color w:val="auto"/>
          <w:sz w:val="28"/>
          <w:szCs w:val="28"/>
          <w:lang w:val="en-US" w:eastAsia="zh-CN"/>
        </w:rPr>
        <w:t>自甲方每次检测检验合格出具收货凭证之日起计算。</w:t>
      </w:r>
    </w:p>
    <w:p w14:paraId="73C2ABAC">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0000FF"/>
          <w:sz w:val="28"/>
          <w:szCs w:val="28"/>
          <w:lang w:val="en-US" w:eastAsia="zh-CN"/>
        </w:rPr>
      </w:pPr>
      <w:r>
        <w:rPr>
          <w:rFonts w:hint="eastAsia" w:ascii="仿宋_GB2312" w:hAnsi="仿宋_GB2312" w:eastAsia="仿宋_GB2312" w:cs="仿宋_GB2312"/>
          <w:color w:val="0000FF"/>
          <w:sz w:val="28"/>
          <w:szCs w:val="28"/>
          <w:lang w:val="en-US" w:eastAsia="zh-CN"/>
        </w:rPr>
        <w:t>5.2 乙方在质保期内免费提供维修、更换、保养、咨询等服务。如乙方提供的产品在质保期内出现质量问题，乙方应在接到甲方通知（包括电话通知）后1小时内响应，响应后4小时内赶到甲方提供服务，相关费用由乙方承担。如乙方不及时提供服务，甲方有权委托第三方提供维修、更换、保养、咨询等服务，由此产生的相关费用，甲方有权在应付款中扣除、不足部分由乙方另行补足，或要求乙方将第三方提供服务产生的相关费用直接支付给甲方。</w:t>
      </w:r>
    </w:p>
    <w:p w14:paraId="1D8FA8C9">
      <w:pPr>
        <w:keepNext w:val="0"/>
        <w:keepLines w:val="0"/>
        <w:pageBreakBefore w:val="0"/>
        <w:widowControl w:val="0"/>
        <w:kinsoku/>
        <w:wordWrap/>
        <w:overflowPunct/>
        <w:topLinePunct w:val="0"/>
        <w:autoSpaceDE/>
        <w:autoSpaceDN/>
        <w:bidi w:val="0"/>
        <w:snapToGrid/>
        <w:spacing w:line="480" w:lineRule="exact"/>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w:t>
      </w:r>
      <w:r>
        <w:rPr>
          <w:rFonts w:hint="eastAsia" w:ascii="仿宋_GB2312" w:hAnsi="仿宋_GB2312" w:eastAsia="仿宋_GB2312" w:cs="仿宋_GB2312"/>
          <w:b/>
          <w:bCs/>
          <w:color w:val="auto"/>
          <w:sz w:val="28"/>
          <w:szCs w:val="28"/>
          <w:lang w:val="en-US" w:eastAsia="zh-CN"/>
        </w:rPr>
        <w:t>六</w:t>
      </w:r>
      <w:r>
        <w:rPr>
          <w:rFonts w:hint="eastAsia" w:ascii="仿宋_GB2312" w:hAnsi="仿宋_GB2312" w:eastAsia="仿宋_GB2312" w:cs="仿宋_GB2312"/>
          <w:b/>
          <w:bCs/>
          <w:color w:val="auto"/>
          <w:sz w:val="28"/>
          <w:szCs w:val="28"/>
        </w:rPr>
        <w:t>条 结算时间和付款方式</w:t>
      </w:r>
    </w:p>
    <w:p w14:paraId="463E1E6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6.1 本合同总限价为人民币</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none"/>
          <w:lang w:val="en-US" w:eastAsia="zh-CN"/>
        </w:rPr>
        <w:t>元</w:t>
      </w:r>
      <w:r>
        <w:rPr>
          <w:rFonts w:hint="eastAsia" w:ascii="仿宋_GB2312" w:hAnsi="仿宋_GB2312" w:eastAsia="仿宋_GB2312" w:cs="仿宋_GB2312"/>
          <w:color w:val="auto"/>
          <w:sz w:val="28"/>
          <w:szCs w:val="28"/>
          <w:lang w:val="en-US" w:eastAsia="zh-CN"/>
        </w:rPr>
        <w:t>整（</w:t>
      </w:r>
      <w:r>
        <w:rPr>
          <w:rFonts w:hint="default" w:ascii="Arial" w:hAnsi="Arial" w:eastAsia="仿宋_GB2312" w:cs="Arial"/>
          <w:color w:val="auto"/>
          <w:sz w:val="28"/>
          <w:szCs w:val="28"/>
          <w:lang w:val="en-US" w:eastAsia="zh-CN"/>
        </w:rPr>
        <w:t>¥</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lang w:val="en-US" w:eastAsia="zh-CN"/>
        </w:rPr>
        <w:t>元），在本合同期限内，如甲方的货款结算总价与40L氧气钢瓶使用费总价合计达到合同总限价，本合同提前终止，甲方不再通知乙方送货。</w:t>
      </w:r>
    </w:p>
    <w:p w14:paraId="2CE59BD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6.2 价款按月结付。甲</w:t>
      </w:r>
      <w:r>
        <w:rPr>
          <w:rFonts w:hint="eastAsia" w:ascii="仿宋_GB2312" w:hAnsi="仿宋_GB2312" w:eastAsia="仿宋_GB2312" w:cs="仿宋_GB2312"/>
          <w:color w:val="auto"/>
          <w:sz w:val="28"/>
          <w:szCs w:val="28"/>
        </w:rPr>
        <w:t>方</w:t>
      </w:r>
      <w:r>
        <w:rPr>
          <w:rFonts w:hint="eastAsia" w:ascii="仿宋_GB2312" w:hAnsi="仿宋_GB2312" w:eastAsia="仿宋_GB2312" w:cs="仿宋_GB2312"/>
          <w:color w:val="auto"/>
          <w:sz w:val="28"/>
          <w:szCs w:val="28"/>
          <w:lang w:val="en-US" w:eastAsia="zh-CN"/>
        </w:rPr>
        <w:t>在</w:t>
      </w:r>
      <w:r>
        <w:rPr>
          <w:rFonts w:hint="eastAsia" w:ascii="仿宋_GB2312" w:hAnsi="仿宋_GB2312" w:eastAsia="仿宋_GB2312" w:cs="仿宋_GB2312"/>
          <w:color w:val="auto"/>
          <w:sz w:val="28"/>
          <w:szCs w:val="28"/>
        </w:rPr>
        <w:t>每月15日前凭上月收货凭证</w:t>
      </w:r>
      <w:r>
        <w:rPr>
          <w:rFonts w:hint="eastAsia" w:ascii="仿宋_GB2312" w:hAnsi="仿宋_GB2312" w:eastAsia="仿宋_GB2312" w:cs="仿宋_GB2312"/>
          <w:color w:val="auto"/>
          <w:sz w:val="28"/>
          <w:szCs w:val="28"/>
          <w:lang w:val="en-US" w:eastAsia="zh-CN"/>
        </w:rPr>
        <w:t>与乙方</w:t>
      </w:r>
      <w:r>
        <w:rPr>
          <w:rFonts w:hint="eastAsia" w:ascii="仿宋_GB2312" w:hAnsi="仿宋_GB2312" w:eastAsia="仿宋_GB2312" w:cs="仿宋_GB2312"/>
          <w:color w:val="auto"/>
          <w:sz w:val="28"/>
          <w:szCs w:val="28"/>
        </w:rPr>
        <w:t>办理上月的</w:t>
      </w:r>
      <w:r>
        <w:rPr>
          <w:rFonts w:hint="eastAsia" w:ascii="仿宋_GB2312" w:hAnsi="仿宋_GB2312" w:eastAsia="仿宋_GB2312" w:cs="仿宋_GB2312"/>
          <w:color w:val="auto"/>
          <w:sz w:val="28"/>
          <w:szCs w:val="28"/>
          <w:lang w:val="en-US" w:eastAsia="zh-CN"/>
        </w:rPr>
        <w:t>货款</w:t>
      </w:r>
      <w:r>
        <w:rPr>
          <w:rFonts w:hint="eastAsia" w:ascii="仿宋_GB2312" w:hAnsi="仿宋_GB2312" w:eastAsia="仿宋_GB2312" w:cs="仿宋_GB2312"/>
          <w:color w:val="auto"/>
          <w:sz w:val="28"/>
          <w:szCs w:val="28"/>
        </w:rPr>
        <w:t>结算手续</w:t>
      </w:r>
      <w:r>
        <w:rPr>
          <w:rFonts w:hint="eastAsia" w:ascii="仿宋_GB2312" w:hAnsi="仿宋_GB2312" w:eastAsia="仿宋_GB2312" w:cs="仿宋_GB2312"/>
          <w:color w:val="auto"/>
          <w:sz w:val="28"/>
          <w:szCs w:val="28"/>
          <w:lang w:val="en-US" w:eastAsia="zh-CN"/>
        </w:rPr>
        <w:t>；乙方在每次</w:t>
      </w:r>
      <w:r>
        <w:rPr>
          <w:rFonts w:hint="eastAsia" w:ascii="仿宋_GB2312" w:hAnsi="仿宋_GB2312" w:eastAsia="仿宋_GB2312" w:cs="仿宋_GB2312"/>
          <w:color w:val="auto"/>
          <w:sz w:val="28"/>
          <w:szCs w:val="28"/>
        </w:rPr>
        <w:t>结算后</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向甲方提供以自己名义</w:t>
      </w:r>
      <w:r>
        <w:rPr>
          <w:rFonts w:hint="eastAsia" w:ascii="仿宋_GB2312" w:hAnsi="仿宋_GB2312" w:eastAsia="仿宋_GB2312" w:cs="仿宋_GB2312"/>
          <w:color w:val="auto"/>
          <w:sz w:val="28"/>
          <w:szCs w:val="28"/>
        </w:rPr>
        <w:t>开具</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价税合计金额</w:t>
      </w:r>
      <w:r>
        <w:rPr>
          <w:rFonts w:hint="eastAsia" w:ascii="仿宋_GB2312" w:hAnsi="仿宋_GB2312" w:eastAsia="仿宋_GB2312" w:cs="仿宋_GB2312"/>
          <w:color w:val="auto"/>
          <w:sz w:val="28"/>
          <w:szCs w:val="28"/>
          <w:lang w:val="en-US" w:eastAsia="zh-CN"/>
        </w:rPr>
        <w:t>与该次结算价款金额等额的</w:t>
      </w:r>
      <w:r>
        <w:rPr>
          <w:rFonts w:hint="eastAsia" w:ascii="仿宋_GB2312" w:hAnsi="仿宋_GB2312" w:eastAsia="仿宋_GB2312" w:cs="仿宋_GB2312"/>
          <w:color w:val="auto"/>
          <w:sz w:val="28"/>
          <w:szCs w:val="28"/>
        </w:rPr>
        <w:t>增值税普通发票。甲方在</w:t>
      </w:r>
      <w:r>
        <w:rPr>
          <w:rFonts w:hint="eastAsia" w:ascii="仿宋_GB2312" w:hAnsi="仿宋_GB2312" w:eastAsia="仿宋_GB2312" w:cs="仿宋_GB2312"/>
          <w:color w:val="auto"/>
          <w:sz w:val="28"/>
          <w:szCs w:val="28"/>
          <w:lang w:val="en-US" w:eastAsia="zh-CN"/>
        </w:rPr>
        <w:t>每次</w:t>
      </w:r>
      <w:r>
        <w:rPr>
          <w:rFonts w:hint="eastAsia" w:ascii="仿宋_GB2312" w:hAnsi="仿宋_GB2312" w:eastAsia="仿宋_GB2312" w:cs="仿宋_GB2312"/>
          <w:color w:val="auto"/>
          <w:sz w:val="28"/>
          <w:szCs w:val="28"/>
        </w:rPr>
        <w:t>收到乙方的发票</w:t>
      </w:r>
      <w:r>
        <w:rPr>
          <w:rFonts w:hint="eastAsia" w:ascii="仿宋_GB2312" w:hAnsi="仿宋_GB2312" w:eastAsia="仿宋_GB2312" w:cs="仿宋_GB2312"/>
          <w:color w:val="auto"/>
          <w:sz w:val="28"/>
          <w:szCs w:val="28"/>
          <w:lang w:val="en-US" w:eastAsia="zh-CN"/>
        </w:rPr>
        <w:t>之日起</w:t>
      </w:r>
      <w:r>
        <w:rPr>
          <w:rFonts w:hint="eastAsia" w:ascii="仿宋_GB2312" w:hAnsi="仿宋_GB2312" w:eastAsia="仿宋_GB2312" w:cs="仿宋_GB2312"/>
          <w:color w:val="auto"/>
          <w:sz w:val="28"/>
          <w:szCs w:val="28"/>
          <w:u w:val="single"/>
          <w:lang w:val="en-US" w:eastAsia="zh-CN"/>
        </w:rPr>
        <w:t>150</w:t>
      </w:r>
      <w:r>
        <w:rPr>
          <w:rFonts w:hint="eastAsia" w:ascii="仿宋_GB2312" w:hAnsi="仿宋_GB2312" w:eastAsia="仿宋_GB2312" w:cs="仿宋_GB2312"/>
          <w:color w:val="auto"/>
          <w:sz w:val="28"/>
          <w:szCs w:val="28"/>
          <w:lang w:val="en-US" w:eastAsia="zh-CN"/>
        </w:rPr>
        <w:t>天内将该笔款项支付给乙方</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如乙方未提供发票，甲方有权顺延付款期限，由此产生的责任均由乙方自行承担。</w:t>
      </w:r>
    </w:p>
    <w:p w14:paraId="12E84B4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 xml:space="preserve">6.3 </w:t>
      </w:r>
      <w:r>
        <w:rPr>
          <w:rFonts w:hint="eastAsia" w:ascii="仿宋_GB2312" w:hAnsi="仿宋_GB2312" w:eastAsia="仿宋_GB2312" w:cs="仿宋_GB2312"/>
          <w:color w:val="auto"/>
          <w:sz w:val="28"/>
          <w:szCs w:val="28"/>
        </w:rPr>
        <w:t>甲方以银行转账的方式向乙方支付价款，乙方指定收款银行账户</w:t>
      </w:r>
      <w:r>
        <w:rPr>
          <w:rFonts w:hint="eastAsia" w:ascii="仿宋_GB2312" w:hAnsi="仿宋_GB2312" w:eastAsia="仿宋_GB2312" w:cs="仿宋_GB2312"/>
          <w:color w:val="auto"/>
          <w:sz w:val="28"/>
          <w:szCs w:val="28"/>
          <w:lang w:val="en-US" w:eastAsia="zh-CN"/>
        </w:rPr>
        <w:t>为</w:t>
      </w:r>
      <w:r>
        <w:rPr>
          <w:rFonts w:hint="eastAsia" w:ascii="仿宋_GB2312" w:hAnsi="仿宋_GB2312" w:eastAsia="仿宋_GB2312" w:cs="仿宋_GB2312"/>
          <w:color w:val="auto"/>
          <w:sz w:val="28"/>
          <w:szCs w:val="28"/>
          <w:lang w:eastAsia="zh-CN"/>
        </w:rPr>
        <w:t>：</w:t>
      </w:r>
    </w:p>
    <w:p w14:paraId="58584A5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_GB2312" w:hAnsi="仿宋_GB2312" w:eastAsia="仿宋_GB2312" w:cs="仿宋_GB2312"/>
          <w:color w:val="auto"/>
          <w:sz w:val="28"/>
          <w:szCs w:val="28"/>
          <w:u w:val="single"/>
          <w:lang w:val="en-US" w:eastAsia="zh-CN"/>
        </w:rPr>
      </w:pPr>
      <w:r>
        <w:rPr>
          <w:rFonts w:hint="eastAsia" w:ascii="仿宋_GB2312" w:hAnsi="仿宋_GB2312" w:eastAsia="仿宋_GB2312" w:cs="仿宋_GB2312"/>
          <w:color w:val="auto"/>
          <w:sz w:val="28"/>
          <w:szCs w:val="28"/>
        </w:rPr>
        <w:t>开户银行：</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p>
    <w:p w14:paraId="6A7C3A2B">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rPr>
        <w:t>户</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名：</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p>
    <w:p w14:paraId="28D27AC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_GB2312" w:hAnsi="仿宋_GB2312" w:eastAsia="仿宋_GB2312" w:cs="仿宋_GB2312"/>
          <w:color w:val="auto"/>
          <w:sz w:val="28"/>
          <w:szCs w:val="28"/>
          <w:u w:val="single"/>
          <w:lang w:val="en-US" w:eastAsia="zh-CN"/>
        </w:rPr>
      </w:pPr>
      <w:r>
        <w:rPr>
          <w:rFonts w:hint="eastAsia" w:ascii="仿宋_GB2312" w:hAnsi="仿宋_GB2312" w:eastAsia="仿宋_GB2312" w:cs="仿宋_GB2312"/>
          <w:color w:val="auto"/>
          <w:sz w:val="28"/>
          <w:szCs w:val="28"/>
        </w:rPr>
        <w:t>账</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号：</w:t>
      </w:r>
      <w:r>
        <w:rPr>
          <w:rFonts w:hint="eastAsia" w:ascii="仿宋_GB2312" w:hAnsi="仿宋_GB2312" w:eastAsia="仿宋_GB2312" w:cs="仿宋_GB2312"/>
          <w:color w:val="auto"/>
          <w:sz w:val="28"/>
          <w:szCs w:val="28"/>
          <w:u w:val="single"/>
          <w:lang w:val="en-US" w:eastAsia="zh-CN"/>
        </w:rPr>
        <w:t xml:space="preserve">                   </w:t>
      </w:r>
    </w:p>
    <w:p w14:paraId="3EFC977C">
      <w:pPr>
        <w:keepNext w:val="0"/>
        <w:keepLines w:val="0"/>
        <w:pageBreakBefore w:val="0"/>
        <w:widowControl w:val="0"/>
        <w:kinsoku/>
        <w:wordWrap/>
        <w:overflowPunct/>
        <w:topLinePunct w:val="0"/>
        <w:autoSpaceDE/>
        <w:autoSpaceDN/>
        <w:bidi w:val="0"/>
        <w:snapToGrid/>
        <w:spacing w:line="480" w:lineRule="exact"/>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w:t>
      </w:r>
      <w:r>
        <w:rPr>
          <w:rFonts w:hint="eastAsia" w:ascii="仿宋_GB2312" w:hAnsi="仿宋_GB2312" w:eastAsia="仿宋_GB2312" w:cs="仿宋_GB2312"/>
          <w:b/>
          <w:bCs/>
          <w:color w:val="auto"/>
          <w:sz w:val="28"/>
          <w:szCs w:val="28"/>
          <w:lang w:val="en-US" w:eastAsia="zh-CN"/>
        </w:rPr>
        <w:t>七</w:t>
      </w:r>
      <w:r>
        <w:rPr>
          <w:rFonts w:hint="eastAsia" w:ascii="仿宋_GB2312" w:hAnsi="仿宋_GB2312" w:eastAsia="仿宋_GB2312" w:cs="仿宋_GB2312"/>
          <w:b/>
          <w:bCs/>
          <w:color w:val="auto"/>
          <w:sz w:val="28"/>
          <w:szCs w:val="28"/>
        </w:rPr>
        <w:t>条 风险承担</w:t>
      </w:r>
    </w:p>
    <w:p w14:paraId="61CC1C5F">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7.1</w:t>
      </w:r>
      <w:r>
        <w:rPr>
          <w:rFonts w:hint="eastAsia" w:ascii="仿宋_GB2312" w:hAnsi="仿宋_GB2312" w:eastAsia="仿宋_GB2312" w:cs="仿宋_GB2312"/>
          <w:color w:val="auto"/>
          <w:sz w:val="28"/>
          <w:szCs w:val="28"/>
        </w:rPr>
        <w:t>甲方向乙方出具收货凭证之前产生的风险由乙方承担，出具收货凭证之后产生的风险由甲方承担，但因钢瓶质量、维护的原因产生的风险由乙方承担。</w:t>
      </w:r>
    </w:p>
    <w:p w14:paraId="74C5F662">
      <w:pPr>
        <w:keepNext w:val="0"/>
        <w:keepLines w:val="0"/>
        <w:pageBreakBefore w:val="0"/>
        <w:widowControl w:val="0"/>
        <w:kinsoku/>
        <w:wordWrap/>
        <w:overflowPunct/>
        <w:topLinePunct w:val="0"/>
        <w:autoSpaceDE/>
        <w:autoSpaceDN/>
        <w:bidi w:val="0"/>
        <w:snapToGrid/>
        <w:spacing w:line="480" w:lineRule="exact"/>
        <w:ind w:firstLine="560" w:firstLineChars="20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7.2 </w:t>
      </w:r>
      <w:r>
        <w:rPr>
          <w:rFonts w:hint="eastAsia" w:ascii="仿宋_GB2312" w:hAnsi="仿宋_GB2312" w:eastAsia="仿宋_GB2312" w:cs="仿宋_GB2312"/>
          <w:color w:val="auto"/>
          <w:sz w:val="28"/>
          <w:szCs w:val="28"/>
        </w:rPr>
        <w:t>乙方在履行本合同过程中</w:t>
      </w:r>
      <w:r>
        <w:rPr>
          <w:rFonts w:hint="eastAsia" w:ascii="仿宋_GB2312" w:hAnsi="仿宋_GB2312" w:eastAsia="仿宋_GB2312" w:cs="仿宋_GB2312"/>
          <w:color w:val="auto"/>
          <w:sz w:val="28"/>
          <w:szCs w:val="28"/>
          <w:lang w:val="en-US" w:eastAsia="zh-CN"/>
        </w:rPr>
        <w:t>发生事故</w:t>
      </w:r>
      <w:r>
        <w:rPr>
          <w:rFonts w:hint="eastAsia" w:ascii="仿宋_GB2312" w:hAnsi="仿宋_GB2312" w:eastAsia="仿宋_GB2312" w:cs="仿宋_GB2312"/>
          <w:color w:val="auto"/>
          <w:sz w:val="28"/>
          <w:szCs w:val="28"/>
        </w:rPr>
        <w:t>，给甲方（包括与甲方诊疗活动相关人员）、乙方及第三方人员</w:t>
      </w:r>
      <w:r>
        <w:rPr>
          <w:rFonts w:hint="eastAsia" w:ascii="仿宋_GB2312" w:hAnsi="仿宋_GB2312" w:eastAsia="仿宋_GB2312" w:cs="仿宋_GB2312"/>
          <w:color w:val="auto"/>
          <w:sz w:val="28"/>
          <w:szCs w:val="28"/>
          <w:lang w:val="en-US" w:eastAsia="zh-CN"/>
        </w:rPr>
        <w:t>的人身</w:t>
      </w:r>
      <w:r>
        <w:rPr>
          <w:rFonts w:hint="eastAsia" w:ascii="仿宋_GB2312" w:hAnsi="仿宋_GB2312" w:eastAsia="仿宋_GB2312" w:cs="仿宋_GB2312"/>
          <w:color w:val="auto"/>
          <w:sz w:val="28"/>
          <w:szCs w:val="28"/>
        </w:rPr>
        <w:t>、财产造成的损失，均由乙方负责处理和承担</w:t>
      </w:r>
      <w:r>
        <w:rPr>
          <w:rFonts w:hint="eastAsia" w:ascii="仿宋_GB2312" w:hAnsi="仿宋_GB2312" w:eastAsia="仿宋_GB2312" w:cs="仿宋_GB2312"/>
          <w:color w:val="auto"/>
          <w:sz w:val="28"/>
          <w:szCs w:val="28"/>
          <w:lang w:val="en-US" w:eastAsia="zh-CN"/>
        </w:rPr>
        <w:t>全部损失</w:t>
      </w:r>
      <w:r>
        <w:rPr>
          <w:rFonts w:hint="eastAsia" w:ascii="仿宋_GB2312" w:hAnsi="仿宋_GB2312" w:eastAsia="仿宋_GB2312" w:cs="仿宋_GB2312"/>
          <w:color w:val="auto"/>
          <w:sz w:val="28"/>
          <w:szCs w:val="28"/>
        </w:rPr>
        <w:t>。</w:t>
      </w:r>
    </w:p>
    <w:p w14:paraId="45014508">
      <w:pPr>
        <w:keepNext w:val="0"/>
        <w:keepLines w:val="0"/>
        <w:pageBreakBefore w:val="0"/>
        <w:widowControl w:val="0"/>
        <w:kinsoku/>
        <w:wordWrap/>
        <w:overflowPunct/>
        <w:topLinePunct w:val="0"/>
        <w:autoSpaceDE/>
        <w:autoSpaceDN/>
        <w:bidi w:val="0"/>
        <w:snapToGrid/>
        <w:spacing w:line="480" w:lineRule="exact"/>
        <w:ind w:firstLine="560" w:firstLineChars="200"/>
        <w:jc w:val="left"/>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7.3 如甲方因乙方产品、质保服务等原因涉及纠纷、诉讼或被处以行政处罚，由乙方承担甲方因纠纷、诉讼、罚款等造成的全部经济损失。</w:t>
      </w:r>
    </w:p>
    <w:p w14:paraId="4DECA1E4">
      <w:pPr>
        <w:keepNext w:val="0"/>
        <w:keepLines w:val="0"/>
        <w:pageBreakBefore w:val="0"/>
        <w:widowControl w:val="0"/>
        <w:kinsoku/>
        <w:wordWrap/>
        <w:overflowPunct/>
        <w:topLinePunct w:val="0"/>
        <w:autoSpaceDE/>
        <w:autoSpaceDN/>
        <w:bidi w:val="0"/>
        <w:snapToGrid/>
        <w:spacing w:line="480" w:lineRule="exact"/>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w:t>
      </w:r>
      <w:r>
        <w:rPr>
          <w:rFonts w:hint="eastAsia" w:ascii="仿宋_GB2312" w:hAnsi="仿宋_GB2312" w:eastAsia="仿宋_GB2312" w:cs="仿宋_GB2312"/>
          <w:b/>
          <w:bCs/>
          <w:color w:val="auto"/>
          <w:sz w:val="28"/>
          <w:szCs w:val="28"/>
          <w:lang w:val="en-US" w:eastAsia="zh-CN"/>
        </w:rPr>
        <w:t>八</w:t>
      </w:r>
      <w:r>
        <w:rPr>
          <w:rFonts w:hint="eastAsia" w:ascii="仿宋_GB2312" w:hAnsi="仿宋_GB2312" w:eastAsia="仿宋_GB2312" w:cs="仿宋_GB2312"/>
          <w:b/>
          <w:bCs/>
          <w:color w:val="auto"/>
          <w:sz w:val="28"/>
          <w:szCs w:val="28"/>
        </w:rPr>
        <w:t>条 其他约定</w:t>
      </w:r>
    </w:p>
    <w:p w14:paraId="164732CB">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 w:hAnsi="仿宋" w:eastAsia="仿宋" w:cs="仿宋"/>
          <w:b w:val="0"/>
          <w:i w:val="0"/>
          <w:iCs w:val="0"/>
          <w:caps w:val="0"/>
          <w:strike w:val="0"/>
          <w:color w:val="auto"/>
          <w:spacing w:val="0"/>
          <w:kern w:val="0"/>
          <w:sz w:val="28"/>
          <w:szCs w:val="28"/>
          <w:u w:val="none"/>
          <w:lang w:val="en-US" w:eastAsia="zh-CN" w:bidi="ar"/>
        </w:rPr>
      </w:pPr>
      <w:r>
        <w:rPr>
          <w:rFonts w:hint="eastAsia" w:ascii="仿宋_GB2312" w:hAnsi="仿宋_GB2312" w:eastAsia="仿宋_GB2312" w:cs="仿宋_GB2312"/>
          <w:color w:val="auto"/>
          <w:sz w:val="28"/>
          <w:szCs w:val="28"/>
          <w:lang w:val="en-US" w:eastAsia="zh-CN"/>
        </w:rPr>
        <w:t xml:space="preserve">8.1 </w:t>
      </w:r>
      <w:r>
        <w:rPr>
          <w:rFonts w:hint="eastAsia" w:ascii="仿宋_GB2312" w:hAnsi="仿宋_GB2312" w:eastAsia="仿宋_GB2312" w:cs="仿宋_GB2312"/>
          <w:color w:val="auto"/>
          <w:sz w:val="28"/>
          <w:szCs w:val="28"/>
        </w:rPr>
        <w:t>乙方</w:t>
      </w:r>
      <w:r>
        <w:rPr>
          <w:rFonts w:hint="eastAsia" w:ascii="仿宋" w:hAnsi="仿宋" w:eastAsia="仿宋" w:cs="仿宋"/>
          <w:b w:val="0"/>
          <w:i w:val="0"/>
          <w:iCs w:val="0"/>
          <w:caps w:val="0"/>
          <w:strike w:val="0"/>
          <w:color w:val="auto"/>
          <w:spacing w:val="0"/>
          <w:kern w:val="0"/>
          <w:sz w:val="28"/>
          <w:szCs w:val="28"/>
          <w:u w:val="none"/>
          <w:lang w:val="en-US" w:eastAsia="zh-CN" w:bidi="ar"/>
        </w:rPr>
        <w:t>每季度提供1次免费气瓶维护保养服务，包括气瓶外观检查、阀门密封性检测、防震圈更换等；每年提供2次技术培训，内容涵盖产品安全使用、应急处理、气瓶管理等。</w:t>
      </w:r>
    </w:p>
    <w:p w14:paraId="0062EAA0">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8.2 </w:t>
      </w:r>
      <w:r>
        <w:rPr>
          <w:rFonts w:hint="eastAsia" w:ascii="仿宋_GB2312" w:hAnsi="仿宋_GB2312" w:eastAsia="仿宋_GB2312" w:cs="仿宋_GB2312"/>
          <w:color w:val="auto"/>
          <w:sz w:val="28"/>
          <w:szCs w:val="28"/>
        </w:rPr>
        <w:t>乙方负责</w:t>
      </w:r>
      <w:r>
        <w:rPr>
          <w:rFonts w:hint="eastAsia" w:ascii="仿宋_GB2312" w:hAnsi="仿宋_GB2312" w:eastAsia="仿宋_GB2312" w:cs="仿宋_GB2312"/>
          <w:color w:val="auto"/>
          <w:sz w:val="28"/>
          <w:szCs w:val="28"/>
          <w:lang w:val="en-US" w:eastAsia="zh-CN"/>
        </w:rPr>
        <w:t>按相关要求</w:t>
      </w:r>
      <w:r>
        <w:rPr>
          <w:rFonts w:hint="eastAsia" w:ascii="仿宋_GB2312" w:hAnsi="仿宋_GB2312" w:eastAsia="仿宋_GB2312" w:cs="仿宋_GB2312"/>
          <w:color w:val="auto"/>
          <w:sz w:val="28"/>
          <w:szCs w:val="28"/>
        </w:rPr>
        <w:t>对甲方自有的钢瓶进行管理和检测。</w:t>
      </w:r>
    </w:p>
    <w:p w14:paraId="5036C690">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8.3 </w:t>
      </w:r>
      <w:r>
        <w:rPr>
          <w:rFonts w:hint="eastAsia" w:ascii="仿宋_GB2312" w:hAnsi="仿宋_GB2312" w:eastAsia="仿宋_GB2312" w:cs="仿宋_GB2312"/>
          <w:color w:val="auto"/>
          <w:sz w:val="28"/>
          <w:szCs w:val="28"/>
        </w:rPr>
        <w:t>甲方有义务在使用过程中遵守安全用气的相关规定。</w:t>
      </w:r>
    </w:p>
    <w:p w14:paraId="51361334">
      <w:pPr>
        <w:keepNext w:val="0"/>
        <w:keepLines w:val="0"/>
        <w:pageBreakBefore w:val="0"/>
        <w:widowControl w:val="0"/>
        <w:kinsoku/>
        <w:wordWrap/>
        <w:overflowPunct/>
        <w:topLinePunct w:val="0"/>
        <w:autoSpaceDE/>
        <w:autoSpaceDN/>
        <w:bidi w:val="0"/>
        <w:snapToGrid/>
        <w:spacing w:line="480" w:lineRule="exact"/>
        <w:ind w:firstLine="562"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b/>
          <w:bCs/>
          <w:color w:val="auto"/>
          <w:sz w:val="28"/>
          <w:szCs w:val="28"/>
          <w:lang w:val="en-US" w:eastAsia="zh-CN"/>
        </w:rPr>
        <w:t>第九条 廉洁条款</w:t>
      </w:r>
    </w:p>
    <w:p w14:paraId="004F0789">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9.1 乙方应严格遵守国家相关法律法规，涉及合同的有关业务活动必须坚持公开、公平、公正、诚信原则，不得为获取不正当利益，损害国家、集体和甲方利益。</w:t>
      </w:r>
    </w:p>
    <w:p w14:paraId="1B5F7D90">
      <w:pPr>
        <w:keepNext w:val="0"/>
        <w:keepLines w:val="0"/>
        <w:pageBreakBefore w:val="0"/>
        <w:widowControl w:val="0"/>
        <w:kinsoku/>
        <w:wordWrap/>
        <w:overflowPunct/>
        <w:topLinePunct w:val="0"/>
        <w:autoSpaceDE/>
        <w:autoSpaceDN/>
        <w:bidi w:val="0"/>
        <w:snapToGrid/>
        <w:spacing w:line="480" w:lineRule="exact"/>
        <w:ind w:firstLine="562" w:firstLineChars="200"/>
        <w:textAlignment w:val="auto"/>
        <w:rPr>
          <w:rFonts w:hint="eastAsia" w:ascii="仿宋_GB2312" w:hAnsi="仿宋_GB2312" w:eastAsia="仿宋_GB2312" w:cs="仿宋_GB2312"/>
          <w:b/>
          <w:bCs/>
          <w:color w:val="auto"/>
          <w:sz w:val="28"/>
          <w:szCs w:val="28"/>
          <w:u w:val="single"/>
        </w:rPr>
      </w:pPr>
      <w:r>
        <w:rPr>
          <w:rFonts w:hint="eastAsia" w:ascii="仿宋_GB2312" w:hAnsi="仿宋_GB2312" w:eastAsia="仿宋_GB2312" w:cs="仿宋_GB2312"/>
          <w:b/>
          <w:bCs/>
          <w:color w:val="auto"/>
          <w:sz w:val="28"/>
          <w:szCs w:val="28"/>
          <w:u w:val="single"/>
          <w:lang w:val="en-US" w:eastAsia="zh-CN"/>
        </w:rPr>
        <w:t>9.2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2C3F506C">
      <w:pPr>
        <w:keepNext w:val="0"/>
        <w:keepLines w:val="0"/>
        <w:pageBreakBefore w:val="0"/>
        <w:widowControl w:val="0"/>
        <w:kinsoku/>
        <w:wordWrap/>
        <w:overflowPunct/>
        <w:topLinePunct w:val="0"/>
        <w:autoSpaceDE/>
        <w:autoSpaceDN/>
        <w:bidi w:val="0"/>
        <w:snapToGrid/>
        <w:spacing w:line="480" w:lineRule="exact"/>
        <w:ind w:firstLine="562" w:firstLineChars="200"/>
        <w:textAlignment w:val="auto"/>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sz w:val="28"/>
          <w:szCs w:val="28"/>
          <w:lang w:val="en-US" w:eastAsia="zh-CN"/>
        </w:rPr>
        <w:t>第十条 保密条款</w:t>
      </w:r>
    </w:p>
    <w:p w14:paraId="111F3ED0">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10.1 本合同订立、履行、变更等产生的研究、商讨、交流等信息，履行本合同获悉的甲方商业秘密、运营信息、工作人员信息、患陪个人信息等，均属保密信息。</w:t>
      </w:r>
    </w:p>
    <w:p w14:paraId="3C481A3E">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10.2 乙方应对保密信息采取有效手段严格保密，不得用于非本合同之目的或向第三方泄露。如政府部门、法院或其他有权部门要求乙方提供保密信息，乙方应当立即向甲方通报。</w:t>
      </w:r>
    </w:p>
    <w:p w14:paraId="35BA2587">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10.3 因乙方未履行本合同保密义务造成甲方或第三方损失的，由乙方承担全部赔偿责任。</w:t>
      </w:r>
    </w:p>
    <w:p w14:paraId="0B5C83AC">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10.4 本合同保密条款在合同被认定无效、被撤销或终止、解除后仍然有效。</w:t>
      </w:r>
    </w:p>
    <w:p w14:paraId="01752F3F">
      <w:pPr>
        <w:pStyle w:val="15"/>
        <w:keepNext w:val="0"/>
        <w:keepLines w:val="0"/>
        <w:pageBreakBefore w:val="0"/>
        <w:widowControl w:val="0"/>
        <w:kinsoku/>
        <w:wordWrap/>
        <w:overflowPunct/>
        <w:topLinePunct w:val="0"/>
        <w:autoSpaceDE/>
        <w:autoSpaceDN/>
        <w:bidi w:val="0"/>
        <w:adjustRightInd/>
        <w:snapToGrid/>
        <w:spacing w:before="0" w:beforeAutospacing="0" w:after="0" w:afterAutospacing="0" w:line="480" w:lineRule="exact"/>
        <w:ind w:firstLine="562" w:firstLineChars="200"/>
        <w:textAlignment w:val="auto"/>
        <w:rPr>
          <w:rFonts w:hint="eastAsia" w:ascii="仿宋_GB2312" w:hAnsi="仿宋_GB2312" w:eastAsia="仿宋_GB2312" w:cs="仿宋_GB2312"/>
          <w:b/>
          <w:bCs w:val="0"/>
          <w:color w:val="auto"/>
          <w:sz w:val="28"/>
          <w:szCs w:val="28"/>
          <w:lang w:val="en-US" w:eastAsia="zh-CN"/>
        </w:rPr>
      </w:pPr>
      <w:r>
        <w:rPr>
          <w:rFonts w:hint="eastAsia" w:ascii="仿宋_GB2312" w:hAnsi="仿宋_GB2312" w:eastAsia="仿宋_GB2312" w:cs="仿宋_GB2312"/>
          <w:b/>
          <w:bCs w:val="0"/>
          <w:color w:val="auto"/>
          <w:sz w:val="28"/>
          <w:szCs w:val="28"/>
          <w:lang w:val="en-US" w:eastAsia="zh-CN"/>
        </w:rPr>
        <w:t>第十一条 通知与送达</w:t>
      </w:r>
    </w:p>
    <w:p w14:paraId="7832D5DE">
      <w:pPr>
        <w:pStyle w:val="15"/>
        <w:keepNext w:val="0"/>
        <w:keepLines w:val="0"/>
        <w:pageBreakBefore w:val="0"/>
        <w:widowControl w:val="0"/>
        <w:kinsoku/>
        <w:wordWrap/>
        <w:overflowPunct/>
        <w:topLinePunct w:val="0"/>
        <w:autoSpaceDE/>
        <w:autoSpaceDN/>
        <w:bidi w:val="0"/>
        <w:adjustRightInd/>
        <w:snapToGrid/>
        <w:spacing w:before="0" w:beforeAutospacing="0" w:after="0" w:afterAutospacing="0" w:line="480" w:lineRule="exact"/>
        <w:ind w:firstLine="560" w:firstLineChars="200"/>
        <w:textAlignment w:val="auto"/>
        <w:rPr>
          <w:rStyle w:val="16"/>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color w:val="auto"/>
          <w:sz w:val="28"/>
          <w:szCs w:val="28"/>
          <w:lang w:val="en-US" w:eastAsia="zh-CN"/>
        </w:rPr>
        <w:t xml:space="preserve">11.1 </w:t>
      </w:r>
      <w:r>
        <w:rPr>
          <w:rFonts w:hint="eastAsia" w:ascii="仿宋_GB2312" w:hAnsi="仿宋_GB2312" w:eastAsia="仿宋_GB2312" w:cs="仿宋_GB2312"/>
          <w:b w:val="0"/>
          <w:bCs/>
          <w:color w:val="auto"/>
          <w:sz w:val="28"/>
          <w:szCs w:val="28"/>
        </w:rPr>
        <w:t>甲乙双方同意，与本合同有关的任何文书，应以书面方式按照本合同约定发送，书面方式包括手机短信、微信、书面函件、电子邮件等形式。</w:t>
      </w:r>
    </w:p>
    <w:p w14:paraId="6F55D695">
      <w:pPr>
        <w:keepNext w:val="0"/>
        <w:keepLines w:val="0"/>
        <w:pageBreakBefore w:val="0"/>
        <w:widowControl w:val="0"/>
        <w:kinsoku/>
        <w:wordWrap/>
        <w:overflowPunct/>
        <w:topLinePunct w:val="0"/>
        <w:autoSpaceDE/>
        <w:autoSpaceDN/>
        <w:bidi w:val="0"/>
        <w:adjustRightInd/>
        <w:snapToGrid/>
        <w:spacing w:line="480" w:lineRule="exact"/>
        <w:ind w:lef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11.2 双方确认的文书（包括未来可能发生的诉讼或仲裁活动中法院或仲裁机构的送达法律文书）送达地址</w:t>
      </w:r>
      <w:r>
        <w:rPr>
          <w:rFonts w:hint="eastAsia" w:ascii="仿宋_GB2312" w:hAnsi="仿宋_GB2312" w:eastAsia="仿宋_GB2312" w:cs="仿宋_GB2312"/>
          <w:color w:val="auto"/>
          <w:sz w:val="28"/>
          <w:szCs w:val="28"/>
        </w:rPr>
        <w:t>：</w:t>
      </w:r>
    </w:p>
    <w:p w14:paraId="5D1F4A2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11.2.1 </w:t>
      </w:r>
      <w:r>
        <w:rPr>
          <w:rFonts w:hint="eastAsia" w:ascii="仿宋_GB2312" w:hAnsi="仿宋_GB2312" w:eastAsia="仿宋_GB2312" w:cs="仿宋_GB2312"/>
          <w:color w:val="auto"/>
          <w:sz w:val="28"/>
          <w:szCs w:val="28"/>
        </w:rPr>
        <w:t>甲方的文书送达地址</w:t>
      </w:r>
      <w:r>
        <w:rPr>
          <w:rFonts w:hint="eastAsia" w:ascii="仿宋_GB2312" w:hAnsi="仿宋_GB2312" w:eastAsia="仿宋_GB2312" w:cs="仿宋_GB2312"/>
          <w:color w:val="auto"/>
          <w:sz w:val="28"/>
          <w:szCs w:val="28"/>
          <w:u w:val="none"/>
        </w:rPr>
        <w:t>：</w:t>
      </w:r>
      <w:r>
        <w:rPr>
          <w:rFonts w:hint="eastAsia" w:ascii="仿宋_GB2312" w:hAnsi="仿宋_GB2312" w:eastAsia="仿宋_GB2312" w:cs="仿宋_GB2312"/>
          <w:color w:val="auto"/>
          <w:sz w:val="28"/>
          <w:szCs w:val="28"/>
          <w:u w:val="single"/>
          <w:lang w:val="en-US" w:eastAsia="zh-CN"/>
        </w:rPr>
        <w:t xml:space="preserve"> 娄底市中心医院总务科 </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收件</w:t>
      </w:r>
      <w:r>
        <w:rPr>
          <w:rFonts w:hint="eastAsia" w:ascii="仿宋_GB2312" w:hAnsi="仿宋_GB2312" w:eastAsia="仿宋_GB2312" w:cs="仿宋_GB2312"/>
          <w:color w:val="auto"/>
          <w:sz w:val="28"/>
          <w:szCs w:val="28"/>
        </w:rPr>
        <w:t>人：</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程俊杰</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，联系电话：</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18873820001</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none"/>
          <w:lang w:eastAsia="zh-CN"/>
        </w:rPr>
        <w:t>，微信号</w:t>
      </w:r>
      <w:r>
        <w:rPr>
          <w:rFonts w:hint="eastAsia" w:ascii="仿宋_GB2312" w:hAnsi="仿宋_GB2312" w:eastAsia="仿宋_GB2312" w:cs="仿宋_GB2312"/>
          <w:color w:val="auto"/>
          <w:sz w:val="28"/>
          <w:szCs w:val="28"/>
          <w:u w:val="none"/>
          <w:lang w:val="en-US" w:eastAsia="zh-CN"/>
        </w:rPr>
        <w:t>：</w:t>
      </w:r>
      <w:r>
        <w:rPr>
          <w:rFonts w:hint="eastAsia" w:ascii="仿宋_GB2312" w:hAnsi="仿宋_GB2312" w:eastAsia="仿宋_GB2312" w:cs="仿宋_GB2312"/>
          <w:color w:val="auto"/>
          <w:sz w:val="28"/>
          <w:szCs w:val="28"/>
          <w:u w:val="single"/>
          <w:lang w:eastAsia="zh-CN"/>
        </w:rPr>
        <w:t xml:space="preserve"> </w:t>
      </w:r>
      <w:r>
        <w:rPr>
          <w:rFonts w:hint="eastAsia" w:ascii="仿宋_GB2312" w:hAnsi="仿宋_GB2312" w:eastAsia="仿宋_GB2312" w:cs="仿宋_GB2312"/>
          <w:color w:val="auto"/>
          <w:sz w:val="28"/>
          <w:szCs w:val="28"/>
          <w:u w:val="single"/>
          <w:lang w:val="en-US" w:eastAsia="zh-CN"/>
        </w:rPr>
        <w:t>18873820001</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none"/>
          <w:lang w:eastAsia="zh-CN"/>
        </w:rPr>
        <w:t>，</w:t>
      </w:r>
      <w:r>
        <w:rPr>
          <w:rFonts w:hint="eastAsia" w:ascii="仿宋_GB2312" w:hAnsi="仿宋_GB2312" w:eastAsia="仿宋_GB2312" w:cs="仿宋_GB2312"/>
          <w:color w:val="auto"/>
          <w:sz w:val="28"/>
          <w:szCs w:val="28"/>
          <w:u w:val="none"/>
          <w:lang w:val="en-US" w:eastAsia="zh-CN"/>
        </w:rPr>
        <w:t>电子邮箱：</w:t>
      </w:r>
      <w:r>
        <w:rPr>
          <w:rFonts w:hint="eastAsia" w:ascii="仿宋_GB2312" w:hAnsi="仿宋_GB2312" w:eastAsia="仿宋_GB2312" w:cs="仿宋_GB2312"/>
          <w:color w:val="auto"/>
          <w:sz w:val="28"/>
          <w:szCs w:val="28"/>
          <w:u w:val="single"/>
          <w:lang w:val="en-US" w:eastAsia="zh-CN"/>
        </w:rPr>
        <w:t xml:space="preserve"> 317121229@qq.com </w:t>
      </w:r>
      <w:r>
        <w:rPr>
          <w:rFonts w:hint="eastAsia" w:ascii="仿宋_GB2312" w:hAnsi="仿宋_GB2312" w:eastAsia="仿宋_GB2312" w:cs="仿宋_GB2312"/>
          <w:color w:val="auto"/>
          <w:sz w:val="28"/>
          <w:szCs w:val="28"/>
        </w:rPr>
        <w:t>。</w:t>
      </w:r>
    </w:p>
    <w:p w14:paraId="0E47B27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11.2.2 </w:t>
      </w:r>
      <w:r>
        <w:rPr>
          <w:rFonts w:hint="eastAsia" w:ascii="仿宋_GB2312" w:hAnsi="仿宋_GB2312" w:eastAsia="仿宋_GB2312" w:cs="仿宋_GB2312"/>
          <w:color w:val="auto"/>
          <w:sz w:val="28"/>
          <w:szCs w:val="28"/>
        </w:rPr>
        <w:t>乙方的文书送达地址：</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收件</w:t>
      </w:r>
      <w:r>
        <w:rPr>
          <w:rFonts w:hint="eastAsia" w:ascii="仿宋_GB2312" w:hAnsi="仿宋_GB2312" w:eastAsia="仿宋_GB2312" w:cs="仿宋_GB2312"/>
          <w:color w:val="auto"/>
          <w:sz w:val="28"/>
          <w:szCs w:val="28"/>
        </w:rPr>
        <w:t>人：</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，联系电话：</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none"/>
          <w:lang w:eastAsia="zh-CN"/>
        </w:rPr>
        <w:t>，微信号</w:t>
      </w:r>
      <w:r>
        <w:rPr>
          <w:rFonts w:hint="eastAsia" w:ascii="仿宋_GB2312" w:hAnsi="仿宋_GB2312" w:eastAsia="仿宋_GB2312" w:cs="仿宋_GB2312"/>
          <w:color w:val="auto"/>
          <w:sz w:val="28"/>
          <w:szCs w:val="28"/>
          <w:u w:val="none"/>
          <w:lang w:val="en-US" w:eastAsia="zh-CN"/>
        </w:rPr>
        <w:t>：</w:t>
      </w:r>
      <w:r>
        <w:rPr>
          <w:rFonts w:hint="eastAsia" w:ascii="仿宋_GB2312" w:hAnsi="仿宋_GB2312" w:eastAsia="仿宋_GB2312" w:cs="仿宋_GB2312"/>
          <w:color w:val="auto"/>
          <w:sz w:val="28"/>
          <w:szCs w:val="28"/>
          <w:u w:val="single"/>
          <w:lang w:eastAsia="zh-CN"/>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lang w:eastAsia="zh-CN"/>
        </w:rPr>
        <w:t xml:space="preserve">  </w:t>
      </w:r>
      <w:r>
        <w:rPr>
          <w:rFonts w:hint="eastAsia" w:ascii="仿宋_GB2312" w:hAnsi="仿宋_GB2312" w:eastAsia="仿宋_GB2312" w:cs="仿宋_GB2312"/>
          <w:color w:val="auto"/>
          <w:sz w:val="28"/>
          <w:szCs w:val="28"/>
          <w:u w:val="none"/>
          <w:lang w:eastAsia="zh-CN"/>
        </w:rPr>
        <w:t>，</w:t>
      </w:r>
      <w:r>
        <w:rPr>
          <w:rFonts w:hint="eastAsia" w:ascii="仿宋_GB2312" w:hAnsi="仿宋_GB2312" w:eastAsia="仿宋_GB2312" w:cs="仿宋_GB2312"/>
          <w:color w:val="auto"/>
          <w:sz w:val="28"/>
          <w:szCs w:val="28"/>
          <w:u w:val="none"/>
          <w:lang w:val="en-US" w:eastAsia="zh-CN"/>
        </w:rPr>
        <w:t>电子邮箱：</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w:t>
      </w:r>
    </w:p>
    <w:p w14:paraId="485FCD77">
      <w:pPr>
        <w:keepNext w:val="0"/>
        <w:keepLines w:val="0"/>
        <w:pageBreakBefore w:val="0"/>
        <w:widowControl w:val="0"/>
        <w:kinsoku/>
        <w:wordWrap/>
        <w:overflowPunct/>
        <w:topLinePunct w:val="0"/>
        <w:autoSpaceDE/>
        <w:autoSpaceDN/>
        <w:bidi w:val="0"/>
        <w:adjustRightInd/>
        <w:snapToGrid/>
        <w:spacing w:line="480" w:lineRule="exact"/>
        <w:ind w:left="0" w:firstLine="560" w:firstLineChars="200"/>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b w:val="0"/>
          <w:bCs/>
          <w:color w:val="auto"/>
          <w:sz w:val="28"/>
          <w:szCs w:val="28"/>
          <w:lang w:val="en-US" w:eastAsia="zh-CN"/>
        </w:rPr>
        <w:t>11.3 上述</w:t>
      </w:r>
      <w:r>
        <w:rPr>
          <w:rFonts w:hint="eastAsia" w:ascii="仿宋_GB2312" w:hAnsi="仿宋_GB2312" w:eastAsia="仿宋_GB2312" w:cs="仿宋_GB2312"/>
          <w:b w:val="0"/>
          <w:bCs/>
          <w:color w:val="auto"/>
          <w:sz w:val="28"/>
          <w:szCs w:val="28"/>
        </w:rPr>
        <w:t>通知应被视为在下列时间送达：以快递或专人送达的，在收件人签收之日或拒收之日；以挂号邮件发出的，在发出之日起7个工作日；以电子邮件、短信、微信方式发出的，在文件进入收件方电子邮箱服务器或手机端之日。</w:t>
      </w:r>
    </w:p>
    <w:p w14:paraId="31C9D026">
      <w:pPr>
        <w:keepNext w:val="0"/>
        <w:keepLines w:val="0"/>
        <w:pageBreakBefore w:val="0"/>
        <w:widowControl w:val="0"/>
        <w:kinsoku/>
        <w:wordWrap/>
        <w:overflowPunct/>
        <w:topLinePunct w:val="0"/>
        <w:autoSpaceDE/>
        <w:autoSpaceDN/>
        <w:bidi w:val="0"/>
        <w:adjustRightInd/>
        <w:snapToGrid/>
        <w:spacing w:line="480" w:lineRule="exact"/>
        <w:ind w:left="0" w:firstLine="560" w:firstLineChars="200"/>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color w:val="auto"/>
          <w:sz w:val="28"/>
          <w:szCs w:val="28"/>
          <w:lang w:val="en-US" w:eastAsia="zh-CN"/>
        </w:rPr>
        <w:t xml:space="preserve">11.4 </w:t>
      </w:r>
      <w:r>
        <w:rPr>
          <w:rFonts w:hint="eastAsia" w:ascii="仿宋_GB2312" w:hAnsi="仿宋_GB2312" w:eastAsia="仿宋_GB2312" w:cs="仿宋_GB2312"/>
          <w:color w:val="auto"/>
          <w:sz w:val="28"/>
          <w:szCs w:val="28"/>
        </w:rPr>
        <w:t>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r>
        <w:rPr>
          <w:rFonts w:hint="eastAsia" w:ascii="仿宋_GB2312" w:hAnsi="仿宋_GB2312" w:eastAsia="仿宋_GB2312" w:cs="仿宋_GB2312"/>
          <w:b w:val="0"/>
          <w:bCs/>
          <w:color w:val="auto"/>
          <w:sz w:val="28"/>
          <w:szCs w:val="28"/>
        </w:rPr>
        <w:t>。</w:t>
      </w:r>
    </w:p>
    <w:p w14:paraId="1A2C3F23">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w:t>
      </w:r>
      <w:r>
        <w:rPr>
          <w:rFonts w:hint="eastAsia" w:ascii="仿宋_GB2312" w:hAnsi="仿宋_GB2312" w:eastAsia="仿宋_GB2312" w:cs="仿宋_GB2312"/>
          <w:b/>
          <w:bCs/>
          <w:color w:val="auto"/>
          <w:sz w:val="28"/>
          <w:szCs w:val="28"/>
          <w:lang w:val="en-US" w:eastAsia="zh-CN"/>
        </w:rPr>
        <w:t>十二</w:t>
      </w:r>
      <w:r>
        <w:rPr>
          <w:rFonts w:hint="eastAsia" w:ascii="仿宋_GB2312" w:hAnsi="仿宋_GB2312" w:eastAsia="仿宋_GB2312" w:cs="仿宋_GB2312"/>
          <w:b/>
          <w:bCs/>
          <w:color w:val="auto"/>
          <w:sz w:val="28"/>
          <w:szCs w:val="28"/>
        </w:rPr>
        <w:t>条 合同的补充、变更、解除和终止</w:t>
      </w:r>
    </w:p>
    <w:p w14:paraId="670A3B86">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12.1 本合同未尽事宜，双方协商一致后另行签订变更、补充协议</w:t>
      </w:r>
      <w:r>
        <w:rPr>
          <w:rFonts w:hint="eastAsia" w:ascii="仿宋_GB2312" w:hAnsi="仿宋_GB2312" w:eastAsia="仿宋_GB2312" w:cs="仿宋_GB2312"/>
          <w:color w:val="auto"/>
          <w:sz w:val="28"/>
          <w:szCs w:val="28"/>
        </w:rPr>
        <w:t>。</w:t>
      </w:r>
    </w:p>
    <w:p w14:paraId="0A2840D7">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default" w:ascii="仿宋_GB2312" w:hAnsi="仿宋_GB2312" w:eastAsia="仿宋_GB2312" w:cs="仿宋_GB2312"/>
          <w:b/>
          <w:bCs/>
          <w:color w:val="auto"/>
          <w:sz w:val="28"/>
          <w:szCs w:val="28"/>
          <w:u w:val="single"/>
          <w:lang w:val="en-US" w:eastAsia="zh-CN"/>
        </w:rPr>
      </w:pPr>
      <w:r>
        <w:rPr>
          <w:rFonts w:hint="eastAsia" w:ascii="仿宋_GB2312" w:hAnsi="仿宋_GB2312" w:eastAsia="仿宋_GB2312" w:cs="仿宋_GB2312"/>
          <w:b/>
          <w:bCs/>
          <w:color w:val="auto"/>
          <w:sz w:val="28"/>
          <w:szCs w:val="28"/>
          <w:u w:val="single"/>
          <w:lang w:val="en-US" w:eastAsia="zh-CN"/>
        </w:rPr>
        <w:t>12.2 如甲方因政策变化等非自身主观原因不需要购买本合同全部产品，经书面通知乙方后可以提前终止本合同；如甲方因运营需要等原因不需要购买本合同部分产品，不需要购买的部分自动从采购内容中剔除。</w:t>
      </w:r>
    </w:p>
    <w:p w14:paraId="6004613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12.3 </w:t>
      </w:r>
      <w:r>
        <w:rPr>
          <w:rFonts w:hint="eastAsia" w:ascii="仿宋_GB2312" w:hAnsi="仿宋_GB2312" w:eastAsia="仿宋_GB2312" w:cs="仿宋_GB2312"/>
          <w:color w:val="auto"/>
          <w:sz w:val="28"/>
          <w:szCs w:val="28"/>
        </w:rPr>
        <w:t>如乙方出现以下情形时，甲方可以单方解除合同：</w:t>
      </w:r>
    </w:p>
    <w:p w14:paraId="0BB04375">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val="en-US" w:eastAsia="zh-CN"/>
        </w:rPr>
        <w:t xml:space="preserve">12.3.1 </w:t>
      </w:r>
      <w:r>
        <w:rPr>
          <w:rFonts w:hint="eastAsia" w:ascii="仿宋_GB2312" w:hAnsi="仿宋_GB2312" w:eastAsia="仿宋_GB2312" w:cs="仿宋_GB2312"/>
          <w:color w:val="auto"/>
          <w:sz w:val="28"/>
          <w:szCs w:val="28"/>
          <w:highlight w:val="none"/>
        </w:rPr>
        <w:t>乙方交付的产品经验收不合格，</w:t>
      </w:r>
      <w:r>
        <w:rPr>
          <w:rFonts w:hint="eastAsia" w:ascii="仿宋_GB2312" w:hAnsi="仿宋_GB2312" w:eastAsia="仿宋_GB2312" w:cs="仿宋_GB2312"/>
          <w:color w:val="auto"/>
          <w:sz w:val="28"/>
          <w:szCs w:val="28"/>
          <w:highlight w:val="none"/>
          <w:lang w:val="en-US" w:eastAsia="zh-CN"/>
        </w:rPr>
        <w:t>经</w:t>
      </w:r>
      <w:r>
        <w:rPr>
          <w:rFonts w:hint="eastAsia" w:ascii="仿宋_GB2312" w:hAnsi="仿宋_GB2312" w:eastAsia="仿宋_GB2312" w:cs="仿宋_GB2312"/>
          <w:color w:val="auto"/>
          <w:sz w:val="28"/>
          <w:szCs w:val="28"/>
          <w:highlight w:val="none"/>
        </w:rPr>
        <w:t>甲方提出后</w:t>
      </w:r>
      <w:r>
        <w:rPr>
          <w:rFonts w:hint="eastAsia" w:ascii="仿宋_GB2312" w:hAnsi="仿宋_GB2312" w:eastAsia="仿宋_GB2312" w:cs="仿宋_GB2312"/>
          <w:color w:val="auto"/>
          <w:sz w:val="28"/>
          <w:szCs w:val="28"/>
          <w:highlight w:val="none"/>
          <w:lang w:val="en-US" w:eastAsia="zh-CN"/>
        </w:rPr>
        <w:t>3日内</w:t>
      </w:r>
      <w:r>
        <w:rPr>
          <w:rFonts w:hint="eastAsia" w:ascii="仿宋_GB2312" w:hAnsi="仿宋_GB2312" w:eastAsia="仿宋_GB2312" w:cs="仿宋_GB2312"/>
          <w:color w:val="auto"/>
          <w:sz w:val="28"/>
          <w:szCs w:val="28"/>
          <w:highlight w:val="none"/>
        </w:rPr>
        <w:t>仍不更换</w:t>
      </w:r>
      <w:r>
        <w:rPr>
          <w:rFonts w:hint="eastAsia" w:ascii="仿宋_GB2312" w:hAnsi="仿宋_GB2312" w:eastAsia="仿宋_GB2312" w:cs="仿宋_GB2312"/>
          <w:color w:val="auto"/>
          <w:sz w:val="28"/>
          <w:szCs w:val="28"/>
          <w:highlight w:val="none"/>
          <w:lang w:eastAsia="zh-CN"/>
        </w:rPr>
        <w:t>。</w:t>
      </w:r>
    </w:p>
    <w:p w14:paraId="2F5115D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12.3.2</w:t>
      </w:r>
      <w:r>
        <w:rPr>
          <w:rFonts w:hint="eastAsia" w:ascii="仿宋_GB2312" w:hAnsi="仿宋_GB2312" w:eastAsia="仿宋_GB2312" w:cs="仿宋_GB2312"/>
          <w:color w:val="auto"/>
          <w:sz w:val="28"/>
          <w:szCs w:val="28"/>
          <w:highlight w:val="none"/>
        </w:rPr>
        <w:t>乙方未在甲方约定的时间内提供产品，经甲方催告后</w:t>
      </w:r>
      <w:r>
        <w:rPr>
          <w:rFonts w:hint="eastAsia" w:ascii="仿宋_GB2312" w:hAnsi="仿宋_GB2312" w:eastAsia="仿宋_GB2312" w:cs="仿宋_GB2312"/>
          <w:color w:val="auto"/>
          <w:sz w:val="28"/>
          <w:szCs w:val="28"/>
          <w:highlight w:val="none"/>
          <w:lang w:val="en-US" w:eastAsia="zh-CN"/>
        </w:rPr>
        <w:t>3日内</w:t>
      </w:r>
      <w:r>
        <w:rPr>
          <w:rFonts w:hint="eastAsia" w:ascii="仿宋_GB2312" w:hAnsi="仿宋_GB2312" w:eastAsia="仿宋_GB2312" w:cs="仿宋_GB2312"/>
          <w:color w:val="auto"/>
          <w:sz w:val="28"/>
          <w:szCs w:val="28"/>
          <w:highlight w:val="none"/>
        </w:rPr>
        <w:t>仍不提供。</w:t>
      </w:r>
    </w:p>
    <w:p w14:paraId="150FFE5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b w:val="0"/>
          <w:bCs w:val="0"/>
          <w:color w:val="auto"/>
          <w:sz w:val="28"/>
          <w:szCs w:val="28"/>
          <w:lang w:val="en-US" w:eastAsia="zh-CN"/>
        </w:rPr>
      </w:pPr>
      <w:r>
        <w:rPr>
          <w:rFonts w:hint="eastAsia" w:ascii="仿宋_GB2312" w:hAnsi="仿宋_GB2312" w:eastAsia="仿宋_GB2312" w:cs="仿宋_GB2312"/>
          <w:b w:val="0"/>
          <w:bCs w:val="0"/>
          <w:color w:val="auto"/>
          <w:sz w:val="28"/>
          <w:szCs w:val="28"/>
          <w:lang w:val="en-US" w:eastAsia="zh-CN"/>
        </w:rPr>
        <w:t>12.3.3 乙方将本合同权利义务全部或部分转让给第三方的。</w:t>
      </w:r>
    </w:p>
    <w:p w14:paraId="5F0CC38F">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_GB2312" w:hAnsi="仿宋_GB2312" w:eastAsia="仿宋_GB2312" w:cs="仿宋_GB2312"/>
          <w:b w:val="0"/>
          <w:bCs w:val="0"/>
          <w:color w:val="auto"/>
          <w:sz w:val="28"/>
          <w:szCs w:val="28"/>
          <w:lang w:val="en-US" w:eastAsia="zh-CN"/>
        </w:rPr>
      </w:pPr>
      <w:r>
        <w:rPr>
          <w:rFonts w:hint="eastAsia" w:ascii="仿宋_GB2312" w:hAnsi="仿宋_GB2312" w:eastAsia="仿宋_GB2312" w:cs="仿宋_GB2312"/>
          <w:b w:val="0"/>
          <w:bCs w:val="0"/>
          <w:color w:val="auto"/>
          <w:sz w:val="28"/>
          <w:szCs w:val="28"/>
          <w:lang w:val="en-US" w:eastAsia="zh-CN"/>
        </w:rPr>
        <w:t>12.3.4 其他根本违约的情形。</w:t>
      </w:r>
    </w:p>
    <w:p w14:paraId="3F0BAD95">
      <w:pPr>
        <w:keepNext w:val="0"/>
        <w:keepLines w:val="0"/>
        <w:pageBreakBefore w:val="0"/>
        <w:widowControl w:val="0"/>
        <w:kinsoku/>
        <w:wordWrap/>
        <w:overflowPunct/>
        <w:topLinePunct w:val="0"/>
        <w:autoSpaceDE/>
        <w:autoSpaceDN/>
        <w:bidi w:val="0"/>
        <w:snapToGrid/>
        <w:spacing w:line="480" w:lineRule="exact"/>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w:t>
      </w:r>
      <w:r>
        <w:rPr>
          <w:rFonts w:hint="eastAsia" w:ascii="仿宋_GB2312" w:hAnsi="仿宋_GB2312" w:eastAsia="仿宋_GB2312" w:cs="仿宋_GB2312"/>
          <w:b/>
          <w:bCs/>
          <w:color w:val="auto"/>
          <w:sz w:val="28"/>
          <w:szCs w:val="28"/>
          <w:lang w:val="en-US" w:eastAsia="zh-CN"/>
        </w:rPr>
        <w:t>十三</w:t>
      </w:r>
      <w:r>
        <w:rPr>
          <w:rFonts w:hint="eastAsia" w:ascii="仿宋_GB2312" w:hAnsi="仿宋_GB2312" w:eastAsia="仿宋_GB2312" w:cs="仿宋_GB2312"/>
          <w:b/>
          <w:bCs/>
          <w:color w:val="auto"/>
          <w:sz w:val="28"/>
          <w:szCs w:val="28"/>
        </w:rPr>
        <w:t>条 违约责任</w:t>
      </w:r>
    </w:p>
    <w:p w14:paraId="206A6281">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default"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13.1 甲方因12.2情形提前终止本合同或剔除部分采购内容均无须承担违约责任，乙方不得因此要求甲方予以任何经济赔偿或补偿。</w:t>
      </w:r>
    </w:p>
    <w:p w14:paraId="64553BD0">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 xml:space="preserve">13.2 </w:t>
      </w:r>
      <w:r>
        <w:rPr>
          <w:rFonts w:hint="eastAsia" w:ascii="仿宋_GB2312" w:hAnsi="仿宋_GB2312" w:eastAsia="仿宋_GB2312" w:cs="仿宋_GB2312"/>
          <w:color w:val="auto"/>
          <w:sz w:val="28"/>
          <w:szCs w:val="28"/>
          <w:highlight w:val="none"/>
        </w:rPr>
        <w:t>如甲方在使用过程中丢失乙方的钢瓶，</w:t>
      </w:r>
      <w:r>
        <w:rPr>
          <w:rFonts w:hint="eastAsia" w:ascii="仿宋_GB2312" w:hAnsi="仿宋_GB2312" w:eastAsia="仿宋_GB2312" w:cs="仿宋_GB2312"/>
          <w:color w:val="auto"/>
          <w:sz w:val="28"/>
          <w:szCs w:val="28"/>
          <w:highlight w:val="none"/>
          <w:lang w:val="en-US" w:eastAsia="zh-CN"/>
        </w:rPr>
        <w:t>甲方按照丢失钢瓶的同型号钢瓶市场询价价格标准</w:t>
      </w:r>
      <w:r>
        <w:rPr>
          <w:rFonts w:hint="eastAsia" w:ascii="仿宋_GB2312" w:hAnsi="仿宋_GB2312" w:eastAsia="仿宋_GB2312" w:cs="仿宋_GB2312"/>
          <w:color w:val="auto"/>
          <w:sz w:val="28"/>
          <w:szCs w:val="28"/>
          <w:highlight w:val="none"/>
        </w:rPr>
        <w:t>赔偿给乙方。</w:t>
      </w:r>
    </w:p>
    <w:p w14:paraId="1FC5A50C">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13.3 </w:t>
      </w:r>
      <w:r>
        <w:rPr>
          <w:rFonts w:hint="eastAsia" w:ascii="仿宋_GB2312" w:hAnsi="仿宋_GB2312" w:eastAsia="仿宋_GB2312" w:cs="仿宋_GB2312"/>
          <w:color w:val="auto"/>
          <w:sz w:val="28"/>
          <w:szCs w:val="28"/>
        </w:rPr>
        <w:t>乙方未按约定时间向甲方提供产品</w:t>
      </w:r>
      <w:r>
        <w:rPr>
          <w:rFonts w:hint="eastAsia" w:ascii="仿宋_GB2312" w:hAnsi="仿宋_GB2312" w:eastAsia="仿宋_GB2312" w:cs="仿宋_GB2312"/>
          <w:color w:val="auto"/>
          <w:sz w:val="28"/>
          <w:szCs w:val="28"/>
          <w:lang w:eastAsia="zh-CN"/>
        </w:rPr>
        <w:t>，</w:t>
      </w:r>
      <w:r>
        <w:rPr>
          <w:rFonts w:hint="eastAsia" w:ascii="仿宋" w:hAnsi="仿宋" w:eastAsia="仿宋" w:cs="仿宋"/>
          <w:b w:val="0"/>
          <w:i w:val="0"/>
          <w:iCs w:val="0"/>
          <w:caps w:val="0"/>
          <w:strike w:val="0"/>
          <w:color w:val="auto"/>
          <w:spacing w:val="0"/>
          <w:kern w:val="0"/>
          <w:sz w:val="28"/>
          <w:szCs w:val="28"/>
          <w:u w:val="none"/>
          <w:lang w:val="en-US" w:eastAsia="zh-CN" w:bidi="ar"/>
        </w:rPr>
        <w:t>每延迟1小时按500元/小时</w:t>
      </w:r>
      <w:r>
        <w:rPr>
          <w:rFonts w:hint="eastAsia" w:ascii="仿宋" w:hAnsi="仿宋" w:eastAsia="仿宋" w:cs="仿宋"/>
          <w:b w:val="0"/>
          <w:i w:val="0"/>
          <w:iCs w:val="0"/>
          <w:caps w:val="0"/>
          <w:strike w:val="0"/>
          <w:color w:val="0000FF"/>
          <w:spacing w:val="0"/>
          <w:kern w:val="0"/>
          <w:sz w:val="28"/>
          <w:szCs w:val="28"/>
          <w:u w:val="none"/>
          <w:lang w:val="en-US" w:eastAsia="zh-CN" w:bidi="ar"/>
        </w:rPr>
        <w:t>标准向甲方</w:t>
      </w:r>
      <w:r>
        <w:rPr>
          <w:rFonts w:hint="eastAsia" w:ascii="仿宋" w:hAnsi="仿宋" w:eastAsia="仿宋" w:cs="仿宋"/>
          <w:b w:val="0"/>
          <w:i w:val="0"/>
          <w:iCs w:val="0"/>
          <w:caps w:val="0"/>
          <w:strike w:val="0"/>
          <w:color w:val="auto"/>
          <w:spacing w:val="0"/>
          <w:kern w:val="0"/>
          <w:sz w:val="28"/>
          <w:szCs w:val="28"/>
          <w:u w:val="none"/>
          <w:lang w:val="en-US" w:eastAsia="zh-CN" w:bidi="ar"/>
        </w:rPr>
        <w:t>支付违约金；</w:t>
      </w:r>
      <w:r>
        <w:rPr>
          <w:rFonts w:hint="eastAsia" w:ascii="仿宋_GB2312" w:hAnsi="仿宋_GB2312" w:eastAsia="仿宋_GB2312" w:cs="仿宋_GB2312"/>
          <w:color w:val="auto"/>
          <w:sz w:val="28"/>
          <w:szCs w:val="28"/>
          <w:lang w:val="en-US" w:eastAsia="zh-CN"/>
        </w:rPr>
        <w:t>或乙方未及时更换不合格产品的</w:t>
      </w:r>
      <w:r>
        <w:rPr>
          <w:rFonts w:hint="eastAsia" w:ascii="仿宋_GB2312" w:hAnsi="仿宋_GB2312" w:eastAsia="仿宋_GB2312" w:cs="仿宋_GB2312"/>
          <w:color w:val="auto"/>
          <w:sz w:val="28"/>
          <w:szCs w:val="28"/>
        </w:rPr>
        <w:t>，除赔偿甲方由此造成的损失外，每逾期一日，还应向甲方支付违约金</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0000FF"/>
          <w:sz w:val="28"/>
          <w:szCs w:val="28"/>
          <w:u w:val="single"/>
          <w:lang w:val="en-US" w:eastAsia="zh-CN"/>
        </w:rPr>
        <w:t>900.00</w:t>
      </w:r>
      <w:r>
        <w:rPr>
          <w:rFonts w:hint="eastAsia" w:ascii="仿宋_GB2312" w:hAnsi="仿宋_GB2312" w:eastAsia="仿宋_GB2312" w:cs="仿宋_GB2312"/>
          <w:color w:val="auto"/>
          <w:sz w:val="28"/>
          <w:szCs w:val="28"/>
        </w:rPr>
        <w:t>元。</w:t>
      </w:r>
    </w:p>
    <w:p w14:paraId="6B69D76C">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13.4 </w:t>
      </w:r>
      <w:r>
        <w:rPr>
          <w:rFonts w:hint="eastAsia" w:ascii="仿宋_GB2312" w:hAnsi="仿宋_GB2312" w:eastAsia="仿宋_GB2312" w:cs="仿宋_GB2312"/>
          <w:color w:val="auto"/>
          <w:sz w:val="28"/>
          <w:szCs w:val="28"/>
        </w:rPr>
        <w:t>乙方提供的产品不合格给甲</w:t>
      </w:r>
      <w:r>
        <w:rPr>
          <w:rFonts w:hint="eastAsia" w:ascii="仿宋_GB2312" w:hAnsi="仿宋_GB2312" w:eastAsia="仿宋_GB2312" w:cs="仿宋_GB2312"/>
          <w:color w:val="auto"/>
          <w:sz w:val="28"/>
          <w:szCs w:val="28"/>
          <w:lang w:val="en-US" w:eastAsia="zh-CN"/>
        </w:rPr>
        <w:t>方及第三方</w:t>
      </w:r>
      <w:r>
        <w:rPr>
          <w:rFonts w:hint="eastAsia" w:ascii="仿宋_GB2312" w:hAnsi="仿宋_GB2312" w:eastAsia="仿宋_GB2312" w:cs="仿宋_GB2312"/>
          <w:color w:val="auto"/>
          <w:sz w:val="28"/>
          <w:szCs w:val="28"/>
        </w:rPr>
        <w:t>造成损失，除应赔偿甲方</w:t>
      </w:r>
      <w:r>
        <w:rPr>
          <w:rFonts w:hint="eastAsia" w:ascii="仿宋_GB2312" w:hAnsi="仿宋_GB2312" w:eastAsia="仿宋_GB2312" w:cs="仿宋_GB2312"/>
          <w:color w:val="auto"/>
          <w:sz w:val="28"/>
          <w:szCs w:val="28"/>
          <w:lang w:val="en-US" w:eastAsia="zh-CN"/>
        </w:rPr>
        <w:t>及第三方</w:t>
      </w:r>
      <w:r>
        <w:rPr>
          <w:rFonts w:hint="eastAsia" w:ascii="仿宋_GB2312" w:hAnsi="仿宋_GB2312" w:eastAsia="仿宋_GB2312" w:cs="仿宋_GB2312"/>
          <w:color w:val="auto"/>
          <w:sz w:val="28"/>
          <w:szCs w:val="28"/>
        </w:rPr>
        <w:t>由此造成的全部损失外，还应按</w:t>
      </w:r>
      <w:r>
        <w:rPr>
          <w:rFonts w:hint="eastAsia" w:ascii="仿宋_GB2312" w:hAnsi="仿宋_GB2312" w:eastAsia="仿宋_GB2312" w:cs="仿宋_GB2312"/>
          <w:color w:val="auto"/>
          <w:sz w:val="28"/>
          <w:szCs w:val="28"/>
          <w:lang w:val="en-US" w:eastAsia="zh-CN"/>
        </w:rPr>
        <w:t>总</w:t>
      </w:r>
      <w:r>
        <w:rPr>
          <w:rFonts w:hint="eastAsia" w:ascii="仿宋_GB2312" w:hAnsi="仿宋_GB2312" w:eastAsia="仿宋_GB2312" w:cs="仿宋_GB2312"/>
          <w:color w:val="auto"/>
          <w:sz w:val="28"/>
          <w:szCs w:val="28"/>
        </w:rPr>
        <w:t>损失的30％向甲方支付违约金。</w:t>
      </w:r>
    </w:p>
    <w:p w14:paraId="0E14FD41">
      <w:pPr>
        <w:keepNext w:val="0"/>
        <w:keepLines w:val="0"/>
        <w:pageBreakBefore w:val="0"/>
        <w:widowControl w:val="0"/>
        <w:kinsoku/>
        <w:wordWrap/>
        <w:overflowPunct/>
        <w:topLinePunct w:val="0"/>
        <w:autoSpaceDE/>
        <w:autoSpaceDN/>
        <w:bidi w:val="0"/>
        <w:adjustRightInd w:val="0"/>
        <w:snapToGrid/>
        <w:spacing w:line="480" w:lineRule="exact"/>
        <w:ind w:firstLine="560" w:firstLineChars="200"/>
        <w:textAlignment w:val="auto"/>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lang w:val="en-US" w:eastAsia="zh-CN"/>
        </w:rPr>
        <w:t xml:space="preserve">13.5 </w:t>
      </w:r>
      <w:r>
        <w:rPr>
          <w:rFonts w:hint="eastAsia" w:ascii="仿宋_GB2312" w:hAnsi="仿宋_GB2312" w:eastAsia="仿宋_GB2312" w:cs="仿宋_GB2312"/>
          <w:color w:val="auto"/>
          <w:kern w:val="0"/>
          <w:sz w:val="28"/>
          <w:szCs w:val="28"/>
        </w:rPr>
        <w:t>如</w:t>
      </w:r>
      <w:r>
        <w:rPr>
          <w:rFonts w:hint="eastAsia" w:ascii="仿宋_GB2312" w:hAnsi="仿宋_GB2312" w:eastAsia="仿宋_GB2312" w:cs="仿宋_GB2312"/>
          <w:color w:val="auto"/>
          <w:kern w:val="0"/>
          <w:sz w:val="28"/>
          <w:szCs w:val="28"/>
          <w:lang w:val="en-US" w:eastAsia="zh-CN"/>
        </w:rPr>
        <w:t>乙方单方解除合同或甲方因12.3情形解除合同</w:t>
      </w:r>
      <w:r>
        <w:rPr>
          <w:rFonts w:hint="eastAsia" w:ascii="仿宋_GB2312" w:hAnsi="仿宋_GB2312" w:eastAsia="仿宋_GB2312" w:cs="仿宋_GB2312"/>
          <w:color w:val="auto"/>
          <w:kern w:val="0"/>
          <w:sz w:val="28"/>
          <w:szCs w:val="28"/>
        </w:rPr>
        <w:t>，</w:t>
      </w:r>
      <w:r>
        <w:rPr>
          <w:rFonts w:hint="eastAsia" w:ascii="仿宋_GB2312" w:hAnsi="仿宋_GB2312" w:eastAsia="仿宋_GB2312" w:cs="仿宋_GB2312"/>
          <w:color w:val="auto"/>
          <w:kern w:val="0"/>
          <w:sz w:val="28"/>
          <w:szCs w:val="28"/>
          <w:lang w:val="en-US" w:eastAsia="zh-CN"/>
        </w:rPr>
        <w:t>乙方</w:t>
      </w:r>
      <w:r>
        <w:rPr>
          <w:rFonts w:hint="eastAsia" w:ascii="仿宋_GB2312" w:hAnsi="仿宋_GB2312" w:eastAsia="仿宋_GB2312" w:cs="仿宋_GB2312"/>
          <w:color w:val="auto"/>
          <w:kern w:val="0"/>
          <w:sz w:val="28"/>
          <w:szCs w:val="28"/>
        </w:rPr>
        <w:t>除应赔偿甲方由此造成的全部经济损失外，还应向甲方支付违约金</w:t>
      </w:r>
      <w:r>
        <w:rPr>
          <w:rFonts w:hint="eastAsia" w:ascii="仿宋_GB2312" w:hAnsi="仿宋_GB2312" w:eastAsia="仿宋_GB2312" w:cs="仿宋_GB2312"/>
          <w:color w:val="auto"/>
          <w:kern w:val="0"/>
          <w:sz w:val="28"/>
          <w:szCs w:val="28"/>
          <w:u w:val="single"/>
        </w:rPr>
        <w:t xml:space="preserve"> </w:t>
      </w:r>
      <w:r>
        <w:rPr>
          <w:rFonts w:hint="eastAsia" w:ascii="仿宋_GB2312" w:hAnsi="仿宋_GB2312" w:eastAsia="仿宋_GB2312" w:cs="仿宋_GB2312"/>
          <w:color w:val="0000FF"/>
          <w:kern w:val="0"/>
          <w:sz w:val="28"/>
          <w:szCs w:val="28"/>
          <w:u w:val="single"/>
          <w:lang w:val="en-US" w:eastAsia="zh-CN"/>
        </w:rPr>
        <w:t>91000.00</w:t>
      </w:r>
      <w:r>
        <w:rPr>
          <w:rFonts w:hint="eastAsia" w:ascii="仿宋_GB2312" w:hAnsi="仿宋_GB2312" w:eastAsia="仿宋_GB2312" w:cs="仿宋_GB2312"/>
          <w:color w:val="auto"/>
          <w:kern w:val="0"/>
          <w:sz w:val="28"/>
          <w:szCs w:val="28"/>
          <w:u w:val="single"/>
        </w:rPr>
        <w:t xml:space="preserve"> </w:t>
      </w:r>
      <w:r>
        <w:rPr>
          <w:rFonts w:hint="eastAsia" w:ascii="仿宋_GB2312" w:hAnsi="仿宋_GB2312" w:eastAsia="仿宋_GB2312" w:cs="仿宋_GB2312"/>
          <w:color w:val="auto"/>
          <w:kern w:val="0"/>
          <w:sz w:val="28"/>
          <w:szCs w:val="28"/>
        </w:rPr>
        <w:t>元。</w:t>
      </w:r>
    </w:p>
    <w:p w14:paraId="3AB2ADDF">
      <w:pPr>
        <w:keepNext w:val="0"/>
        <w:keepLines w:val="0"/>
        <w:pageBreakBefore w:val="0"/>
        <w:widowControl w:val="0"/>
        <w:kinsoku/>
        <w:wordWrap/>
        <w:overflowPunct/>
        <w:topLinePunct w:val="0"/>
        <w:autoSpaceDE/>
        <w:autoSpaceDN/>
        <w:bidi w:val="0"/>
        <w:adjustRightInd w:val="0"/>
        <w:snapToGrid/>
        <w:spacing w:line="480" w:lineRule="exact"/>
        <w:ind w:firstLine="562" w:firstLineChars="200"/>
        <w:textAlignment w:val="auto"/>
        <w:rPr>
          <w:rFonts w:hint="eastAsia" w:ascii="仿宋_GB2312" w:hAnsi="仿宋_GB2312" w:eastAsia="仿宋_GB2312" w:cs="仿宋_GB2312"/>
          <w:b/>
          <w:bCs/>
          <w:color w:val="auto"/>
          <w:kern w:val="0"/>
          <w:sz w:val="28"/>
          <w:szCs w:val="28"/>
          <w:u w:val="single"/>
          <w:lang w:val="en-US" w:eastAsia="zh-CN"/>
        </w:rPr>
      </w:pPr>
      <w:r>
        <w:rPr>
          <w:rFonts w:hint="eastAsia" w:ascii="仿宋_GB2312" w:hAnsi="仿宋_GB2312" w:eastAsia="仿宋_GB2312" w:cs="仿宋_GB2312"/>
          <w:b/>
          <w:bCs/>
          <w:color w:val="auto"/>
          <w:kern w:val="0"/>
          <w:sz w:val="28"/>
          <w:szCs w:val="28"/>
          <w:u w:val="single"/>
          <w:lang w:val="en-US" w:eastAsia="zh-CN"/>
        </w:rPr>
        <w:t>13.6 无论甲方在任意时候（不限于本合同履行期间）发现存在违反本合同廉洁条款的行为，乙方均须向甲方一次性支付惩罚性违约金30000.00元。如乙方除需承担违反廉洁条款的违约责任外，同时存在其他违约行为，乙方仍须就其他违约行为承担相应违约责任。</w:t>
      </w:r>
    </w:p>
    <w:p w14:paraId="4F0E3B65">
      <w:pPr>
        <w:keepNext w:val="0"/>
        <w:keepLines w:val="0"/>
        <w:pageBreakBefore w:val="0"/>
        <w:widowControl w:val="0"/>
        <w:kinsoku/>
        <w:wordWrap/>
        <w:overflowPunct/>
        <w:topLinePunct w:val="0"/>
        <w:autoSpaceDE/>
        <w:autoSpaceDN/>
        <w:bidi w:val="0"/>
        <w:adjustRightInd w:val="0"/>
        <w:snapToGrid/>
        <w:spacing w:line="480" w:lineRule="exact"/>
        <w:ind w:firstLine="562" w:firstLineChars="200"/>
        <w:textAlignment w:val="auto"/>
        <w:rPr>
          <w:rFonts w:hint="eastAsia" w:ascii="仿宋_GB2312" w:hAnsi="仿宋_GB2312" w:eastAsia="仿宋_GB2312" w:cs="仿宋_GB2312"/>
          <w:b/>
          <w:bCs/>
          <w:color w:val="auto"/>
          <w:kern w:val="0"/>
          <w:sz w:val="28"/>
          <w:szCs w:val="28"/>
          <w:u w:val="single"/>
          <w:lang w:val="en-US" w:eastAsia="zh-CN"/>
        </w:rPr>
      </w:pPr>
      <w:r>
        <w:rPr>
          <w:rFonts w:hint="eastAsia" w:ascii="仿宋_GB2312" w:hAnsi="仿宋_GB2312" w:eastAsia="仿宋_GB2312" w:cs="仿宋_GB2312"/>
          <w:b/>
          <w:bCs/>
          <w:color w:val="auto"/>
          <w:kern w:val="0"/>
          <w:sz w:val="28"/>
          <w:szCs w:val="28"/>
          <w:u w:val="single"/>
          <w:lang w:val="en-US" w:eastAsia="zh-CN"/>
        </w:rPr>
        <w:t>13.7 依据本合同约定乙方应支付给甲方的违约金，甲方有权在应支付给乙方的任意价款中直接予以扣除，如扣除部分不足，乙方应在接到甲方通知后3日内补足。</w:t>
      </w:r>
    </w:p>
    <w:p w14:paraId="444055F9">
      <w:pPr>
        <w:keepNext w:val="0"/>
        <w:keepLines w:val="0"/>
        <w:pageBreakBefore w:val="0"/>
        <w:widowControl w:val="0"/>
        <w:kinsoku/>
        <w:wordWrap/>
        <w:overflowPunct/>
        <w:topLinePunct w:val="0"/>
        <w:autoSpaceDE/>
        <w:autoSpaceDN/>
        <w:bidi w:val="0"/>
        <w:snapToGrid/>
        <w:spacing w:line="480" w:lineRule="exact"/>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第十</w:t>
      </w:r>
      <w:r>
        <w:rPr>
          <w:rFonts w:hint="eastAsia" w:ascii="仿宋_GB2312" w:hAnsi="仿宋_GB2312" w:eastAsia="仿宋_GB2312" w:cs="仿宋_GB2312"/>
          <w:b/>
          <w:bCs/>
          <w:color w:val="auto"/>
          <w:sz w:val="28"/>
          <w:szCs w:val="28"/>
          <w:lang w:val="en-US" w:eastAsia="zh-CN"/>
        </w:rPr>
        <w:t>四</w:t>
      </w:r>
      <w:r>
        <w:rPr>
          <w:rFonts w:hint="eastAsia" w:ascii="仿宋_GB2312" w:hAnsi="仿宋_GB2312" w:eastAsia="仿宋_GB2312" w:cs="仿宋_GB2312"/>
          <w:b/>
          <w:bCs/>
          <w:color w:val="auto"/>
          <w:sz w:val="28"/>
          <w:szCs w:val="28"/>
        </w:rPr>
        <w:t>条 争议解决方式</w:t>
      </w:r>
    </w:p>
    <w:p w14:paraId="6167D174">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如双方在履行本合同过程中发生争议，双方应先协商解决，协商解决不成的，任一方均可向甲方所在地有管辖权的人民法院提起诉讼解决。</w:t>
      </w:r>
    </w:p>
    <w:p w14:paraId="7B5486FC">
      <w:pPr>
        <w:keepNext w:val="0"/>
        <w:keepLines w:val="0"/>
        <w:pageBreakBefore w:val="0"/>
        <w:widowControl w:val="0"/>
        <w:kinsoku/>
        <w:wordWrap/>
        <w:overflowPunct/>
        <w:topLinePunct w:val="0"/>
        <w:autoSpaceDE/>
        <w:autoSpaceDN/>
        <w:bidi w:val="0"/>
        <w:snapToGrid/>
        <w:spacing w:line="480" w:lineRule="exact"/>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第十</w:t>
      </w:r>
      <w:r>
        <w:rPr>
          <w:rFonts w:hint="eastAsia" w:ascii="仿宋_GB2312" w:hAnsi="仿宋_GB2312" w:eastAsia="仿宋_GB2312" w:cs="仿宋_GB2312"/>
          <w:b/>
          <w:bCs/>
          <w:color w:val="auto"/>
          <w:sz w:val="28"/>
          <w:szCs w:val="28"/>
          <w:lang w:val="en-US" w:eastAsia="zh-CN"/>
        </w:rPr>
        <w:t>五</w:t>
      </w:r>
      <w:r>
        <w:rPr>
          <w:rFonts w:hint="eastAsia" w:ascii="仿宋_GB2312" w:hAnsi="仿宋_GB2312" w:eastAsia="仿宋_GB2312" w:cs="仿宋_GB2312"/>
          <w:b/>
          <w:bCs/>
          <w:color w:val="auto"/>
          <w:sz w:val="28"/>
          <w:szCs w:val="28"/>
        </w:rPr>
        <w:t>条 附则</w:t>
      </w:r>
    </w:p>
    <w:p w14:paraId="0361E82D">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15.1</w:t>
      </w:r>
      <w:r>
        <w:rPr>
          <w:rFonts w:hint="eastAsia" w:ascii="仿宋_GB2312" w:hAnsi="仿宋_GB2312" w:eastAsia="仿宋_GB2312" w:cs="仿宋_GB2312"/>
          <w:color w:val="auto"/>
          <w:sz w:val="28"/>
          <w:szCs w:val="28"/>
        </w:rPr>
        <w:t>合同签订时，乙方须向甲方提供营业执照复印件、药品注册批件、特种设备检验检测机构准证等作为本合同的附件。</w:t>
      </w:r>
    </w:p>
    <w:p w14:paraId="4767607F">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15.2 本合同组成文件及解释顺序：</w:t>
      </w:r>
      <w:r>
        <w:rPr>
          <w:rFonts w:hint="eastAsia" w:ascii="仿宋_GB2312" w:hAnsi="仿宋_GB2312" w:eastAsia="仿宋_GB2312" w:cs="仿宋_GB2312"/>
          <w:color w:val="0000FF"/>
          <w:sz w:val="28"/>
          <w:szCs w:val="28"/>
          <w:lang w:val="en-US" w:eastAsia="zh-CN"/>
        </w:rPr>
        <w:t>乙方在履行本合同中作出的书面承诺；本合同补充协议；本合同及附件；中标通知书/成交通知书/议价结果公示/成交公告；投标文件/响应文件；招标文件/采购文件/采购需求；其他与本合同有关的资料。</w:t>
      </w:r>
    </w:p>
    <w:p w14:paraId="65E8FC64">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15.3 </w:t>
      </w:r>
      <w:r>
        <w:rPr>
          <w:rFonts w:hint="eastAsia" w:ascii="仿宋_GB2312" w:hAnsi="仿宋_GB2312" w:eastAsia="仿宋_GB2312" w:cs="仿宋_GB2312"/>
          <w:color w:val="auto"/>
          <w:sz w:val="28"/>
          <w:szCs w:val="28"/>
        </w:rPr>
        <w:t>本合同一式</w:t>
      </w:r>
      <w:r>
        <w:rPr>
          <w:rFonts w:hint="eastAsia" w:ascii="仿宋_GB2312" w:hAnsi="仿宋_GB2312" w:eastAsia="仿宋_GB2312" w:cs="仿宋_GB2312"/>
          <w:color w:val="auto"/>
          <w:sz w:val="28"/>
          <w:szCs w:val="28"/>
          <w:lang w:val="en-US" w:eastAsia="zh-CN"/>
        </w:rPr>
        <w:t>伍</w:t>
      </w:r>
      <w:r>
        <w:rPr>
          <w:rFonts w:hint="eastAsia" w:ascii="仿宋_GB2312" w:hAnsi="仿宋_GB2312" w:eastAsia="仿宋_GB2312" w:cs="仿宋_GB2312"/>
          <w:color w:val="auto"/>
          <w:sz w:val="28"/>
          <w:szCs w:val="28"/>
        </w:rPr>
        <w:t>份，甲方</w:t>
      </w:r>
      <w:r>
        <w:rPr>
          <w:rFonts w:hint="eastAsia" w:ascii="仿宋_GB2312" w:hAnsi="仿宋_GB2312" w:eastAsia="仿宋_GB2312" w:cs="仿宋_GB2312"/>
          <w:color w:val="auto"/>
          <w:sz w:val="28"/>
          <w:szCs w:val="28"/>
          <w:lang w:val="en-US" w:eastAsia="zh-CN"/>
        </w:rPr>
        <w:t>执肆</w:t>
      </w:r>
      <w:r>
        <w:rPr>
          <w:rFonts w:hint="eastAsia" w:ascii="仿宋_GB2312" w:hAnsi="仿宋_GB2312" w:eastAsia="仿宋_GB2312" w:cs="仿宋_GB2312"/>
          <w:color w:val="auto"/>
          <w:sz w:val="28"/>
          <w:szCs w:val="28"/>
        </w:rPr>
        <w:t>份</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乙方</w:t>
      </w:r>
      <w:r>
        <w:rPr>
          <w:rFonts w:hint="eastAsia" w:ascii="仿宋_GB2312" w:hAnsi="仿宋_GB2312" w:eastAsia="仿宋_GB2312" w:cs="仿宋_GB2312"/>
          <w:color w:val="auto"/>
          <w:sz w:val="28"/>
          <w:szCs w:val="28"/>
          <w:lang w:val="en-US" w:eastAsia="zh-CN"/>
        </w:rPr>
        <w:t>执</w:t>
      </w:r>
      <w:r>
        <w:rPr>
          <w:rFonts w:hint="eastAsia" w:ascii="仿宋_GB2312" w:hAnsi="仿宋_GB2312" w:eastAsia="仿宋_GB2312" w:cs="仿宋_GB2312"/>
          <w:color w:val="auto"/>
          <w:sz w:val="28"/>
          <w:szCs w:val="28"/>
        </w:rPr>
        <w:t>壹份，自双方签字</w:t>
      </w:r>
      <w:r>
        <w:rPr>
          <w:rFonts w:hint="eastAsia" w:ascii="仿宋_GB2312" w:hAnsi="仿宋_GB2312" w:eastAsia="仿宋_GB2312" w:cs="仿宋_GB2312"/>
          <w:color w:val="auto"/>
          <w:sz w:val="28"/>
          <w:szCs w:val="28"/>
          <w:lang w:val="en-US" w:eastAsia="zh-CN"/>
        </w:rPr>
        <w:t>并</w:t>
      </w:r>
      <w:r>
        <w:rPr>
          <w:rFonts w:hint="eastAsia" w:ascii="仿宋_GB2312" w:hAnsi="仿宋_GB2312" w:eastAsia="仿宋_GB2312" w:cs="仿宋_GB2312"/>
          <w:color w:val="auto"/>
          <w:sz w:val="28"/>
          <w:szCs w:val="28"/>
        </w:rPr>
        <w:t>盖章之日起生效。</w:t>
      </w:r>
    </w:p>
    <w:p w14:paraId="18E638DC">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4812679A">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甲方（盖章）：娄底市中心医院        乙方（盖章）：</w:t>
      </w:r>
    </w:p>
    <w:p w14:paraId="7E04D1BB">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7F05A7D2">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 xml:space="preserve">法定代表人（签字）：                法定代表人（签字）：  </w:t>
      </w:r>
    </w:p>
    <w:p w14:paraId="5622C82B">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1CF25CF6">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或委托代理人（签字）：              或委托代理人（签字）：</w:t>
      </w:r>
    </w:p>
    <w:p w14:paraId="4464C1E0">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0F772038">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 xml:space="preserve">合同签订地履行地：娄底市娄星区   </w:t>
      </w: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签订时间：    年   月  日</w:t>
      </w:r>
    </w:p>
    <w:p w14:paraId="268C8709">
      <w:pPr>
        <w:numPr>
          <w:ilvl w:val="0"/>
          <w:numId w:val="0"/>
        </w:numPr>
        <w:bidi w:val="0"/>
        <w:rPr>
          <w:rFonts w:hint="default"/>
          <w:lang w:val="en-US" w:eastAsia="zh-CN"/>
        </w:rPr>
      </w:pPr>
    </w:p>
    <w:p w14:paraId="3AFBC905">
      <w:pPr>
        <w:pStyle w:val="9"/>
        <w:keepNext w:val="0"/>
        <w:keepLines w:val="0"/>
        <w:widowControl/>
        <w:suppressLineNumbers w:val="0"/>
        <w:spacing w:before="1500" w:beforeAutospacing="0" w:line="24" w:lineRule="atLeast"/>
        <w:rPr>
          <w:rFonts w:hint="eastAsia"/>
          <w:color w:val="auto"/>
          <w:lang w:eastAsia="zh-CN"/>
        </w:rPr>
      </w:pPr>
    </w:p>
    <w:p w14:paraId="64A9561C">
      <w:pPr>
        <w:keepNext w:val="0"/>
        <w:keepLines w:val="0"/>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highlight w:val="none"/>
        </w:rPr>
      </w:pPr>
    </w:p>
    <w:p w14:paraId="531EE22B">
      <w:pPr>
        <w:keepNext w:val="0"/>
        <w:keepLines w:val="0"/>
        <w:pageBreakBefore w:val="0"/>
        <w:widowControl w:val="0"/>
        <w:kinsoku/>
        <w:wordWrap/>
        <w:overflowPunct w:val="0"/>
        <w:topLinePunct w:val="0"/>
        <w:autoSpaceDE w:val="0"/>
        <w:autoSpaceDN w:val="0"/>
        <w:bidi w:val="0"/>
        <w:adjustRightInd w:val="0"/>
        <w:snapToGrid/>
        <w:spacing w:line="540" w:lineRule="exact"/>
        <w:jc w:val="both"/>
        <w:textAlignment w:val="baseline"/>
        <w:rPr>
          <w:rFonts w:hint="eastAsia" w:ascii="仿宋" w:hAnsi="仿宋" w:eastAsia="仿宋" w:cs="仿宋"/>
          <w:color w:val="auto"/>
          <w:sz w:val="28"/>
          <w:szCs w:val="28"/>
          <w:u w:val="none"/>
          <w:lang w:val="en-US"/>
        </w:rPr>
      </w:pPr>
      <w:r>
        <w:rPr>
          <w:rFonts w:hint="eastAsia" w:ascii="仿宋" w:hAnsi="仿宋" w:eastAsia="仿宋" w:cs="仿宋"/>
          <w:b w:val="0"/>
          <w:bCs w:val="0"/>
          <w:color w:val="auto"/>
          <w:sz w:val="28"/>
          <w:szCs w:val="28"/>
          <w:lang w:val="en-US" w:eastAsia="zh-CN"/>
        </w:rPr>
        <w:t xml:space="preserve">                  </w:t>
      </w:r>
      <w:bookmarkEnd w:id="1"/>
      <w:r>
        <w:rPr>
          <w:rFonts w:hint="eastAsia" w:ascii="宋体" w:hAnsi="宋体" w:eastAsia="宋体" w:cs="宋体"/>
          <w:color w:val="auto"/>
          <w:sz w:val="24"/>
        </w:rPr>
        <w:t xml:space="preserve">                                                                                                </w:t>
      </w:r>
      <w:r>
        <w:rPr>
          <w:rFonts w:hint="eastAsia" w:ascii="宋体" w:hAnsi="宋体" w:eastAsia="宋体" w:cs="宋体"/>
          <w:color w:val="auto"/>
          <w:sz w:val="24"/>
          <w:lang w:val="en-US" w:eastAsia="zh-CN"/>
        </w:rPr>
        <w:t xml:space="preserve">             </w:t>
      </w:r>
      <w:r>
        <w:rPr>
          <w:rFonts w:hint="eastAsia" w:ascii="仿宋" w:hAnsi="仿宋" w:eastAsia="仿宋" w:cs="仿宋"/>
          <w:b w:val="0"/>
          <w:color w:val="auto"/>
          <w:kern w:val="2"/>
          <w:sz w:val="28"/>
          <w:szCs w:val="28"/>
          <w:lang w:val="en-US" w:eastAsia="zh-CN" w:bidi="ar-SA"/>
        </w:rPr>
        <w:t xml:space="preserve">                                          </w:t>
      </w:r>
    </w:p>
    <w:p w14:paraId="5FDA02AB">
      <w:pPr>
        <w:pStyle w:val="2"/>
        <w:jc w:val="center"/>
        <w:rPr>
          <w:rFonts w:hint="eastAsia" w:ascii="宋体" w:hAnsi="宋体" w:cs="宋体"/>
          <w:color w:val="auto"/>
          <w:sz w:val="44"/>
          <w:szCs w:val="44"/>
          <w:lang w:val="en-US" w:eastAsia="zh-CN"/>
        </w:rPr>
      </w:pPr>
      <w:bookmarkStart w:id="2" w:name="_Toc16523574"/>
      <w:r>
        <w:rPr>
          <w:rFonts w:hint="eastAsia" w:ascii="宋体" w:hAnsi="宋体" w:cs="宋体"/>
          <w:color w:val="auto"/>
          <w:sz w:val="44"/>
          <w:szCs w:val="44"/>
          <w:lang w:val="en-US" w:eastAsia="zh-CN"/>
        </w:rPr>
        <w:t xml:space="preserve">   第三章投标文件的格式</w:t>
      </w:r>
    </w:p>
    <w:p w14:paraId="63BCBD98">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6E02CA03">
      <w:pPr>
        <w:rPr>
          <w:rFonts w:hint="eastAsia" w:ascii="宋体" w:hAnsi="宋体" w:cs="宋体"/>
          <w:color w:val="auto"/>
        </w:rPr>
      </w:pPr>
    </w:p>
    <w:bookmarkEnd w:id="2"/>
    <w:p w14:paraId="3C3D3243">
      <w:pPr>
        <w:rPr>
          <w:rFonts w:hint="eastAsia"/>
          <w:color w:val="auto"/>
        </w:rPr>
      </w:pPr>
    </w:p>
    <w:p w14:paraId="0AFCDF4A">
      <w:pPr>
        <w:jc w:val="center"/>
        <w:rPr>
          <w:b/>
          <w:color w:val="auto"/>
          <w:sz w:val="24"/>
        </w:rPr>
      </w:pPr>
      <w:r>
        <w:rPr>
          <w:b/>
          <w:color w:val="auto"/>
          <w:sz w:val="28"/>
          <w:szCs w:val="28"/>
        </w:rPr>
        <w:t>第一部分、开标一览表</w:t>
      </w:r>
    </w:p>
    <w:p w14:paraId="6495D31E">
      <w:pPr>
        <w:pStyle w:val="17"/>
        <w:rPr>
          <w:color w:val="auto"/>
        </w:rPr>
      </w:pPr>
    </w:p>
    <w:p w14:paraId="1CA414B7">
      <w:pPr>
        <w:adjustRightInd w:val="0"/>
        <w:snapToGrid w:val="0"/>
        <w:spacing w:line="360" w:lineRule="auto"/>
        <w:jc w:val="center"/>
        <w:rPr>
          <w:rFonts w:hint="eastAsia" w:ascii="宋体" w:hAnsi="宋体" w:cs="宋体"/>
          <w:b/>
          <w:color w:val="auto"/>
          <w:sz w:val="28"/>
          <w:szCs w:val="28"/>
        </w:rPr>
      </w:pPr>
    </w:p>
    <w:p w14:paraId="7BFD5C12">
      <w:pPr>
        <w:adjustRightInd w:val="0"/>
        <w:snapToGrid w:val="0"/>
        <w:spacing w:line="360" w:lineRule="auto"/>
        <w:jc w:val="center"/>
        <w:rPr>
          <w:rFonts w:hint="eastAsia" w:ascii="宋体" w:hAnsi="宋体" w:cs="宋体"/>
          <w:b/>
          <w:color w:val="auto"/>
          <w:sz w:val="28"/>
          <w:szCs w:val="28"/>
        </w:rPr>
      </w:pPr>
    </w:p>
    <w:p w14:paraId="70947253">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06D3F32A">
      <w:pPr>
        <w:pStyle w:val="18"/>
        <w:rPr>
          <w:rFonts w:hint="eastAsia"/>
          <w:color w:val="auto"/>
          <w:lang w:eastAsia="zh-CN"/>
        </w:rPr>
      </w:pPr>
    </w:p>
    <w:p w14:paraId="01F6AC1F">
      <w:pPr>
        <w:adjustRightInd w:val="0"/>
        <w:snapToGrid w:val="0"/>
        <w:spacing w:line="360" w:lineRule="auto"/>
        <w:jc w:val="center"/>
        <w:rPr>
          <w:rFonts w:hint="eastAsia" w:ascii="宋体" w:hAnsi="宋体" w:cs="宋体"/>
          <w:b/>
          <w:color w:val="auto"/>
          <w:sz w:val="24"/>
          <w:szCs w:val="20"/>
        </w:rPr>
      </w:pPr>
    </w:p>
    <w:p w14:paraId="6E97A1B6">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484EF7A0">
      <w:pPr>
        <w:adjustRightInd w:val="0"/>
        <w:snapToGrid w:val="0"/>
        <w:spacing w:line="360" w:lineRule="auto"/>
        <w:rPr>
          <w:rFonts w:hint="eastAsia" w:ascii="宋体" w:hAnsi="宋体" w:cs="宋体"/>
          <w:b/>
          <w:color w:val="auto"/>
          <w:sz w:val="28"/>
          <w:szCs w:val="28"/>
        </w:rPr>
      </w:pPr>
    </w:p>
    <w:p w14:paraId="7C64ED04">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18A7AF7">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7E86CF8D">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1EBAE508">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1E44D257">
      <w:pPr>
        <w:adjustRightInd w:val="0"/>
        <w:snapToGrid w:val="0"/>
        <w:spacing w:line="360" w:lineRule="auto"/>
        <w:ind w:firstLine="480" w:firstLineChars="200"/>
        <w:rPr>
          <w:rFonts w:hint="eastAsia" w:ascii="宋体" w:hAnsi="宋体" w:cs="宋体"/>
          <w:color w:val="auto"/>
          <w:sz w:val="24"/>
        </w:rPr>
      </w:pP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E621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97" w:hRule="atLeast"/>
        </w:trPr>
        <w:tc>
          <w:tcPr>
            <w:tcW w:w="8278" w:type="dxa"/>
            <w:noWrap w:val="0"/>
            <w:vAlign w:val="center"/>
          </w:tcPr>
          <w:p w14:paraId="3D3921DB">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176BFE6B">
      <w:pPr>
        <w:adjustRightInd w:val="0"/>
        <w:snapToGrid w:val="0"/>
        <w:spacing w:line="360" w:lineRule="auto"/>
        <w:rPr>
          <w:rFonts w:hint="eastAsia" w:ascii="宋体" w:hAnsi="宋体" w:cs="宋体"/>
          <w:color w:val="auto"/>
          <w:sz w:val="24"/>
        </w:rPr>
      </w:pP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353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622B478C">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6690E3A4">
      <w:pPr>
        <w:adjustRightInd w:val="0"/>
        <w:snapToGrid w:val="0"/>
        <w:spacing w:line="360" w:lineRule="auto"/>
        <w:rPr>
          <w:rFonts w:hint="eastAsia" w:ascii="宋体" w:hAnsi="宋体" w:cs="宋体"/>
          <w:color w:val="auto"/>
          <w:sz w:val="24"/>
        </w:rPr>
      </w:pPr>
    </w:p>
    <w:p w14:paraId="62866227">
      <w:pPr>
        <w:adjustRightInd w:val="0"/>
        <w:snapToGrid w:val="0"/>
        <w:spacing w:line="360" w:lineRule="auto"/>
        <w:rPr>
          <w:rFonts w:hint="eastAsia" w:ascii="宋体" w:hAnsi="宋体" w:cs="宋体"/>
          <w:color w:val="auto"/>
          <w:sz w:val="24"/>
        </w:rPr>
      </w:pPr>
    </w:p>
    <w:p w14:paraId="22EADCD1">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535172AF">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70138A1">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589FF919">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0148C083">
      <w:pPr>
        <w:adjustRightInd w:val="0"/>
        <w:snapToGrid w:val="0"/>
        <w:spacing w:line="360" w:lineRule="auto"/>
        <w:rPr>
          <w:rFonts w:hint="eastAsia" w:ascii="宋体" w:hAnsi="宋体" w:cs="宋体"/>
          <w:b/>
          <w:color w:val="auto"/>
          <w:sz w:val="28"/>
          <w:szCs w:val="28"/>
        </w:rPr>
      </w:pPr>
    </w:p>
    <w:p w14:paraId="1A60B02A">
      <w:pPr>
        <w:adjustRightInd w:val="0"/>
        <w:snapToGrid w:val="0"/>
        <w:spacing w:line="360" w:lineRule="auto"/>
        <w:rPr>
          <w:rFonts w:hint="eastAsia" w:ascii="宋体" w:hAnsi="宋体" w:cs="宋体"/>
          <w:b/>
          <w:color w:val="auto"/>
          <w:sz w:val="28"/>
          <w:szCs w:val="28"/>
        </w:rPr>
      </w:pPr>
    </w:p>
    <w:p w14:paraId="33DC4EA4">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557BC8F7">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6B02F18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14:paraId="7015A285">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4C3A86BF">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54E13F4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318FC51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40FC264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419DCD7C">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6D65F361">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5F2181BE">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57923393">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3102D36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5896BD17">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352BB87E">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4D2E52EF">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5626F71B">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33A906AB">
      <w:pPr>
        <w:adjustRightInd w:val="0"/>
        <w:snapToGrid w:val="0"/>
        <w:spacing w:line="360" w:lineRule="auto"/>
        <w:jc w:val="center"/>
        <w:rPr>
          <w:rFonts w:hint="eastAsia" w:ascii="宋体" w:hAnsi="宋体" w:cs="宋体"/>
          <w:b/>
          <w:color w:val="auto"/>
          <w:sz w:val="24"/>
          <w:szCs w:val="20"/>
        </w:rPr>
      </w:pPr>
    </w:p>
    <w:p w14:paraId="43513160">
      <w:pPr>
        <w:adjustRightInd w:val="0"/>
        <w:snapToGrid w:val="0"/>
        <w:spacing w:line="360" w:lineRule="auto"/>
        <w:rPr>
          <w:rFonts w:hint="eastAsia" w:ascii="宋体" w:hAnsi="宋体" w:cs="宋体"/>
          <w:b/>
          <w:color w:val="auto"/>
          <w:sz w:val="24"/>
          <w:szCs w:val="20"/>
        </w:rPr>
      </w:pPr>
    </w:p>
    <w:p w14:paraId="1F93E756">
      <w:pPr>
        <w:adjustRightInd w:val="0"/>
        <w:snapToGrid w:val="0"/>
        <w:spacing w:line="360" w:lineRule="auto"/>
        <w:rPr>
          <w:rFonts w:hint="eastAsia" w:ascii="宋体" w:hAnsi="宋体" w:cs="宋体"/>
          <w:b/>
          <w:color w:val="auto"/>
          <w:sz w:val="24"/>
          <w:szCs w:val="20"/>
        </w:rPr>
      </w:pPr>
    </w:p>
    <w:p w14:paraId="50E192B0">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FFC9342">
      <w:pPr>
        <w:adjustRightInd w:val="0"/>
        <w:snapToGrid w:val="0"/>
        <w:spacing w:line="360" w:lineRule="auto"/>
        <w:jc w:val="center"/>
        <w:rPr>
          <w:rFonts w:hint="eastAsia" w:ascii="宋体" w:hAnsi="宋体" w:cs="宋体"/>
          <w:b/>
          <w:color w:val="auto"/>
          <w:sz w:val="24"/>
          <w:szCs w:val="20"/>
        </w:rPr>
      </w:pPr>
    </w:p>
    <w:p w14:paraId="70D96195">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7E7A1A67">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233909D7">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66A5A368">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2709F955">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0072E6B7">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4C5C413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2D19AA8">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4B7EC4CC">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0F367370">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781ADB6C">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5C106598">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14:paraId="1AD90C82">
      <w:pPr>
        <w:jc w:val="left"/>
        <w:rPr>
          <w:rFonts w:hint="eastAsia" w:ascii="宋体" w:hAnsi="宋体" w:eastAsia="宋体" w:cs="Times New Roman"/>
          <w:b w:val="0"/>
          <w:bCs w:val="0"/>
          <w:color w:val="auto"/>
          <w:kern w:val="2"/>
          <w:sz w:val="24"/>
          <w:szCs w:val="24"/>
          <w:lang w:val="en-US" w:eastAsia="zh-CN" w:bidi="ar-SA"/>
        </w:rPr>
      </w:pPr>
    </w:p>
    <w:p w14:paraId="4C054E8F">
      <w:pPr>
        <w:jc w:val="left"/>
        <w:rPr>
          <w:rFonts w:hint="eastAsia" w:ascii="宋体" w:hAnsi="宋体" w:eastAsia="宋体" w:cs="Times New Roman"/>
          <w:b w:val="0"/>
          <w:bCs w:val="0"/>
          <w:color w:val="auto"/>
          <w:kern w:val="2"/>
          <w:sz w:val="24"/>
          <w:szCs w:val="24"/>
          <w:lang w:val="en-US" w:eastAsia="zh-CN" w:bidi="ar-SA"/>
        </w:rPr>
      </w:pPr>
    </w:p>
    <w:p w14:paraId="0ABDC406">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6FA0C4AB">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14:paraId="7242920E">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86424819"/>
      <w:bookmarkStart w:id="4" w:name="_Toc476514128"/>
    </w:p>
    <w:p w14:paraId="126ABE8D">
      <w:pPr>
        <w:pStyle w:val="18"/>
        <w:rPr>
          <w:rFonts w:hint="eastAsia"/>
          <w:color w:val="auto"/>
          <w:lang w:eastAsia="zh-CN"/>
        </w:rPr>
      </w:pPr>
    </w:p>
    <w:p w14:paraId="23ABFD02">
      <w:pPr>
        <w:spacing w:before="120" w:beforeLines="50" w:after="120" w:afterLines="50" w:line="276" w:lineRule="auto"/>
        <w:jc w:val="center"/>
        <w:rPr>
          <w:rFonts w:hint="eastAsia" w:eastAsia="宋体"/>
          <w:b/>
          <w:color w:val="auto"/>
          <w:sz w:val="24"/>
          <w:lang w:eastAsia="zh-CN"/>
        </w:rPr>
      </w:pPr>
      <w:r>
        <w:rPr>
          <w:b/>
          <w:color w:val="auto"/>
          <w:sz w:val="24"/>
        </w:rPr>
        <w:t>采购需求响应</w:t>
      </w:r>
      <w:r>
        <w:rPr>
          <w:rFonts w:hint="eastAsia"/>
          <w:b/>
          <w:color w:val="auto"/>
          <w:sz w:val="24"/>
          <w:lang w:eastAsia="zh-CN"/>
        </w:rPr>
        <w:t>表</w:t>
      </w:r>
    </w:p>
    <w:p w14:paraId="4E74E34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1"/>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78162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3F8009">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04F1DE08">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5184D0FE">
            <w:pPr>
              <w:adjustRightInd w:val="0"/>
              <w:snapToGrid w:val="0"/>
              <w:spacing w:before="50" w:line="360" w:lineRule="auto"/>
              <w:jc w:val="center"/>
              <w:rPr>
                <w:color w:val="auto"/>
              </w:rPr>
            </w:pPr>
            <w:r>
              <w:rPr>
                <w:color w:val="auto"/>
              </w:rPr>
              <w:t>招标文件要求</w:t>
            </w:r>
          </w:p>
        </w:tc>
        <w:tc>
          <w:tcPr>
            <w:tcW w:w="962" w:type="pct"/>
            <w:noWrap w:val="0"/>
            <w:vAlign w:val="top"/>
          </w:tcPr>
          <w:p w14:paraId="4D34468D">
            <w:pPr>
              <w:adjustRightInd w:val="0"/>
              <w:snapToGrid w:val="0"/>
              <w:spacing w:before="50" w:line="360" w:lineRule="auto"/>
              <w:jc w:val="center"/>
              <w:rPr>
                <w:color w:val="auto"/>
              </w:rPr>
            </w:pPr>
            <w:r>
              <w:rPr>
                <w:color w:val="auto"/>
              </w:rPr>
              <w:t>投标文件应答</w:t>
            </w:r>
          </w:p>
        </w:tc>
        <w:tc>
          <w:tcPr>
            <w:tcW w:w="905" w:type="pct"/>
            <w:noWrap w:val="0"/>
            <w:vAlign w:val="center"/>
          </w:tcPr>
          <w:p w14:paraId="7790CCE8">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4F22A06F">
            <w:pPr>
              <w:adjustRightInd w:val="0"/>
              <w:snapToGrid w:val="0"/>
              <w:spacing w:before="50" w:line="360" w:lineRule="auto"/>
              <w:ind w:left="-88" w:leftChars="-42"/>
              <w:jc w:val="center"/>
              <w:rPr>
                <w:color w:val="auto"/>
                <w:szCs w:val="21"/>
              </w:rPr>
            </w:pPr>
            <w:r>
              <w:rPr>
                <w:color w:val="auto"/>
                <w:szCs w:val="21"/>
              </w:rPr>
              <w:t>偏离说明</w:t>
            </w:r>
          </w:p>
        </w:tc>
      </w:tr>
      <w:tr w14:paraId="60D909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B8C8226">
            <w:pPr>
              <w:adjustRightInd w:val="0"/>
              <w:snapToGrid w:val="0"/>
              <w:spacing w:before="50" w:line="360" w:lineRule="auto"/>
              <w:ind w:left="-88" w:leftChars="-42"/>
              <w:jc w:val="center"/>
              <w:rPr>
                <w:color w:val="auto"/>
                <w:szCs w:val="21"/>
              </w:rPr>
            </w:pPr>
          </w:p>
        </w:tc>
        <w:tc>
          <w:tcPr>
            <w:tcW w:w="1123" w:type="pct"/>
            <w:noWrap w:val="0"/>
            <w:vAlign w:val="center"/>
          </w:tcPr>
          <w:p w14:paraId="7705EEC4">
            <w:pPr>
              <w:adjustRightInd w:val="0"/>
              <w:snapToGrid w:val="0"/>
              <w:spacing w:before="50" w:line="360" w:lineRule="auto"/>
              <w:ind w:left="-88" w:leftChars="-42"/>
              <w:jc w:val="center"/>
              <w:rPr>
                <w:color w:val="auto"/>
                <w:szCs w:val="21"/>
              </w:rPr>
            </w:pPr>
          </w:p>
        </w:tc>
        <w:tc>
          <w:tcPr>
            <w:tcW w:w="1000" w:type="pct"/>
            <w:noWrap w:val="0"/>
            <w:vAlign w:val="center"/>
          </w:tcPr>
          <w:p w14:paraId="5DE07560">
            <w:pPr>
              <w:adjustRightInd w:val="0"/>
              <w:snapToGrid w:val="0"/>
              <w:spacing w:before="50" w:line="360" w:lineRule="auto"/>
              <w:ind w:left="-88" w:leftChars="-42"/>
              <w:jc w:val="center"/>
              <w:rPr>
                <w:color w:val="auto"/>
                <w:szCs w:val="21"/>
              </w:rPr>
            </w:pPr>
          </w:p>
        </w:tc>
        <w:tc>
          <w:tcPr>
            <w:tcW w:w="962" w:type="pct"/>
            <w:noWrap w:val="0"/>
            <w:vAlign w:val="center"/>
          </w:tcPr>
          <w:p w14:paraId="6260238C">
            <w:pPr>
              <w:adjustRightInd w:val="0"/>
              <w:snapToGrid w:val="0"/>
              <w:spacing w:before="50" w:line="360" w:lineRule="auto"/>
              <w:ind w:left="-88" w:leftChars="-42"/>
              <w:jc w:val="center"/>
              <w:rPr>
                <w:color w:val="auto"/>
                <w:szCs w:val="21"/>
              </w:rPr>
            </w:pPr>
          </w:p>
        </w:tc>
        <w:tc>
          <w:tcPr>
            <w:tcW w:w="905" w:type="pct"/>
            <w:noWrap w:val="0"/>
            <w:vAlign w:val="center"/>
          </w:tcPr>
          <w:p w14:paraId="4772008B">
            <w:pPr>
              <w:adjustRightInd w:val="0"/>
              <w:snapToGrid w:val="0"/>
              <w:spacing w:before="50" w:line="360" w:lineRule="auto"/>
              <w:ind w:left="-88" w:leftChars="-42"/>
              <w:jc w:val="center"/>
              <w:rPr>
                <w:color w:val="auto"/>
                <w:szCs w:val="21"/>
              </w:rPr>
            </w:pPr>
          </w:p>
        </w:tc>
        <w:tc>
          <w:tcPr>
            <w:tcW w:w="634" w:type="pct"/>
            <w:noWrap w:val="0"/>
            <w:vAlign w:val="center"/>
          </w:tcPr>
          <w:p w14:paraId="21C492A5">
            <w:pPr>
              <w:adjustRightInd w:val="0"/>
              <w:snapToGrid w:val="0"/>
              <w:spacing w:before="50" w:line="360" w:lineRule="auto"/>
              <w:ind w:left="-88" w:leftChars="-42"/>
              <w:jc w:val="center"/>
              <w:rPr>
                <w:color w:val="auto"/>
                <w:szCs w:val="21"/>
              </w:rPr>
            </w:pPr>
          </w:p>
        </w:tc>
      </w:tr>
      <w:tr w14:paraId="2C3DD0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672C68D6">
            <w:pPr>
              <w:adjustRightInd w:val="0"/>
              <w:snapToGrid w:val="0"/>
              <w:spacing w:before="50" w:line="360" w:lineRule="auto"/>
              <w:ind w:left="-88" w:leftChars="-42"/>
              <w:jc w:val="center"/>
              <w:rPr>
                <w:color w:val="auto"/>
                <w:szCs w:val="21"/>
              </w:rPr>
            </w:pPr>
          </w:p>
        </w:tc>
        <w:tc>
          <w:tcPr>
            <w:tcW w:w="1123" w:type="pct"/>
            <w:noWrap w:val="0"/>
            <w:vAlign w:val="center"/>
          </w:tcPr>
          <w:p w14:paraId="25B70FD8">
            <w:pPr>
              <w:adjustRightInd w:val="0"/>
              <w:snapToGrid w:val="0"/>
              <w:spacing w:before="50" w:line="360" w:lineRule="auto"/>
              <w:ind w:left="-88" w:leftChars="-42"/>
              <w:jc w:val="center"/>
              <w:rPr>
                <w:color w:val="auto"/>
                <w:szCs w:val="21"/>
              </w:rPr>
            </w:pPr>
          </w:p>
        </w:tc>
        <w:tc>
          <w:tcPr>
            <w:tcW w:w="1000" w:type="pct"/>
            <w:noWrap w:val="0"/>
            <w:vAlign w:val="center"/>
          </w:tcPr>
          <w:p w14:paraId="556058A2">
            <w:pPr>
              <w:adjustRightInd w:val="0"/>
              <w:snapToGrid w:val="0"/>
              <w:spacing w:before="50" w:line="360" w:lineRule="auto"/>
              <w:ind w:left="-88" w:leftChars="-42"/>
              <w:jc w:val="center"/>
              <w:rPr>
                <w:color w:val="auto"/>
                <w:szCs w:val="21"/>
              </w:rPr>
            </w:pPr>
          </w:p>
        </w:tc>
        <w:tc>
          <w:tcPr>
            <w:tcW w:w="962" w:type="pct"/>
            <w:noWrap w:val="0"/>
            <w:vAlign w:val="center"/>
          </w:tcPr>
          <w:p w14:paraId="2D4564AE">
            <w:pPr>
              <w:adjustRightInd w:val="0"/>
              <w:snapToGrid w:val="0"/>
              <w:spacing w:before="50" w:line="360" w:lineRule="auto"/>
              <w:ind w:left="-88" w:leftChars="-42"/>
              <w:jc w:val="center"/>
              <w:rPr>
                <w:color w:val="auto"/>
                <w:szCs w:val="21"/>
              </w:rPr>
            </w:pPr>
          </w:p>
        </w:tc>
        <w:tc>
          <w:tcPr>
            <w:tcW w:w="905" w:type="pct"/>
            <w:noWrap w:val="0"/>
            <w:vAlign w:val="center"/>
          </w:tcPr>
          <w:p w14:paraId="716E63CD">
            <w:pPr>
              <w:adjustRightInd w:val="0"/>
              <w:snapToGrid w:val="0"/>
              <w:spacing w:before="50" w:line="360" w:lineRule="auto"/>
              <w:ind w:left="-88" w:leftChars="-42"/>
              <w:jc w:val="center"/>
              <w:rPr>
                <w:color w:val="auto"/>
                <w:szCs w:val="21"/>
              </w:rPr>
            </w:pPr>
          </w:p>
        </w:tc>
        <w:tc>
          <w:tcPr>
            <w:tcW w:w="634" w:type="pct"/>
            <w:noWrap w:val="0"/>
            <w:vAlign w:val="center"/>
          </w:tcPr>
          <w:p w14:paraId="3E9A6FEA">
            <w:pPr>
              <w:adjustRightInd w:val="0"/>
              <w:snapToGrid w:val="0"/>
              <w:spacing w:before="50" w:line="360" w:lineRule="auto"/>
              <w:ind w:left="-88" w:leftChars="-42"/>
              <w:jc w:val="center"/>
              <w:rPr>
                <w:color w:val="auto"/>
                <w:szCs w:val="21"/>
              </w:rPr>
            </w:pPr>
          </w:p>
        </w:tc>
      </w:tr>
      <w:tr w14:paraId="249ACC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A6D10A9">
            <w:pPr>
              <w:adjustRightInd w:val="0"/>
              <w:snapToGrid w:val="0"/>
              <w:spacing w:before="50" w:line="360" w:lineRule="auto"/>
              <w:ind w:left="-88" w:leftChars="-42"/>
              <w:jc w:val="center"/>
              <w:rPr>
                <w:color w:val="auto"/>
                <w:szCs w:val="21"/>
              </w:rPr>
            </w:pPr>
          </w:p>
        </w:tc>
        <w:tc>
          <w:tcPr>
            <w:tcW w:w="1123" w:type="pct"/>
            <w:noWrap w:val="0"/>
            <w:vAlign w:val="center"/>
          </w:tcPr>
          <w:p w14:paraId="3A42DC0C">
            <w:pPr>
              <w:adjustRightInd w:val="0"/>
              <w:snapToGrid w:val="0"/>
              <w:spacing w:before="50" w:line="360" w:lineRule="auto"/>
              <w:ind w:left="-88" w:leftChars="-42"/>
              <w:jc w:val="center"/>
              <w:rPr>
                <w:color w:val="auto"/>
                <w:szCs w:val="21"/>
              </w:rPr>
            </w:pPr>
          </w:p>
        </w:tc>
        <w:tc>
          <w:tcPr>
            <w:tcW w:w="1000" w:type="pct"/>
            <w:noWrap w:val="0"/>
            <w:vAlign w:val="center"/>
          </w:tcPr>
          <w:p w14:paraId="21CAC9C3">
            <w:pPr>
              <w:adjustRightInd w:val="0"/>
              <w:snapToGrid w:val="0"/>
              <w:spacing w:before="50" w:line="360" w:lineRule="auto"/>
              <w:ind w:left="-88" w:leftChars="-42"/>
              <w:jc w:val="center"/>
              <w:rPr>
                <w:color w:val="auto"/>
                <w:szCs w:val="21"/>
              </w:rPr>
            </w:pPr>
          </w:p>
        </w:tc>
        <w:tc>
          <w:tcPr>
            <w:tcW w:w="962" w:type="pct"/>
            <w:noWrap w:val="0"/>
            <w:vAlign w:val="center"/>
          </w:tcPr>
          <w:p w14:paraId="04A4BFFE">
            <w:pPr>
              <w:adjustRightInd w:val="0"/>
              <w:snapToGrid w:val="0"/>
              <w:spacing w:before="50" w:line="360" w:lineRule="auto"/>
              <w:ind w:left="-88" w:leftChars="-42"/>
              <w:jc w:val="center"/>
              <w:rPr>
                <w:color w:val="auto"/>
                <w:szCs w:val="21"/>
              </w:rPr>
            </w:pPr>
          </w:p>
        </w:tc>
        <w:tc>
          <w:tcPr>
            <w:tcW w:w="905" w:type="pct"/>
            <w:noWrap w:val="0"/>
            <w:vAlign w:val="center"/>
          </w:tcPr>
          <w:p w14:paraId="2A2F78CE">
            <w:pPr>
              <w:adjustRightInd w:val="0"/>
              <w:snapToGrid w:val="0"/>
              <w:spacing w:before="50" w:line="360" w:lineRule="auto"/>
              <w:ind w:left="-88" w:leftChars="-42"/>
              <w:jc w:val="center"/>
              <w:rPr>
                <w:color w:val="auto"/>
                <w:szCs w:val="21"/>
              </w:rPr>
            </w:pPr>
          </w:p>
        </w:tc>
        <w:tc>
          <w:tcPr>
            <w:tcW w:w="634" w:type="pct"/>
            <w:noWrap w:val="0"/>
            <w:vAlign w:val="center"/>
          </w:tcPr>
          <w:p w14:paraId="26D05CB8">
            <w:pPr>
              <w:adjustRightInd w:val="0"/>
              <w:snapToGrid w:val="0"/>
              <w:spacing w:before="50" w:line="360" w:lineRule="auto"/>
              <w:ind w:left="-88" w:leftChars="-42"/>
              <w:jc w:val="center"/>
              <w:rPr>
                <w:color w:val="auto"/>
                <w:szCs w:val="21"/>
              </w:rPr>
            </w:pPr>
          </w:p>
        </w:tc>
      </w:tr>
      <w:tr w14:paraId="59652E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643DDFCC">
            <w:pPr>
              <w:rPr>
                <w:b/>
                <w:color w:val="auto"/>
              </w:rPr>
            </w:pPr>
            <w:r>
              <w:rPr>
                <w:b/>
                <w:color w:val="auto"/>
              </w:rPr>
              <w:t>投标人保证：我单位对招标文件的其他采购需求条款完全响应，无偏离。</w:t>
            </w:r>
          </w:p>
        </w:tc>
      </w:tr>
    </w:tbl>
    <w:p w14:paraId="4C95D72F">
      <w:pPr>
        <w:adjustRightInd w:val="0"/>
        <w:snapToGrid w:val="0"/>
        <w:spacing w:before="50" w:line="360" w:lineRule="auto"/>
        <w:ind w:left="-88" w:leftChars="-42"/>
        <w:rPr>
          <w:color w:val="auto"/>
          <w:sz w:val="24"/>
        </w:rPr>
      </w:pPr>
      <w:r>
        <w:rPr>
          <w:b/>
          <w:color w:val="auto"/>
          <w:sz w:val="24"/>
        </w:rPr>
        <w:t>备注</w:t>
      </w:r>
      <w:r>
        <w:rPr>
          <w:color w:val="auto"/>
          <w:sz w:val="24"/>
        </w:rPr>
        <w:t>：</w:t>
      </w:r>
    </w:p>
    <w:p w14:paraId="60153127">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54935394">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bookmarkEnd w:id="3"/>
    <w:bookmarkEnd w:id="4"/>
    <w:p w14:paraId="71254EC6">
      <w:pPr>
        <w:pStyle w:val="17"/>
        <w:rPr>
          <w:color w:val="auto"/>
        </w:rPr>
      </w:pPr>
    </w:p>
    <w:p w14:paraId="0F8FD442">
      <w:pPr>
        <w:pStyle w:val="19"/>
        <w:tabs>
          <w:tab w:val="left" w:pos="2312"/>
          <w:tab w:val="left" w:pos="2313"/>
        </w:tabs>
        <w:autoSpaceDE w:val="0"/>
        <w:autoSpaceDN w:val="0"/>
        <w:spacing w:before="43"/>
        <w:ind w:left="0" w:leftChars="0" w:firstLine="0" w:firstLineChars="0"/>
        <w:jc w:val="center"/>
        <w:rPr>
          <w:rFonts w:hint="eastAsia" w:ascii="宋体" w:hAnsi="宋体" w:eastAsia="宋体" w:cs="宋体"/>
          <w:b/>
          <w:color w:val="auto"/>
          <w:sz w:val="28"/>
          <w:szCs w:val="28"/>
          <w:lang w:eastAsia="zh-CN"/>
        </w:rPr>
      </w:pPr>
      <w:r>
        <w:rPr>
          <w:rFonts w:hint="eastAsia" w:ascii="Times New Roman" w:hAnsi="Times New Roman"/>
          <w:b/>
          <w:bCs/>
          <w:color w:val="auto"/>
          <w:sz w:val="28"/>
          <w:szCs w:val="28"/>
        </w:rPr>
        <w:t>第四部分、</w:t>
      </w:r>
      <w:r>
        <w:rPr>
          <w:rFonts w:hint="eastAsia" w:ascii="宋体" w:hAnsi="宋体" w:cs="宋体"/>
          <w:b/>
          <w:color w:val="auto"/>
          <w:sz w:val="28"/>
          <w:szCs w:val="28"/>
          <w:lang w:eastAsia="zh-CN"/>
        </w:rPr>
        <w:t>其他需提供的材料</w:t>
      </w:r>
    </w:p>
    <w:p w14:paraId="20F17816">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lang w:val="en-US" w:eastAsia="zh-CN"/>
        </w:rPr>
        <w:t xml:space="preserve">  </w:t>
      </w:r>
      <w:r>
        <w:rPr>
          <w:rFonts w:hint="eastAsia" w:ascii="宋体" w:hAnsi="宋体" w:cs="宋体"/>
          <w:color w:val="auto"/>
          <w:sz w:val="24"/>
        </w:rPr>
        <w:t>备</w:t>
      </w:r>
      <w:r>
        <w:rPr>
          <w:rFonts w:ascii="宋体" w:hAnsi="宋体" w:cs="宋体"/>
          <w:color w:val="auto"/>
          <w:sz w:val="24"/>
        </w:rPr>
        <w:t>注：</w:t>
      </w:r>
      <w:r>
        <w:rPr>
          <w:rFonts w:hint="eastAsia" w:ascii="宋体" w:hAnsi="宋体" w:cs="宋体"/>
          <w:color w:val="auto"/>
          <w:sz w:val="24"/>
          <w:lang w:eastAsia="zh-CN"/>
        </w:rPr>
        <w:t>按要求提供</w:t>
      </w:r>
      <w:r>
        <w:rPr>
          <w:rFonts w:ascii="宋体" w:hAnsi="宋体" w:cs="宋体"/>
          <w:color w:val="auto"/>
          <w:sz w:val="24"/>
        </w:rPr>
        <w:t>提供材料</w:t>
      </w:r>
    </w:p>
    <w:p w14:paraId="076806B6">
      <w:pPr>
        <w:pStyle w:val="17"/>
        <w:rPr>
          <w:color w:val="auto"/>
        </w:rPr>
      </w:pPr>
    </w:p>
    <w:p w14:paraId="1AA19DFA">
      <w:pPr>
        <w:pStyle w:val="17"/>
        <w:rPr>
          <w:color w:val="auto"/>
        </w:rPr>
      </w:pPr>
    </w:p>
    <w:p w14:paraId="4461DEBA">
      <w:pPr>
        <w:pStyle w:val="17"/>
        <w:rPr>
          <w:color w:val="auto"/>
        </w:rPr>
      </w:pPr>
    </w:p>
    <w:p w14:paraId="4F259EF0">
      <w:pPr>
        <w:pStyle w:val="19"/>
        <w:tabs>
          <w:tab w:val="left" w:pos="2312"/>
          <w:tab w:val="left" w:pos="2313"/>
        </w:tabs>
        <w:autoSpaceDE w:val="0"/>
        <w:autoSpaceDN w:val="0"/>
        <w:spacing w:before="43"/>
        <w:ind w:left="0" w:leftChars="0" w:firstLine="0" w:firstLineChars="0"/>
        <w:rPr>
          <w:rFonts w:ascii="Times New Roman" w:hAnsi="Times New Roman"/>
          <w:b/>
          <w:bCs/>
          <w:color w:val="auto"/>
          <w:sz w:val="28"/>
          <w:szCs w:val="28"/>
        </w:rPr>
      </w:pPr>
    </w:p>
    <w:p w14:paraId="03A61B5D">
      <w:pPr>
        <w:rPr>
          <w:color w:val="auto"/>
        </w:rPr>
      </w:pPr>
    </w:p>
    <w:p w14:paraId="40DFB52B">
      <w:pPr>
        <w:rPr>
          <w:color w:val="auto"/>
        </w:rPr>
      </w:pPr>
    </w:p>
    <w:p w14:paraId="3338304C">
      <w:pPr>
        <w:rPr>
          <w:color w:val="auto"/>
        </w:rPr>
      </w:pPr>
    </w:p>
    <w:p w14:paraId="56521BD8">
      <w:pPr>
        <w:rPr>
          <w:color w:val="auto"/>
        </w:rPr>
      </w:pPr>
    </w:p>
    <w:p w14:paraId="28B8DAB4">
      <w:pPr>
        <w:rPr>
          <w:color w:val="auto"/>
        </w:rPr>
      </w:pPr>
    </w:p>
    <w:p w14:paraId="5E95BBF6">
      <w:pPr>
        <w:rPr>
          <w:color w:val="auto"/>
        </w:rPr>
      </w:pPr>
    </w:p>
    <w:p w14:paraId="2F10681E">
      <w:pPr>
        <w:rPr>
          <w:color w:val="auto"/>
        </w:rPr>
      </w:pPr>
    </w:p>
    <w:p w14:paraId="3C6492D2">
      <w:pPr>
        <w:rPr>
          <w:color w:val="auto"/>
        </w:rPr>
      </w:pPr>
    </w:p>
    <w:p w14:paraId="231C9220"/>
    <w:p w14:paraId="3F6446FC"/>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1D5F1">
    <w:pPr>
      <w:pStyle w:val="7"/>
      <w:rPr>
        <w:rFonts w:hint="eastAsia" w:ascii="仿宋_GB2312" w:eastAsia="仿宋_GB2312"/>
        <w:bCs/>
        <w:u w:val="single"/>
      </w:rPr>
    </w:pPr>
    <w:r>
      <w:rPr>
        <w:rFonts w:hint="eastAsia" w:ascii="仿宋_GB2312" w:eastAsia="仿宋_GB2312"/>
        <w:bCs/>
        <w:u w:val="single"/>
      </w:rPr>
      <w:t xml:space="preserve">                                                                                                 </w:t>
    </w:r>
  </w:p>
  <w:p w14:paraId="63555F8F">
    <w:pPr>
      <w:adjustRightInd w:val="0"/>
      <w:snapToGrid w:val="0"/>
      <w:spacing w:line="260" w:lineRule="atLeast"/>
      <w:ind w:left="482" w:hanging="482"/>
      <w:rPr>
        <w:rFonts w:hint="eastAsia" w:ascii="宋体" w:hAnsi="宋体"/>
        <w:kern w:val="0"/>
        <w:sz w:val="18"/>
        <w:szCs w:val="21"/>
      </w:rPr>
    </w:pPr>
  </w:p>
  <w:p w14:paraId="37A57789">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90776">
    <w:pPr>
      <w:pStyle w:val="7"/>
      <w:rPr>
        <w:rFonts w:hint="eastAsia" w:ascii="仿宋_GB2312" w:eastAsia="仿宋_GB2312"/>
        <w:bCs/>
        <w:u w:val="single"/>
      </w:rPr>
    </w:pPr>
    <w:r>
      <w:rPr>
        <w:rFonts w:hint="eastAsia" w:ascii="仿宋_GB2312" w:eastAsia="仿宋_GB2312"/>
        <w:bCs/>
        <w:u w:val="single"/>
      </w:rPr>
      <w:t xml:space="preserve">                                                                                                 </w:t>
    </w:r>
  </w:p>
  <w:p w14:paraId="5E2B89F1">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50E2D">
    <w:pPr>
      <w:pStyle w:val="7"/>
      <w:rPr>
        <w:rFonts w:hint="eastAsia" w:ascii="仿宋_GB2312" w:eastAsia="仿宋_GB2312"/>
        <w:bCs/>
        <w:u w:val="single"/>
      </w:rPr>
    </w:pPr>
    <w:r>
      <w:rPr>
        <w:rFonts w:hint="eastAsia" w:ascii="仿宋_GB2312" w:eastAsia="仿宋_GB2312"/>
        <w:bCs/>
        <w:u w:val="single"/>
      </w:rPr>
      <w:t xml:space="preserve">                                                                                                 </w:t>
    </w:r>
  </w:p>
  <w:p w14:paraId="555107B2">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449AC">
    <w:pPr>
      <w:pStyle w:val="8"/>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EEFDF4"/>
    <w:multiLevelType w:val="singleLevel"/>
    <w:tmpl w:val="E5EEFDF4"/>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C04F4A"/>
    <w:rsid w:val="0554195C"/>
    <w:rsid w:val="07D71DC7"/>
    <w:rsid w:val="30C04F4A"/>
    <w:rsid w:val="32F93EB6"/>
    <w:rsid w:val="5CFA3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3">
    <w:name w:val="Default Paragraph Font"/>
    <w:semiHidden/>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widowControl/>
      <w:ind w:firstLine="420"/>
      <w:jc w:val="left"/>
    </w:pPr>
    <w:rPr>
      <w:kern w:val="0"/>
      <w:sz w:val="20"/>
      <w:szCs w:val="20"/>
    </w:rPr>
  </w:style>
  <w:style w:type="paragraph" w:customStyle="1" w:styleId="5">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6">
    <w:name w:val="Body Text Indent"/>
    <w:basedOn w:val="1"/>
    <w:next w:val="1"/>
    <w:qFormat/>
    <w:uiPriority w:val="0"/>
    <w:pPr>
      <w:spacing w:after="120"/>
      <w:ind w:left="420" w:leftChars="200"/>
    </w:pPr>
    <w:rPr>
      <w:kern w:val="0"/>
      <w:sz w:val="24"/>
    </w:rPr>
  </w:style>
  <w:style w:type="paragraph" w:styleId="7">
    <w:name w:val="footer"/>
    <w:basedOn w:val="1"/>
    <w:qFormat/>
    <w:uiPriority w:val="0"/>
    <w:pPr>
      <w:tabs>
        <w:tab w:val="center" w:pos="4153"/>
        <w:tab w:val="right" w:pos="8306"/>
      </w:tabs>
      <w:snapToGrid w:val="0"/>
      <w:jc w:val="left"/>
    </w:pPr>
    <w:rPr>
      <w:kern w:val="0"/>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rPr>
      <w:sz w:val="24"/>
    </w:rPr>
  </w:style>
  <w:style w:type="paragraph" w:styleId="10">
    <w:name w:val="Body Text First Indent 2"/>
    <w:basedOn w:val="6"/>
    <w:next w:val="4"/>
    <w:qFormat/>
    <w:uiPriority w:val="0"/>
    <w:pPr>
      <w:ind w:firstLine="420" w:firstLineChars="200"/>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null3"/>
    <w:qFormat/>
    <w:uiPriority w:val="0"/>
    <w:rPr>
      <w:rFonts w:hint="eastAsia" w:ascii="Calibri" w:hAnsi="Calibri" w:eastAsia="宋体" w:cs="Times New Roman"/>
      <w:lang w:val="en-US" w:eastAsia="zh-Hans"/>
    </w:rPr>
  </w:style>
  <w:style w:type="paragraph" w:customStyle="1" w:styleId="15">
    <w:name w:val="pa-1"/>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6">
    <w:name w:val="ca-22"/>
    <w:basedOn w:val="13"/>
    <w:qFormat/>
    <w:uiPriority w:val="0"/>
  </w:style>
  <w:style w:type="paragraph" w:customStyle="1" w:styleId="17">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8">
    <w:name w:val="列出段落1"/>
    <w:basedOn w:val="1"/>
    <w:qFormat/>
    <w:uiPriority w:val="99"/>
    <w:pPr>
      <w:ind w:firstLine="420" w:firstLineChars="200"/>
    </w:pPr>
  </w:style>
  <w:style w:type="paragraph" w:styleId="19">
    <w:name w:val="List Paragraph"/>
    <w:basedOn w:val="1"/>
    <w:qFormat/>
    <w:uiPriority w:val="34"/>
    <w:pPr>
      <w:ind w:firstLine="420" w:firstLineChars="200"/>
    </w:pPr>
    <w:rPr>
      <w:rFonts w:ascii="Calibri" w:hAnsi="Calibri"/>
      <w:szCs w:val="22"/>
    </w:rPr>
  </w:style>
  <w:style w:type="character" w:customStyle="1" w:styleId="20">
    <w:name w:val="font11"/>
    <w:basedOn w:val="13"/>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8720</Words>
  <Characters>9743</Characters>
  <Lines>0</Lines>
  <Paragraphs>0</Paragraphs>
  <TotalTime>3</TotalTime>
  <ScaleCrop>false</ScaleCrop>
  <LinksUpToDate>false</LinksUpToDate>
  <CharactersWithSpaces>10838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2026-03-12T02:37:00Z</dcterms:created>
  <dc:creator>是小豹子</dc:creator>
  <cp:lastModifiedBy>是小豹子</cp:lastModifiedBy>
  <dcterms:modified xsi:type="dcterms:W3CDTF">2026-03-16T07:29:24Z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02F39424A49F478CB49E02C857F4A0D9_11</vt:lpwstr>
  </property>
  <property fmtid="{D5CDD505-2E9C-101B-9397-08002B2CF9AE}" pid="4" name="KSOTemplateDocerSaveRecord">
    <vt:lpwstr>eyJoZGlkIjoiMjI0YzkyZjA4NDE5ZWViZGEyZTVjOTNhYTg4ZmYzYTciLCJ1c2VySWQiOiIzMDQ3NTQ4MDUifQ==</vt:lpwstr>
  </property>
</Properties>
</file>