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19"/>
        <w:snapToGrid w:val="0"/>
        <w:jc w:val="center"/>
        <w:rPr>
          <w:rFonts w:ascii="Arial" w:hAnsi="Arial" w:eastAsia="方正小标宋简体" w:cs="Arial"/>
          <w:color w:val="auto"/>
          <w:sz w:val="72"/>
          <w:szCs w:val="72"/>
        </w:rPr>
      </w:pPr>
    </w:p>
    <w:p w14:paraId="16840ED3">
      <w:pPr>
        <w:pStyle w:val="19"/>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19"/>
        <w:snapToGrid w:val="0"/>
        <w:jc w:val="center"/>
        <w:rPr>
          <w:rFonts w:ascii="Arial" w:hAnsi="Arial" w:eastAsia="方正小标宋简体" w:cs="Arial"/>
          <w:sz w:val="72"/>
          <w:szCs w:val="72"/>
        </w:rPr>
      </w:pPr>
    </w:p>
    <w:p w14:paraId="2C6D482E">
      <w:pPr>
        <w:pStyle w:val="19"/>
        <w:snapToGrid w:val="0"/>
        <w:jc w:val="center"/>
        <w:rPr>
          <w:rFonts w:ascii="Arial" w:hAnsi="Arial" w:eastAsia="方正小标宋简体" w:cs="Arial"/>
          <w:sz w:val="72"/>
          <w:szCs w:val="72"/>
        </w:rPr>
      </w:pPr>
    </w:p>
    <w:p w14:paraId="0C1B899A">
      <w:pPr>
        <w:pStyle w:val="19"/>
        <w:snapToGrid w:val="0"/>
        <w:jc w:val="center"/>
        <w:rPr>
          <w:rFonts w:ascii="Arial" w:hAnsi="Arial" w:eastAsia="方正小标宋简体" w:cs="Arial"/>
          <w:sz w:val="72"/>
          <w:szCs w:val="72"/>
        </w:rPr>
      </w:pPr>
    </w:p>
    <w:p w14:paraId="1A95871E">
      <w:pPr>
        <w:pStyle w:val="19"/>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19"/>
        <w:snapToGrid w:val="0"/>
        <w:jc w:val="center"/>
        <w:rPr>
          <w:rFonts w:ascii="Arial" w:hAnsi="Arial" w:cs="Arial"/>
          <w:sz w:val="32"/>
          <w:szCs w:val="32"/>
        </w:rPr>
      </w:pPr>
    </w:p>
    <w:p w14:paraId="704AEA95">
      <w:pPr>
        <w:pStyle w:val="19"/>
        <w:snapToGrid w:val="0"/>
        <w:jc w:val="center"/>
        <w:rPr>
          <w:rFonts w:ascii="Arial" w:hAnsi="Arial" w:cs="Arial"/>
          <w:sz w:val="32"/>
          <w:szCs w:val="32"/>
        </w:rPr>
      </w:pPr>
    </w:p>
    <w:p w14:paraId="370692B7">
      <w:pPr>
        <w:pStyle w:val="19"/>
        <w:snapToGrid w:val="0"/>
        <w:jc w:val="center"/>
        <w:rPr>
          <w:rFonts w:ascii="Arial" w:hAnsi="Arial" w:cs="Arial"/>
          <w:sz w:val="32"/>
          <w:szCs w:val="32"/>
        </w:rPr>
      </w:pPr>
    </w:p>
    <w:p w14:paraId="3B433057">
      <w:pPr>
        <w:pStyle w:val="19"/>
        <w:snapToGrid w:val="0"/>
        <w:jc w:val="center"/>
        <w:rPr>
          <w:rFonts w:ascii="Arial" w:hAnsi="Arial" w:cs="Arial"/>
          <w:sz w:val="32"/>
          <w:szCs w:val="32"/>
        </w:rPr>
      </w:pPr>
    </w:p>
    <w:p w14:paraId="4682DD67">
      <w:pPr>
        <w:pStyle w:val="19"/>
        <w:snapToGrid w:val="0"/>
        <w:jc w:val="center"/>
        <w:rPr>
          <w:rFonts w:ascii="Arial" w:hAnsi="Arial" w:cs="Arial"/>
          <w:sz w:val="32"/>
          <w:szCs w:val="32"/>
        </w:rPr>
      </w:pPr>
    </w:p>
    <w:p w14:paraId="295EDADF">
      <w:pPr>
        <w:pStyle w:val="19"/>
        <w:snapToGrid w:val="0"/>
        <w:jc w:val="center"/>
        <w:rPr>
          <w:rFonts w:ascii="Arial" w:hAnsi="Arial" w:cs="Arial"/>
          <w:sz w:val="32"/>
          <w:szCs w:val="32"/>
        </w:rPr>
      </w:pPr>
    </w:p>
    <w:p w14:paraId="05545ADF">
      <w:pPr>
        <w:pStyle w:val="19"/>
        <w:snapToGrid w:val="0"/>
        <w:jc w:val="center"/>
        <w:rPr>
          <w:rFonts w:ascii="Arial" w:hAnsi="Arial" w:cs="Arial"/>
          <w:sz w:val="32"/>
          <w:szCs w:val="32"/>
        </w:rPr>
      </w:pPr>
    </w:p>
    <w:p w14:paraId="2B4B62AC">
      <w:pPr>
        <w:pStyle w:val="19"/>
        <w:snapToGrid w:val="0"/>
        <w:jc w:val="center"/>
        <w:rPr>
          <w:rFonts w:ascii="Arial" w:hAnsi="Arial" w:cs="Arial"/>
          <w:sz w:val="32"/>
          <w:szCs w:val="32"/>
        </w:rPr>
      </w:pPr>
    </w:p>
    <w:p w14:paraId="2E9C0262">
      <w:pPr>
        <w:pStyle w:val="19"/>
        <w:snapToGrid w:val="0"/>
        <w:jc w:val="center"/>
        <w:rPr>
          <w:rFonts w:ascii="Arial" w:hAnsi="Arial" w:cs="Arial"/>
          <w:sz w:val="32"/>
          <w:szCs w:val="32"/>
        </w:rPr>
      </w:pPr>
    </w:p>
    <w:p w14:paraId="33AD271B">
      <w:pPr>
        <w:pStyle w:val="19"/>
        <w:snapToGrid w:val="0"/>
        <w:jc w:val="center"/>
        <w:rPr>
          <w:rFonts w:ascii="Arial" w:hAnsi="Arial" w:cs="Arial"/>
          <w:sz w:val="32"/>
          <w:szCs w:val="32"/>
        </w:rPr>
      </w:pPr>
    </w:p>
    <w:p w14:paraId="0F619B18">
      <w:pPr>
        <w:pStyle w:val="19"/>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项目名称：娄底市中心医院医保药品追溯码接口项目招标文件（院内</w:t>
      </w:r>
      <w:r>
        <w:rPr>
          <w:rFonts w:hint="eastAsia"/>
          <w:bCs/>
          <w:sz w:val="32"/>
          <w:szCs w:val="32"/>
          <w:lang w:eastAsia="zh-CN"/>
        </w:rPr>
        <w:t>单一来源</w:t>
      </w:r>
      <w:r>
        <w:rPr>
          <w:rFonts w:hint="eastAsia"/>
          <w:bCs/>
          <w:sz w:val="32"/>
          <w:szCs w:val="32"/>
        </w:rPr>
        <w:t>）</w:t>
      </w:r>
    </w:p>
    <w:p w14:paraId="02F11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bookmarkStart w:id="4" w:name="_GoBack"/>
      <w:r>
        <w:rPr>
          <w:rFonts w:hint="eastAsia" w:asciiTheme="minorEastAsia" w:hAnsiTheme="minorEastAsia" w:eastAsiaTheme="minorEastAsia" w:cstheme="minorEastAsia"/>
          <w:bCs/>
          <w:color w:val="auto"/>
          <w:sz w:val="24"/>
          <w:szCs w:val="24"/>
          <w:lang w:val="en-US" w:eastAsia="zh-CN"/>
        </w:rPr>
        <w:t>娄底市中心医院的医保药品追溯码接口项目（项目名称）项目进行单一来源采购，现邀请你单位（卫宁健康科技集团股份有限公司）参加协商。</w:t>
      </w:r>
    </w:p>
    <w:p w14:paraId="068D6251">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项目名称：医保药品追溯码接口项目</w:t>
      </w:r>
    </w:p>
    <w:p w14:paraId="23F25273">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bookmarkEnd w:id="4"/>
    <w:p w14:paraId="57D4A947">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19"/>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19"/>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6"/>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医保药品追溯码接口项目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7.8</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1CA0263B">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一</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、概述</w:t>
      </w:r>
    </w:p>
    <w:p w14:paraId="3802969B">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1、项目背景</w:t>
      </w:r>
    </w:p>
    <w:p w14:paraId="363B0720">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药品安全与医保基金监管是民生保障的核心环节，随着医药行业数字化转型与“三医联动”改革的深入推进，药品追溯体系建设成为必然要求。从国家层面看，2019年新修订的《中华人民共和国药品管理法》从法律层面明确药品全环节可追溯义务，2024年国务院办公厅印发的《关于全面深化药品医疗器械监管改革促进医药产业高质量发展的意见》进一步提出强化全链条药品追溯体系；2025年国家医保局等四部门联合发文，要求自2025年7月1日起，医保定点医药机构销售药品需扫码后方可进行医保基金结算，2026年实现全量采集上传，为医保药品追溯接口建设划定了硬性时间节点。</w:t>
      </w:r>
    </w:p>
    <w:p w14:paraId="7BC44BC9">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为落实相关政策要求、破解监管痛点，亟需建设标准化的湖南医保药品追溯接口，实现药品追溯信息的高效采集、传输与共享，筑牢医保基金安全防线。</w:t>
      </w:r>
    </w:p>
    <w:p w14:paraId="34B0E41B">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2、项目目标</w:t>
      </w:r>
    </w:p>
    <w:p w14:paraId="48F71987">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根据《湖南省医疗保障局关于印发(湖南省医保药品追溯信息采集及应用实施方案〉的通知》(湘医保函(2024)43号)文件的要求，全面推进医保药品追溯信息采集工作，依托全省统一的医保信息平台，实现医院药品追溯信息全量采集，做到医院“无码不采购、无码不收货”，医保部门“无码不结算”。</w:t>
      </w:r>
    </w:p>
    <w:p w14:paraId="0CCA5E22">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3、参考资料</w:t>
      </w:r>
    </w:p>
    <w:p w14:paraId="3A402F2D">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《湖南省药品监督管理局关于全面推进药品批发企业药品追溯及信息化监管系统建设的通知》湘药监函〔2024〕153号</w:t>
      </w:r>
    </w:p>
    <w:p w14:paraId="1E7D9DDA">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《关于进一步做好医保药品耗材追溯码信息采集工作有关事项的公告》（国家医保局，2024年）</w:t>
      </w:r>
    </w:p>
    <w:p w14:paraId="1A974F5C">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《关于建设药品追溯监管服务系统有关试点工作的通知》湘药监函〔2024〕73号</w:t>
      </w:r>
    </w:p>
    <w:p w14:paraId="0B67D36A">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《湖南省医疗保障局关于印发(湖南省医保药品追溯信息采集及应用实施方案〉的通知》（湘医保函(2024)43号）</w:t>
      </w:r>
    </w:p>
    <w:p w14:paraId="582B995D">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二</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、现行系统概况</w:t>
      </w:r>
    </w:p>
    <w:p w14:paraId="24E1CCC7">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医院现未实现医保药品追溯采集工作。</w:t>
      </w:r>
    </w:p>
    <w:p w14:paraId="038DBB38">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希望通过建设医保药品追溯接口，实现定点医药机构销售端追溯信息采集。通过HIS系统对接医保信息平台，在药品发药环节（包括所有医保报销药品和自费药品），医药机构调用两定接口的商品销售、商品销售退货等接口，及时上传药品追溯信息至医保信息平台，确保药品追溯码采集的入库率、匹配率与准确率符合国家医保局的要求和规定。</w:t>
      </w:r>
    </w:p>
    <w:p w14:paraId="4A54141B">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三</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、系统需求说明</w:t>
      </w:r>
    </w:p>
    <w:p w14:paraId="2FE1764D">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1、药品入库及溯源码采集</w:t>
      </w:r>
    </w:p>
    <w:p w14:paraId="7E54AC4F">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商品盘存，调用商品盘存上传接口3501A完成药品库存数据上传初始化，若库存数据有误，通过库存变更接口3502A进行库存信息变更调整。</w:t>
      </w:r>
    </w:p>
    <w:p w14:paraId="772FF666">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商品采购入库，盘存之后，医药机构采购的药品通过调用商品采购接口3503A对采购的药品完成采购信息入库，若采购的药品退回给供应商则需要调用商品采购退货接口3504A接口完成退货信息上传。</w:t>
      </w:r>
    </w:p>
    <w:p w14:paraId="00EF2DFE">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2、药品销售出库及溯源码采集</w:t>
      </w:r>
    </w:p>
    <w:p w14:paraId="1735EAE4">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商品销售，就诊人(自费和医保结算的)就诊发药后需要调用商品销售接口3505A完成商品销售出库并记录出库的溯源码信息。若药品拆零销售的，trdn-flag拆零标志传1，反之传0。</w:t>
      </w:r>
    </w:p>
    <w:p w14:paraId="4CCBC2E2">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商品退货，就诊人将药品退回医药机构后需要调用3506A完成商品退费。</w:t>
      </w:r>
    </w:p>
    <w:p w14:paraId="233BCD99">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3、入库出库信息删除、查询及其他</w:t>
      </w:r>
    </w:p>
    <w:p w14:paraId="54CAF533">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需要对入库及销售数据删除则可以调用3507A删除对应的数据，删除需要根据实际情况重新调用盘存，采购销售接口上传正确的数据。</w:t>
      </w:r>
    </w:p>
    <w:p w14:paraId="5C59A02D">
      <w:pPr>
        <w:pStyle w:val="18"/>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需要查询盘存，采购，销售，退货记录则调用3508-3511接口查询。</w:t>
      </w:r>
    </w:p>
    <w:p w14:paraId="080C88BE">
      <w:pPr>
        <w:pStyle w:val="18"/>
        <w:rPr>
          <w:rFonts w:hint="default"/>
          <w:lang w:val="en-US" w:eastAsia="zh-CN"/>
        </w:rPr>
      </w:pPr>
      <w:r>
        <w:rPr>
          <w:rFonts w:hint="eastAsia" w:ascii="仿宋_GB2312" w:hAnsi="Times New Roman" w:eastAsia="仿宋_GB2312" w:cs="仿宋_GB2312"/>
          <w:bCs/>
          <w:color w:val="auto"/>
          <w:kern w:val="0"/>
          <w:sz w:val="28"/>
          <w:szCs w:val="28"/>
          <w:lang w:val="en-US" w:eastAsia="zh-CN" w:bidi="ar-SA"/>
        </w:rPr>
        <w:t>需要查询已上传的采购溯源码信息和销售出库溯源码信息调用3512-3513接口进行查询。</w:t>
      </w:r>
    </w:p>
    <w:p w14:paraId="68B1D4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p>
    <w:p w14:paraId="605014D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660916E3">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14:paraId="5BDE85AE">
      <w:pPr>
        <w:pStyle w:val="18"/>
        <w:widowControl w:val="0"/>
        <w:numPr>
          <w:ilvl w:val="0"/>
          <w:numId w:val="0"/>
        </w:numPr>
        <w:jc w:val="both"/>
        <w:rPr>
          <w:rFonts w:hint="eastAsia" w:ascii="仿宋_GB2312" w:eastAsia="仿宋_GB2312" w:cs="仿宋_GB2312"/>
          <w:bCs/>
          <w:color w:val="auto"/>
          <w:kern w:val="0"/>
          <w:sz w:val="28"/>
          <w:szCs w:val="28"/>
          <w:lang w:val="en-US" w:eastAsia="zh-CN" w:bidi="ar-SA"/>
        </w:rPr>
      </w:pPr>
    </w:p>
    <w:p w14:paraId="03AACF1D">
      <w:pPr>
        <w:pStyle w:val="18"/>
        <w:widowControl w:val="0"/>
        <w:numPr>
          <w:ilvl w:val="0"/>
          <w:numId w:val="0"/>
        </w:numPr>
        <w:jc w:val="both"/>
        <w:rPr>
          <w:rFonts w:hint="eastAsia" w:ascii="仿宋_GB2312" w:eastAsia="仿宋_GB2312" w:cs="仿宋_GB2312"/>
          <w:bCs/>
          <w:color w:val="auto"/>
          <w:kern w:val="0"/>
          <w:sz w:val="28"/>
          <w:szCs w:val="28"/>
          <w:lang w:val="en-US" w:eastAsia="zh-CN" w:bidi="ar-SA"/>
        </w:rPr>
      </w:pPr>
    </w:p>
    <w:p w14:paraId="310156A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0"/>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18"/>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303C4822">
      <w:pPr>
        <w:pStyle w:val="18"/>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6"/>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2"/>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2"/>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2"/>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31F1550"/>
    <w:rsid w:val="05C158E1"/>
    <w:rsid w:val="0CD76D15"/>
    <w:rsid w:val="11D54941"/>
    <w:rsid w:val="1DED7D4A"/>
    <w:rsid w:val="1E42670E"/>
    <w:rsid w:val="244F0832"/>
    <w:rsid w:val="29197D6C"/>
    <w:rsid w:val="2E4C6453"/>
    <w:rsid w:val="30335E85"/>
    <w:rsid w:val="306D2D50"/>
    <w:rsid w:val="30D86127"/>
    <w:rsid w:val="310A0554"/>
    <w:rsid w:val="31E2162D"/>
    <w:rsid w:val="31ED215A"/>
    <w:rsid w:val="41E0182A"/>
    <w:rsid w:val="49EE5740"/>
    <w:rsid w:val="4BF81337"/>
    <w:rsid w:val="4C4362B9"/>
    <w:rsid w:val="4F497B3F"/>
    <w:rsid w:val="52DF797D"/>
    <w:rsid w:val="531815DA"/>
    <w:rsid w:val="5550322C"/>
    <w:rsid w:val="579266BB"/>
    <w:rsid w:val="5B06514F"/>
    <w:rsid w:val="5C6D699E"/>
    <w:rsid w:val="5E95175A"/>
    <w:rsid w:val="5FB1336B"/>
    <w:rsid w:val="664909F8"/>
    <w:rsid w:val="6946276E"/>
    <w:rsid w:val="6A1039F0"/>
    <w:rsid w:val="70E07E96"/>
    <w:rsid w:val="748B1A17"/>
    <w:rsid w:val="74B775E4"/>
    <w:rsid w:val="76FA0E2C"/>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6">
    <w:name w:val="Normal Indent"/>
    <w:basedOn w:val="1"/>
    <w:qFormat/>
    <w:uiPriority w:val="0"/>
    <w:pPr>
      <w:widowControl/>
      <w:ind w:firstLine="420"/>
      <w:jc w:val="left"/>
    </w:pPr>
    <w:rPr>
      <w:kern w:val="0"/>
      <w:sz w:val="20"/>
      <w:szCs w:val="20"/>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0"/>
    <w:qFormat/>
    <w:uiPriority w:val="0"/>
    <w:pPr>
      <w:spacing w:after="120" w:line="400" w:lineRule="exact"/>
      <w:ind w:left="420" w:leftChars="200"/>
    </w:pPr>
    <w:rPr>
      <w:rFonts w:ascii="Calibri" w:hAnsi="Calibri"/>
    </w:rPr>
  </w:style>
  <w:style w:type="paragraph" w:styleId="10">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rPr>
      <w:sz w:val="24"/>
    </w:rPr>
  </w:style>
  <w:style w:type="paragraph" w:styleId="15">
    <w:name w:val="Body Text First Indent 2"/>
    <w:basedOn w:val="9"/>
    <w:next w:val="6"/>
    <w:qFormat/>
    <w:uiPriority w:val="0"/>
    <w:pPr>
      <w:autoSpaceDE w:val="0"/>
      <w:autoSpaceDN w:val="0"/>
      <w:adjustRightInd w:val="0"/>
      <w:ind w:firstLine="420"/>
      <w:jc w:val="left"/>
    </w:pPr>
    <w:rPr>
      <w:kern w:val="0"/>
    </w:rPr>
  </w:style>
  <w:style w:type="paragraph" w:customStyle="1" w:styleId="18">
    <w:name w:val="列出段落1"/>
    <w:basedOn w:val="1"/>
    <w:qFormat/>
    <w:uiPriority w:val="99"/>
    <w:pPr>
      <w:ind w:firstLine="420" w:firstLineChars="200"/>
    </w:pPr>
  </w:style>
  <w:style w:type="paragraph" w:customStyle="1" w:styleId="1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2292</Words>
  <Characters>2436</Characters>
  <Lines>0</Lines>
  <Paragraphs>0</Paragraphs>
  <TotalTime>10</TotalTime>
  <ScaleCrop>false</ScaleCrop>
  <LinksUpToDate>false</LinksUpToDate>
  <CharactersWithSpaces>2437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德普</cp:lastModifiedBy>
  <cp:lastPrinted>2022-10-27T01:30:00Z</cp:lastPrinted>
  <dcterms:modified xsi:type="dcterms:W3CDTF">2026-02-09T03:19:21Z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0AA9959158BD4E21A7A55F415F07C8F8_13</vt:lpwstr>
  </property>
  <property fmtid="{D5CDD505-2E9C-101B-9397-08002B2CF9AE}" pid="4" name="KSOTemplateDocerSaveRecord">
    <vt:lpwstr>eyJoZGlkIjoiOWU3YmMxNGQ0NDE0NTRiYjQ3MWFkZjk1MWM2MTc2NWEiLCJ1c2VySWQiOiI0NDIzNjcyODQifQ==</vt:lpwstr>
  </property>
</Properties>
</file>