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907FD">
      <w:pPr>
        <w:pStyle w:val="5"/>
        <w:snapToGrid w:val="0"/>
        <w:jc w:val="center"/>
        <w:rPr>
          <w:rFonts w:ascii="Arial" w:hAnsi="Arial" w:eastAsia="方正小标宋简体" w:cs="Arial"/>
          <w:color w:val="auto"/>
          <w:sz w:val="72"/>
          <w:szCs w:val="72"/>
        </w:rPr>
      </w:pPr>
    </w:p>
    <w:p w14:paraId="4E083A2B">
      <w:pPr>
        <w:pStyle w:val="5"/>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14:paraId="033C42C8">
      <w:pPr>
        <w:pStyle w:val="5"/>
        <w:snapToGrid w:val="0"/>
        <w:jc w:val="center"/>
        <w:rPr>
          <w:rFonts w:ascii="Arial" w:hAnsi="Arial" w:eastAsia="方正小标宋简体" w:cs="Arial"/>
          <w:color w:val="auto"/>
          <w:sz w:val="72"/>
          <w:szCs w:val="72"/>
        </w:rPr>
      </w:pPr>
    </w:p>
    <w:p w14:paraId="11706043">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9F5DF99">
      <w:pPr>
        <w:pStyle w:val="5"/>
        <w:snapToGrid w:val="0"/>
        <w:jc w:val="center"/>
        <w:rPr>
          <w:rFonts w:ascii="Arial" w:hAnsi="Arial" w:eastAsia="方正小标宋简体" w:cs="Arial"/>
          <w:color w:val="auto"/>
          <w:sz w:val="72"/>
          <w:szCs w:val="72"/>
        </w:rPr>
      </w:pPr>
    </w:p>
    <w:p w14:paraId="3BD69E26">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72297017">
      <w:pPr>
        <w:pStyle w:val="5"/>
        <w:snapToGrid w:val="0"/>
        <w:jc w:val="center"/>
        <w:rPr>
          <w:rFonts w:ascii="Arial" w:hAnsi="Arial" w:eastAsia="方正小标宋简体" w:cs="Arial"/>
          <w:color w:val="auto"/>
          <w:sz w:val="72"/>
          <w:szCs w:val="72"/>
        </w:rPr>
      </w:pPr>
    </w:p>
    <w:p w14:paraId="6E2997A4">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64AA94A">
      <w:pPr>
        <w:pStyle w:val="5"/>
        <w:snapToGrid w:val="0"/>
        <w:jc w:val="center"/>
        <w:rPr>
          <w:rFonts w:ascii="Arial" w:hAnsi="Arial" w:eastAsia="方正小标宋简体" w:cs="Arial"/>
          <w:color w:val="auto"/>
          <w:sz w:val="72"/>
          <w:szCs w:val="72"/>
        </w:rPr>
      </w:pPr>
    </w:p>
    <w:p w14:paraId="4FF82E7D">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8C69757">
      <w:pPr>
        <w:pStyle w:val="5"/>
        <w:snapToGrid w:val="0"/>
        <w:jc w:val="center"/>
        <w:rPr>
          <w:rFonts w:ascii="Arial" w:hAnsi="Arial" w:cs="Arial"/>
          <w:color w:val="auto"/>
          <w:sz w:val="32"/>
          <w:szCs w:val="32"/>
        </w:rPr>
      </w:pPr>
    </w:p>
    <w:p w14:paraId="0EDD96F5">
      <w:pPr>
        <w:pStyle w:val="5"/>
        <w:snapToGrid w:val="0"/>
        <w:jc w:val="center"/>
        <w:rPr>
          <w:rFonts w:ascii="Arial" w:hAnsi="Arial" w:cs="Arial"/>
          <w:color w:val="auto"/>
          <w:sz w:val="32"/>
          <w:szCs w:val="32"/>
        </w:rPr>
      </w:pPr>
    </w:p>
    <w:p w14:paraId="58640FD8">
      <w:pPr>
        <w:pStyle w:val="5"/>
        <w:snapToGrid w:val="0"/>
        <w:jc w:val="center"/>
        <w:rPr>
          <w:rFonts w:ascii="Arial" w:hAnsi="Arial" w:cs="Arial"/>
          <w:color w:val="auto"/>
          <w:sz w:val="32"/>
          <w:szCs w:val="32"/>
        </w:rPr>
      </w:pPr>
    </w:p>
    <w:p w14:paraId="1C060FB6">
      <w:pPr>
        <w:spacing w:line="360" w:lineRule="auto"/>
        <w:rPr>
          <w:rFonts w:hint="eastAsia"/>
          <w:bCs/>
          <w:color w:val="auto"/>
          <w:sz w:val="32"/>
          <w:szCs w:val="32"/>
        </w:rPr>
      </w:pPr>
    </w:p>
    <w:p w14:paraId="2BEB28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DIP系统升级服务</w:t>
      </w:r>
      <w:r>
        <w:rPr>
          <w:rFonts w:hint="eastAsia"/>
          <w:bCs/>
          <w:color w:val="auto"/>
          <w:sz w:val="32"/>
          <w:szCs w:val="32"/>
        </w:rPr>
        <w:t>招标文件（院内</w:t>
      </w:r>
      <w:r>
        <w:rPr>
          <w:rFonts w:hint="eastAsia"/>
          <w:bCs/>
          <w:color w:val="auto"/>
          <w:sz w:val="32"/>
          <w:szCs w:val="32"/>
          <w:lang w:eastAsia="zh-CN"/>
        </w:rPr>
        <w:t>单一来源</w:t>
      </w:r>
      <w:r>
        <w:rPr>
          <w:rFonts w:hint="eastAsia"/>
          <w:bCs/>
          <w:color w:val="auto"/>
          <w:sz w:val="32"/>
          <w:szCs w:val="32"/>
        </w:rPr>
        <w:t>招标）</w:t>
      </w:r>
    </w:p>
    <w:p w14:paraId="7AAFA6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4A87E201">
      <w:pPr>
        <w:spacing w:line="320" w:lineRule="exact"/>
        <w:jc w:val="left"/>
        <w:rPr>
          <w:color w:val="auto"/>
          <w:sz w:val="24"/>
        </w:rPr>
      </w:pPr>
    </w:p>
    <w:p w14:paraId="2A3D08C7">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7DEFEF0B">
      <w:pPr>
        <w:rPr>
          <w:rFonts w:hint="eastAsia" w:ascii="宋体" w:hAnsi="宋体" w:cs="宋体"/>
          <w:color w:val="auto"/>
          <w:sz w:val="44"/>
          <w:szCs w:val="44"/>
          <w:lang w:val="en-US" w:eastAsia="zh-CN"/>
        </w:rPr>
      </w:pPr>
    </w:p>
    <w:p w14:paraId="3AD1AEDF">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1942E97C">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DIP系统升级服务进行单一来源采购，现邀请你单位</w:t>
      </w:r>
      <w:r>
        <w:rPr>
          <w:rFonts w:hint="eastAsia" w:hAnsi="Times New Roman"/>
          <w:bCs/>
          <w:color w:val="auto"/>
          <w:sz w:val="28"/>
          <w:szCs w:val="28"/>
          <w:lang w:val="en-US" w:eastAsia="zh-CN"/>
        </w:rPr>
        <w:t>（杭州火树科技有限公司）</w:t>
      </w:r>
      <w:r>
        <w:rPr>
          <w:rFonts w:hint="eastAsia"/>
          <w:bCs/>
          <w:color w:val="auto"/>
          <w:sz w:val="28"/>
          <w:szCs w:val="28"/>
          <w:lang w:val="en-US" w:eastAsia="zh-CN"/>
        </w:rPr>
        <w:t>参加协商。</w:t>
      </w:r>
    </w:p>
    <w:p w14:paraId="502A45E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00904134">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DIP系统升级服务</w:t>
      </w:r>
    </w:p>
    <w:p w14:paraId="24D6B786">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7E1A1611">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440ED0C9">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5DB97AF4">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596962">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096B81BF">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33B8B191">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31C493A3">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33C8563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14:paraId="6BD7B6BD">
      <w:pPr>
        <w:pStyle w:val="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四、投标截止时间、开标时间及地点：</w:t>
      </w:r>
    </w:p>
    <w:p w14:paraId="226F4BE4">
      <w:pPr>
        <w:pStyle w:val="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1、开标时间：2026年</w:t>
      </w:r>
      <w:r>
        <w:rPr>
          <w:rFonts w:hint="eastAsia"/>
          <w:bCs/>
          <w:color w:val="auto"/>
          <w:sz w:val="28"/>
          <w:szCs w:val="28"/>
          <w:lang w:val="en-US" w:eastAsia="zh-CN"/>
        </w:rPr>
        <w:t>2</w:t>
      </w:r>
      <w:r>
        <w:rPr>
          <w:rFonts w:hint="eastAsia" w:hAnsi="Times New Roman"/>
          <w:bCs/>
          <w:color w:val="auto"/>
          <w:sz w:val="28"/>
          <w:szCs w:val="28"/>
          <w:lang w:val="en-US" w:eastAsia="zh-CN"/>
        </w:rPr>
        <w:t>月</w:t>
      </w:r>
      <w:r>
        <w:rPr>
          <w:rFonts w:hint="eastAsia"/>
          <w:bCs/>
          <w:color w:val="auto"/>
          <w:sz w:val="28"/>
          <w:szCs w:val="28"/>
          <w:lang w:val="en-US" w:eastAsia="zh-CN"/>
        </w:rPr>
        <w:t>3</w:t>
      </w:r>
      <w:bookmarkStart w:id="6" w:name="_GoBack"/>
      <w:bookmarkEnd w:id="6"/>
      <w:r>
        <w:rPr>
          <w:rFonts w:hint="eastAsia" w:hAnsi="Times New Roman"/>
          <w:bCs/>
          <w:color w:val="auto"/>
          <w:sz w:val="28"/>
          <w:szCs w:val="28"/>
          <w:lang w:val="en-US" w:eastAsia="zh-CN"/>
        </w:rPr>
        <w:t>日9：00；；</w:t>
      </w:r>
    </w:p>
    <w:p w14:paraId="521D3901">
      <w:pPr>
        <w:pStyle w:val="5"/>
        <w:numPr>
          <w:ilvl w:val="0"/>
          <w:numId w:val="0"/>
        </w:numPr>
        <w:tabs>
          <w:tab w:val="left" w:pos="312"/>
        </w:tabs>
        <w:snapToGrid w:val="0"/>
        <w:spacing w:line="480" w:lineRule="auto"/>
        <w:ind w:firstLine="560" w:firstLineChars="200"/>
        <w:rPr>
          <w:rFonts w:hint="default" w:hAnsi="Times New Roman"/>
          <w:bCs/>
          <w:color w:val="auto"/>
          <w:sz w:val="28"/>
          <w:szCs w:val="28"/>
          <w:lang w:val="en-US" w:eastAsia="zh-CN"/>
        </w:rPr>
      </w:pPr>
      <w:r>
        <w:rPr>
          <w:rFonts w:hint="eastAsia" w:hAnsi="Times New Roman"/>
          <w:bCs/>
          <w:color w:val="auto"/>
          <w:sz w:val="28"/>
          <w:szCs w:val="28"/>
          <w:lang w:val="en-US" w:eastAsia="zh-CN"/>
        </w:rPr>
        <w:t>2、开标地点;娄底市中心医院综合楼420室</w:t>
      </w:r>
    </w:p>
    <w:p w14:paraId="104F4386">
      <w:pPr>
        <w:pStyle w:val="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五、招标人地址和联系方法及报名方式：</w:t>
      </w:r>
    </w:p>
    <w:p w14:paraId="4DFE7EEA">
      <w:pPr>
        <w:pStyle w:val="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1、招标人名称：娄底市中心医院</w:t>
      </w:r>
    </w:p>
    <w:p w14:paraId="4705E256">
      <w:pPr>
        <w:pStyle w:val="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2、联系人及联系方式：廖海星 15873871616</w:t>
      </w:r>
    </w:p>
    <w:p w14:paraId="06EA57CB">
      <w:pPr>
        <w:pStyle w:val="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3、招标人地址：娄底市长青中街51号</w:t>
      </w:r>
    </w:p>
    <w:p w14:paraId="69F4E78D">
      <w:pPr>
        <w:pStyle w:val="5"/>
        <w:numPr>
          <w:ilvl w:val="0"/>
          <w:numId w:val="0"/>
        </w:numPr>
        <w:tabs>
          <w:tab w:val="left" w:pos="312"/>
        </w:tabs>
        <w:snapToGrid w:val="0"/>
        <w:spacing w:line="480" w:lineRule="auto"/>
        <w:ind w:firstLine="560" w:firstLineChars="200"/>
        <w:rPr>
          <w:rFonts w:hint="default" w:hAnsi="Times New Roman"/>
          <w:bCs/>
          <w:color w:val="auto"/>
          <w:sz w:val="28"/>
          <w:szCs w:val="28"/>
          <w:lang w:val="en-US" w:eastAsia="zh-CN"/>
        </w:rPr>
      </w:pPr>
      <w:r>
        <w:rPr>
          <w:rFonts w:hint="eastAsia" w:hAnsi="Times New Roman"/>
          <w:bCs/>
          <w:color w:val="auto"/>
          <w:sz w:val="28"/>
          <w:szCs w:val="28"/>
          <w:lang w:val="en-US" w:eastAsia="zh-CN"/>
        </w:rPr>
        <w:t>4、报名方式：请将报名信息以电子邮件形式发送至28693680@QQ.COM，报名信息包含但不限于以下内容：参与项目名称、报名公司名称、联系人、联系电话，公司营业执照等。</w:t>
      </w:r>
    </w:p>
    <w:p w14:paraId="7914316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78D832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30887FF3">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3BF45C5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2681AF96">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2B21CD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700B38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972"/>
      </w:tblGrid>
      <w:tr w14:paraId="23C6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234787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027A334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14:paraId="5AC4DFF1">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0266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A045F8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B55D82A">
            <w:pPr>
              <w:spacing w:line="360" w:lineRule="auto"/>
              <w:jc w:val="center"/>
              <w:rPr>
                <w:rFonts w:hint="eastAsia" w:ascii="仿宋_GB2312" w:hAnsi="Times New Roman" w:eastAsia="仿宋" w:cs="仿宋_GB2312"/>
                <w:bCs/>
                <w:color w:val="auto"/>
                <w:kern w:val="0"/>
                <w:sz w:val="28"/>
                <w:szCs w:val="28"/>
                <w:lang w:val="en-US" w:eastAsia="zh-CN" w:bidi="ar-SA"/>
              </w:rPr>
            </w:pPr>
            <w:r>
              <w:rPr>
                <w:rFonts w:hint="eastAsia" w:ascii="仿宋" w:hAnsi="仿宋" w:eastAsia="仿宋" w:cs="仿宋"/>
                <w:i w:val="0"/>
                <w:iCs w:val="0"/>
                <w:caps w:val="0"/>
                <w:color w:val="000000"/>
                <w:spacing w:val="0"/>
                <w:sz w:val="28"/>
                <w:szCs w:val="28"/>
                <w:shd w:val="clear" w:fill="FFFFFF"/>
                <w:lang w:eastAsia="zh-CN"/>
              </w:rPr>
              <w:t>DIP系统升级服务</w:t>
            </w:r>
          </w:p>
        </w:tc>
        <w:tc>
          <w:tcPr>
            <w:tcW w:w="1972" w:type="dxa"/>
            <w:tcBorders>
              <w:top w:val="single" w:color="auto" w:sz="4" w:space="0"/>
              <w:left w:val="single" w:color="auto" w:sz="4" w:space="0"/>
              <w:bottom w:val="single" w:color="auto" w:sz="4" w:space="0"/>
              <w:right w:val="single" w:color="auto" w:sz="4" w:space="0"/>
            </w:tcBorders>
            <w:vAlign w:val="center"/>
          </w:tcPr>
          <w:p w14:paraId="06F8C9A7">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9.6万元</w:t>
            </w:r>
          </w:p>
        </w:tc>
      </w:tr>
    </w:tbl>
    <w:p w14:paraId="20066291">
      <w:pPr>
        <w:spacing w:line="360" w:lineRule="auto"/>
        <w:rPr>
          <w:rFonts w:hint="default" w:ascii="仿宋_GB2312" w:hAnsi="Times New Roman" w:eastAsia="仿宋_GB2312" w:cs="仿宋_GB2312"/>
          <w:bCs/>
          <w:color w:val="auto"/>
          <w:kern w:val="0"/>
          <w:sz w:val="28"/>
          <w:szCs w:val="28"/>
          <w:lang w:val="en-US" w:eastAsia="zh-CN" w:bidi="ar-SA"/>
        </w:rPr>
      </w:pPr>
    </w:p>
    <w:p w14:paraId="28FBC79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2A17AEB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14:paraId="5F0F1D7F">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p>
    <w:p w14:paraId="554BCFF8">
      <w:pPr>
        <w:pStyle w:val="2"/>
        <w:bidi w:val="0"/>
        <w:jc w:val="left"/>
        <w:rPr>
          <w:rFonts w:hint="eastAsia" w:ascii="仿宋_GB2312" w:hAnsi="Times New Roman" w:eastAsia="仿宋_GB2312" w:cs="仿宋_GB2312"/>
          <w:b w:val="0"/>
          <w:bCs/>
          <w:color w:val="auto"/>
          <w:kern w:val="0"/>
          <w:sz w:val="28"/>
          <w:szCs w:val="28"/>
          <w:lang w:val="en-US" w:eastAsia="zh-CN" w:bidi="ar-SA"/>
        </w:rPr>
      </w:pPr>
      <w:r>
        <w:rPr>
          <w:rFonts w:hint="eastAsia" w:ascii="仿宋_GB2312" w:hAnsi="Times New Roman" w:eastAsia="仿宋_GB2312" w:cs="仿宋_GB2312"/>
          <w:b w:val="0"/>
          <w:bCs/>
          <w:color w:val="auto"/>
          <w:kern w:val="0"/>
          <w:sz w:val="28"/>
          <w:szCs w:val="28"/>
          <w:lang w:val="en-US" w:eastAsia="zh-CN" w:bidi="ar-SA"/>
        </w:rPr>
        <w:t xml:space="preserve"> DIP运营分析系统</w:t>
      </w:r>
    </w:p>
    <w:tbl>
      <w:tblPr>
        <w:tblStyle w:val="12"/>
        <w:tblW w:w="8888"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259"/>
        <w:gridCol w:w="2600"/>
        <w:gridCol w:w="5029"/>
      </w:tblGrid>
      <w:tr w14:paraId="62E5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1259" w:type="dxa"/>
            <w:noWrap w:val="0"/>
            <w:vAlign w:val="center"/>
          </w:tcPr>
          <w:p w14:paraId="3D233981">
            <w:pPr>
              <w:shd w:val="clear" w:color="auto" w:fill="auto"/>
              <w:spacing w:before="0" w:after="0" w:line="300" w:lineRule="auto"/>
              <w:ind w:firstLine="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序号</w:t>
            </w:r>
          </w:p>
        </w:tc>
        <w:tc>
          <w:tcPr>
            <w:tcW w:w="2600" w:type="dxa"/>
            <w:noWrap w:val="0"/>
            <w:vAlign w:val="center"/>
          </w:tcPr>
          <w:p w14:paraId="5E683216">
            <w:pPr>
              <w:shd w:val="clear" w:color="auto" w:fill="auto"/>
              <w:spacing w:before="0" w:after="0" w:line="300" w:lineRule="auto"/>
              <w:ind w:firstLine="0"/>
              <w:jc w:val="cente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功能模块</w:t>
            </w:r>
          </w:p>
        </w:tc>
        <w:tc>
          <w:tcPr>
            <w:tcW w:w="5029" w:type="dxa"/>
            <w:noWrap w:val="0"/>
            <w:vAlign w:val="center"/>
          </w:tcPr>
          <w:p w14:paraId="3FFE367E">
            <w:pPr>
              <w:shd w:val="clear" w:color="auto" w:fill="auto"/>
              <w:spacing w:before="0" w:after="0" w:line="300" w:lineRule="auto"/>
              <w:ind w:firstLine="0"/>
              <w:jc w:val="cente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详细参数</w:t>
            </w:r>
          </w:p>
        </w:tc>
      </w:tr>
      <w:tr w14:paraId="3476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98" w:hRule="atLeast"/>
        </w:trPr>
        <w:tc>
          <w:tcPr>
            <w:tcW w:w="1259" w:type="dxa"/>
            <w:noWrap w:val="0"/>
            <w:vAlign w:val="center"/>
          </w:tcPr>
          <w:p w14:paraId="66BD1B75">
            <w:pPr>
              <w:shd w:val="clear" w:color="auto" w:fill="auto"/>
              <w:spacing w:before="0" w:after="0" w:line="300" w:lineRule="auto"/>
              <w:ind w:firstLine="0"/>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1</w:t>
            </w:r>
          </w:p>
        </w:tc>
        <w:tc>
          <w:tcPr>
            <w:tcW w:w="2600" w:type="dxa"/>
            <w:noWrap w:val="0"/>
            <w:vAlign w:val="center"/>
          </w:tcPr>
          <w:p w14:paraId="1AE28A41">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多分组及政策管理</w:t>
            </w:r>
          </w:p>
        </w:tc>
        <w:tc>
          <w:tcPr>
            <w:tcW w:w="5029" w:type="dxa"/>
            <w:noWrap w:val="0"/>
            <w:vAlign w:val="center"/>
          </w:tcPr>
          <w:p w14:paraId="760F99B8">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1)支持根据统筹区及不同时间范围配置不同的DRG分组及政策；</w:t>
            </w:r>
          </w:p>
          <w:p w14:paraId="23A01C0B">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2)支持查看不同统筹区、时间段内不同分组政策下的汇总数据；</w:t>
            </w:r>
          </w:p>
          <w:p w14:paraId="3E382746">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3）支持对比查看不同时间段、统筹区病组，并支持进行统一管理；</w:t>
            </w:r>
          </w:p>
        </w:tc>
      </w:tr>
      <w:tr w14:paraId="74B4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54" w:hRule="atLeast"/>
        </w:trPr>
        <w:tc>
          <w:tcPr>
            <w:tcW w:w="1259" w:type="dxa"/>
            <w:noWrap w:val="0"/>
            <w:vAlign w:val="center"/>
          </w:tcPr>
          <w:p w14:paraId="5F756D50">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p>
        </w:tc>
        <w:tc>
          <w:tcPr>
            <w:tcW w:w="2600" w:type="dxa"/>
            <w:noWrap w:val="0"/>
            <w:vAlign w:val="center"/>
          </w:tcPr>
          <w:p w14:paraId="1B2355AD">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全局优化</w:t>
            </w:r>
          </w:p>
        </w:tc>
        <w:tc>
          <w:tcPr>
            <w:tcW w:w="5029" w:type="dxa"/>
            <w:noWrap w:val="0"/>
            <w:vAlign w:val="center"/>
          </w:tcPr>
          <w:p w14:paraId="4C45121A">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1)辅助目录筛选优化为细分目录</w:t>
            </w:r>
          </w:p>
          <w:p w14:paraId="0A14C140">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2)支持辅助目录、基础分值与特殊项目分值、辅助目录系数、偏差系数导入、基层病种等字段由结算单导入系统，且优先展示结算单数据</w:t>
            </w:r>
          </w:p>
        </w:tc>
      </w:tr>
      <w:tr w14:paraId="595CF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1259" w:type="dxa"/>
            <w:noWrap w:val="0"/>
            <w:vAlign w:val="center"/>
          </w:tcPr>
          <w:p w14:paraId="43E0620C">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w:t>
            </w:r>
          </w:p>
        </w:tc>
        <w:tc>
          <w:tcPr>
            <w:tcW w:w="2600" w:type="dxa"/>
            <w:noWrap w:val="0"/>
            <w:vAlign w:val="center"/>
          </w:tcPr>
          <w:p w14:paraId="2C48111D">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医生助手（在院DRG分组监测接口）服务</w:t>
            </w:r>
          </w:p>
        </w:tc>
        <w:tc>
          <w:tcPr>
            <w:tcW w:w="5029" w:type="dxa"/>
            <w:noWrap w:val="0"/>
            <w:vAlign w:val="center"/>
          </w:tcPr>
          <w:p w14:paraId="5A140C42">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1）支持根据分组结果重新进行病例质控；</w:t>
            </w:r>
          </w:p>
          <w:p w14:paraId="13171B67">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2）支持在购买结算清单质控系统的前提下，事中环节调取清单（清单大数据/清单专家规则/清单本地医保审核规则）进行质控；</w:t>
            </w:r>
          </w:p>
          <w:p w14:paraId="4B574285">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3）支持中医优势、中医特色病种标识展示</w:t>
            </w:r>
          </w:p>
          <w:p w14:paraId="6AD65408">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4）增加定额结算类别，当患者满足定额结算条件时，区分定额结算tab，支持与病组结算进行对比查看</w:t>
            </w:r>
          </w:p>
          <w:p w14:paraId="343DCB61">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5）支持患者360调阅</w:t>
            </w:r>
          </w:p>
        </w:tc>
      </w:tr>
      <w:tr w14:paraId="4F111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1259" w:type="dxa"/>
            <w:noWrap w:val="0"/>
            <w:vAlign w:val="center"/>
          </w:tcPr>
          <w:p w14:paraId="6140863F">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w:t>
            </w:r>
          </w:p>
        </w:tc>
        <w:tc>
          <w:tcPr>
            <w:tcW w:w="2600" w:type="dxa"/>
            <w:noWrap w:val="0"/>
            <w:vAlign w:val="center"/>
          </w:tcPr>
          <w:p w14:paraId="01C1478A">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在院监测服务</w:t>
            </w:r>
          </w:p>
        </w:tc>
        <w:tc>
          <w:tcPr>
            <w:tcW w:w="5029" w:type="dxa"/>
            <w:noWrap w:val="0"/>
            <w:vAlign w:val="center"/>
          </w:tcPr>
          <w:p w14:paraId="63AF4A00">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1）支持根据分组结果重新进行病例质控；</w:t>
            </w:r>
          </w:p>
          <w:p w14:paraId="1485FCF3">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2）支持在购买结算清单质控系统的前提下，事中环节调取清单（清单大数据/清单专家规则/清单本地医保审核规则）进行质控；</w:t>
            </w:r>
          </w:p>
          <w:p w14:paraId="3E8AD68E">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3）支持中医优势、中医特色病种标识展示</w:t>
            </w:r>
          </w:p>
          <w:p w14:paraId="30C24D1B">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4）增加定额结算类别，当患者满足定额结算条件时，区分定额结算tab，支持与病组结算进行对比查看</w:t>
            </w:r>
          </w:p>
          <w:p w14:paraId="084A18E2">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5）支持患者360调阅</w:t>
            </w:r>
          </w:p>
        </w:tc>
      </w:tr>
      <w:tr w14:paraId="36C6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1259" w:type="dxa"/>
            <w:noWrap w:val="0"/>
            <w:vAlign w:val="center"/>
          </w:tcPr>
          <w:p w14:paraId="50665E35">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w:t>
            </w:r>
          </w:p>
        </w:tc>
        <w:tc>
          <w:tcPr>
            <w:tcW w:w="2600" w:type="dxa"/>
            <w:noWrap w:val="0"/>
            <w:vAlign w:val="center"/>
          </w:tcPr>
          <w:p w14:paraId="31C47976">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病种综合分析</w:t>
            </w:r>
          </w:p>
        </w:tc>
        <w:tc>
          <w:tcPr>
            <w:tcW w:w="5029" w:type="dxa"/>
            <w:noWrap w:val="0"/>
            <w:vAlign w:val="center"/>
          </w:tcPr>
          <w:p w14:paraId="1E518CD9">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1）支持根据医院实际管理情况配置病种综合分析列表以病种或以病种+辅助目录维度展示</w:t>
            </w:r>
          </w:p>
        </w:tc>
      </w:tr>
      <w:tr w14:paraId="31CE9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1259" w:type="dxa"/>
            <w:noWrap w:val="0"/>
            <w:vAlign w:val="center"/>
          </w:tcPr>
          <w:p w14:paraId="3A59B83E">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w:t>
            </w:r>
          </w:p>
        </w:tc>
        <w:tc>
          <w:tcPr>
            <w:tcW w:w="2600" w:type="dxa"/>
            <w:noWrap w:val="0"/>
            <w:vAlign w:val="center"/>
          </w:tcPr>
          <w:p w14:paraId="6533D66E">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病例数据综合查询与下载</w:t>
            </w:r>
          </w:p>
        </w:tc>
        <w:tc>
          <w:tcPr>
            <w:tcW w:w="5029" w:type="dxa"/>
            <w:noWrap w:val="0"/>
            <w:vAlign w:val="center"/>
          </w:tcPr>
          <w:p w14:paraId="6EFC964B">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支持根据管理科室导出数据</w:t>
            </w:r>
          </w:p>
          <w:p w14:paraId="598DCA70">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首页顶部支持配置展示卡片顺序及卡片范围</w:t>
            </w:r>
          </w:p>
        </w:tc>
      </w:tr>
      <w:tr w14:paraId="74F55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1259" w:type="dxa"/>
            <w:noWrap w:val="0"/>
            <w:vAlign w:val="center"/>
          </w:tcPr>
          <w:p w14:paraId="5FE5F967">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w:t>
            </w:r>
          </w:p>
        </w:tc>
        <w:tc>
          <w:tcPr>
            <w:tcW w:w="2600" w:type="dxa"/>
            <w:noWrap w:val="0"/>
            <w:vAlign w:val="center"/>
          </w:tcPr>
          <w:p w14:paraId="5715C08A">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结算核对</w:t>
            </w:r>
          </w:p>
        </w:tc>
        <w:tc>
          <w:tcPr>
            <w:tcW w:w="5029" w:type="dxa"/>
            <w:noWrap w:val="0"/>
            <w:vAlign w:val="center"/>
          </w:tcPr>
          <w:p w14:paraId="6A2B717D">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支持将特病单议患者导入系统并进行标记，已标记为单议的患者可单独进行筛选</w:t>
            </w:r>
          </w:p>
        </w:tc>
      </w:tr>
    </w:tbl>
    <w:p w14:paraId="7566829C">
      <w:pPr>
        <w:pStyle w:val="2"/>
        <w:keepNext w:val="0"/>
        <w:keepLines w:val="0"/>
        <w:pageBreakBefore w:val="0"/>
        <w:widowControl/>
        <w:shd w:val="clear" w:color="auto" w:fill="auto"/>
        <w:kinsoku/>
        <w:wordWrap/>
        <w:overflowPunct/>
        <w:topLinePunct w:val="0"/>
        <w:autoSpaceDE/>
        <w:autoSpaceDN/>
        <w:bidi w:val="0"/>
        <w:adjustRightInd/>
        <w:snapToGrid/>
        <w:spacing w:after="0" w:afterLines="100"/>
        <w:jc w:val="left"/>
        <w:textAlignment w:val="auto"/>
        <w:rPr>
          <w:rFonts w:hint="eastAsia" w:ascii="仿宋_GB2312" w:hAnsi="Times New Roman" w:eastAsia="仿宋_GB2312" w:cs="仿宋_GB2312"/>
          <w:b w:val="0"/>
          <w:bCs/>
          <w:color w:val="auto"/>
          <w:kern w:val="0"/>
          <w:sz w:val="28"/>
          <w:szCs w:val="28"/>
          <w:lang w:val="en-US" w:eastAsia="zh-CN" w:bidi="ar-SA"/>
        </w:rPr>
      </w:pPr>
      <w:bookmarkStart w:id="1" w:name="_Toc18794"/>
      <w:r>
        <w:rPr>
          <w:rFonts w:hint="eastAsia" w:ascii="仿宋_GB2312" w:hAnsi="Times New Roman" w:eastAsia="仿宋_GB2312" w:cs="仿宋_GB2312"/>
          <w:b w:val="0"/>
          <w:bCs/>
          <w:color w:val="auto"/>
          <w:kern w:val="0"/>
          <w:sz w:val="28"/>
          <w:szCs w:val="28"/>
          <w:lang w:val="en-US" w:eastAsia="zh-CN" w:bidi="ar-SA"/>
        </w:rPr>
        <w:t xml:space="preserve"> 病案首页质控系统</w:t>
      </w:r>
      <w:bookmarkEnd w:id="1"/>
    </w:p>
    <w:tbl>
      <w:tblPr>
        <w:tblStyle w:val="12"/>
        <w:tblW w:w="52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1241"/>
        <w:gridCol w:w="6615"/>
      </w:tblGrid>
      <w:tr w14:paraId="0EFB2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575" w:type="pct"/>
            <w:noWrap w:val="0"/>
            <w:vAlign w:val="center"/>
          </w:tcPr>
          <w:p w14:paraId="155E8EAD">
            <w:pPr>
              <w:widowControl/>
              <w:spacing w:line="276" w:lineRule="auto"/>
              <w:jc w:val="center"/>
              <w:rPr>
                <w:rFonts w:ascii="宋体" w:hAnsi="宋体" w:eastAsia="宋体" w:cs="宋体"/>
                <w:b/>
                <w:bCs/>
                <w:kern w:val="0"/>
                <w:sz w:val="24"/>
                <w:szCs w:val="24"/>
              </w:rPr>
            </w:pPr>
            <w:bookmarkStart w:id="2" w:name="_Hlk145453987"/>
            <w:r>
              <w:rPr>
                <w:rFonts w:hint="eastAsia" w:ascii="宋体" w:hAnsi="宋体" w:eastAsia="宋体" w:cs="宋体"/>
                <w:b/>
                <w:bCs/>
                <w:kern w:val="0"/>
                <w:sz w:val="24"/>
                <w:szCs w:val="24"/>
              </w:rPr>
              <w:t>模块</w:t>
            </w:r>
          </w:p>
        </w:tc>
        <w:tc>
          <w:tcPr>
            <w:tcW w:w="699" w:type="pct"/>
            <w:noWrap w:val="0"/>
            <w:vAlign w:val="center"/>
          </w:tcPr>
          <w:p w14:paraId="37001E09">
            <w:pPr>
              <w:widowControl/>
              <w:spacing w:line="276"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功能点</w:t>
            </w:r>
          </w:p>
        </w:tc>
        <w:tc>
          <w:tcPr>
            <w:tcW w:w="3725" w:type="pct"/>
            <w:noWrap w:val="0"/>
            <w:vAlign w:val="center"/>
          </w:tcPr>
          <w:p w14:paraId="188CBCD5">
            <w:pPr>
              <w:widowControl/>
              <w:spacing w:line="276"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功能说明</w:t>
            </w:r>
          </w:p>
        </w:tc>
      </w:tr>
      <w:tr w14:paraId="6F98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74" w:type="pct"/>
            <w:gridSpan w:val="2"/>
            <w:noWrap w:val="0"/>
            <w:vAlign w:val="center"/>
          </w:tcPr>
          <w:p w14:paraId="240B0C81">
            <w:pPr>
              <w:widowControl/>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首页问题检测</w:t>
            </w:r>
          </w:p>
        </w:tc>
        <w:tc>
          <w:tcPr>
            <w:tcW w:w="3725" w:type="pct"/>
            <w:noWrap w:val="0"/>
            <w:vAlign w:val="center"/>
          </w:tcPr>
          <w:p w14:paraId="3A9CDCD6">
            <w:pPr>
              <w:widowControl/>
              <w:numPr>
                <w:ilvl w:val="0"/>
                <w:numId w:val="1"/>
              </w:numPr>
              <w:spacing w:line="276" w:lineRule="auto"/>
              <w:ind w:left="40" w:firstLine="0"/>
              <w:jc w:val="left"/>
              <w:rPr>
                <w:rFonts w:ascii="宋体" w:hAnsi="宋体" w:eastAsia="宋体" w:cs="宋体"/>
                <w:kern w:val="0"/>
                <w:sz w:val="24"/>
                <w:szCs w:val="24"/>
              </w:rPr>
            </w:pPr>
            <w:r>
              <w:rPr>
                <w:rFonts w:hint="eastAsia" w:ascii="宋体" w:hAnsi="宋体" w:eastAsia="宋体" w:cs="宋体"/>
                <w:kern w:val="0"/>
                <w:sz w:val="24"/>
                <w:szCs w:val="24"/>
              </w:rPr>
              <w:t>支持按重点问题病案、一般问题病案、优质病案、全部质检病案查看对应病例，包含每份病例的</w:t>
            </w:r>
            <w:r>
              <w:rPr>
                <w:rFonts w:ascii="宋体" w:hAnsi="宋体" w:eastAsia="宋体" w:cs="宋体"/>
                <w:kern w:val="0"/>
                <w:sz w:val="24"/>
                <w:szCs w:val="24"/>
              </w:rPr>
              <w:t>DIP</w:t>
            </w:r>
            <w:r>
              <w:rPr>
                <w:rFonts w:hint="eastAsia" w:ascii="宋体" w:hAnsi="宋体" w:eastAsia="宋体" w:cs="宋体"/>
                <w:kern w:val="0"/>
                <w:sz w:val="24"/>
                <w:szCs w:val="24"/>
              </w:rPr>
              <w:t>预测分组信息、费用信息、质控结果信息、诊断手术信息、批注信息等；支持对于入组异常患者展示入组解析；支持打开病案首页详情查看具体信息；支持按病案工作内容进行筛选，包含批注情况、质控结果处理情况、病案已读状态的维度</w:t>
            </w:r>
          </w:p>
          <w:p w14:paraId="51F5C59E">
            <w:pPr>
              <w:widowControl/>
              <w:numPr>
                <w:ilvl w:val="0"/>
                <w:numId w:val="1"/>
              </w:numPr>
              <w:spacing w:line="276" w:lineRule="auto"/>
              <w:ind w:left="40" w:firstLine="0"/>
              <w:jc w:val="left"/>
              <w:rPr>
                <w:rFonts w:ascii="宋体" w:hAnsi="宋体" w:eastAsia="宋体" w:cs="宋体"/>
                <w:kern w:val="0"/>
                <w:sz w:val="24"/>
                <w:szCs w:val="24"/>
              </w:rPr>
            </w:pPr>
            <w:r>
              <w:rPr>
                <w:rFonts w:hint="eastAsia" w:ascii="宋体" w:hAnsi="宋体" w:eastAsia="宋体"/>
                <w:sz w:val="24"/>
                <w:szCs w:val="24"/>
              </w:rPr>
              <w:t>对于入组异常的患者展示入组解析，如未入组和歧义组的患者</w:t>
            </w:r>
          </w:p>
          <w:p w14:paraId="0A0410CB">
            <w:pPr>
              <w:pStyle w:val="18"/>
              <w:numPr>
                <w:ilvl w:val="0"/>
                <w:numId w:val="1"/>
              </w:numPr>
              <w:snapToGrid w:val="0"/>
              <w:spacing w:line="276" w:lineRule="auto"/>
              <w:ind w:left="40" w:firstLine="0" w:firstLineChars="0"/>
              <w:rPr>
                <w:rFonts w:ascii="宋体" w:hAnsi="宋体" w:eastAsia="宋体"/>
                <w:sz w:val="24"/>
                <w:szCs w:val="24"/>
              </w:rPr>
            </w:pPr>
            <w:r>
              <w:rPr>
                <w:rFonts w:ascii="宋体" w:hAnsi="宋体" w:eastAsia="宋体"/>
                <w:sz w:val="24"/>
                <w:szCs w:val="24"/>
              </w:rPr>
              <w:t>支持填写整改批注</w:t>
            </w:r>
            <w:r>
              <w:rPr>
                <w:rFonts w:hint="eastAsia" w:ascii="宋体" w:hAnsi="宋体" w:eastAsia="宋体"/>
                <w:sz w:val="24"/>
                <w:szCs w:val="24"/>
              </w:rPr>
              <w:t>并选择对应的批注类型</w:t>
            </w:r>
            <w:r>
              <w:rPr>
                <w:rFonts w:ascii="宋体" w:hAnsi="宋体" w:eastAsia="宋体"/>
                <w:sz w:val="24"/>
                <w:szCs w:val="24"/>
              </w:rPr>
              <w:t>，输入批注内容</w:t>
            </w:r>
            <w:r>
              <w:rPr>
                <w:rFonts w:hint="eastAsia" w:ascii="宋体" w:hAnsi="宋体" w:eastAsia="宋体"/>
                <w:sz w:val="24"/>
                <w:szCs w:val="24"/>
              </w:rPr>
              <w:t>并选择问题归属后，</w:t>
            </w:r>
            <w:r>
              <w:rPr>
                <w:rFonts w:ascii="宋体" w:hAnsi="宋体" w:eastAsia="宋体"/>
                <w:sz w:val="24"/>
                <w:szCs w:val="24"/>
              </w:rPr>
              <w:t>后可</w:t>
            </w:r>
            <w:r>
              <w:rPr>
                <w:rFonts w:hint="eastAsia" w:ascii="宋体" w:hAnsi="宋体" w:eastAsia="宋体"/>
                <w:sz w:val="24"/>
                <w:szCs w:val="24"/>
              </w:rPr>
              <w:t>指定</w:t>
            </w:r>
            <w:r>
              <w:rPr>
                <w:rFonts w:ascii="宋体" w:hAnsi="宋体" w:eastAsia="宋体"/>
                <w:sz w:val="24"/>
                <w:szCs w:val="24"/>
              </w:rPr>
              <w:t>发送至相关的医生和编码员，</w:t>
            </w:r>
            <w:r>
              <w:rPr>
                <w:rFonts w:hint="eastAsia" w:ascii="宋体" w:hAnsi="宋体" w:eastAsia="宋体"/>
                <w:sz w:val="24"/>
                <w:szCs w:val="24"/>
              </w:rPr>
              <w:t>支持暂不发送仅保存</w:t>
            </w:r>
            <w:r>
              <w:rPr>
                <w:rFonts w:ascii="宋体" w:hAnsi="宋体" w:eastAsia="宋体"/>
                <w:sz w:val="24"/>
                <w:szCs w:val="24"/>
              </w:rPr>
              <w:t>；</w:t>
            </w:r>
          </w:p>
          <w:p w14:paraId="514DBB3F">
            <w:pPr>
              <w:widowControl/>
              <w:numPr>
                <w:ilvl w:val="0"/>
                <w:numId w:val="1"/>
              </w:numPr>
              <w:spacing w:line="276" w:lineRule="auto"/>
              <w:ind w:left="40" w:firstLine="0"/>
              <w:jc w:val="left"/>
              <w:rPr>
                <w:rFonts w:ascii="宋体" w:hAnsi="宋体" w:eastAsia="宋体" w:cs="宋体"/>
                <w:kern w:val="0"/>
                <w:sz w:val="24"/>
                <w:szCs w:val="24"/>
              </w:rPr>
            </w:pPr>
            <w:r>
              <w:rPr>
                <w:rFonts w:hint="eastAsia" w:ascii="宋体" w:hAnsi="宋体" w:eastAsia="宋体" w:cs="宋体"/>
                <w:kern w:val="0"/>
                <w:sz w:val="24"/>
                <w:szCs w:val="24"/>
              </w:rPr>
              <w:t>支持对质检结果进行操作，包括标识为已修改、不认同、待讨论；选择不认同时可选择无需修改或关闭规则，并填写关闭理由；选择待讨论时可输入待讨论内容；具体操作及操作人支持在操作记录中查看，并支持下载导出列表；</w:t>
            </w:r>
          </w:p>
          <w:p w14:paraId="6323394F">
            <w:pPr>
              <w:pStyle w:val="18"/>
              <w:widowControl/>
              <w:numPr>
                <w:ilvl w:val="0"/>
                <w:numId w:val="1"/>
              </w:numPr>
              <w:spacing w:line="276" w:lineRule="auto"/>
              <w:ind w:left="40" w:firstLine="0" w:firstLineChars="0"/>
              <w:jc w:val="left"/>
              <w:rPr>
                <w:rFonts w:ascii="宋体" w:hAnsi="宋体" w:eastAsia="宋体" w:cs="宋体"/>
                <w:kern w:val="0"/>
                <w:sz w:val="24"/>
                <w:szCs w:val="24"/>
              </w:rPr>
            </w:pPr>
            <w:r>
              <w:rPr>
                <w:rFonts w:hint="eastAsia" w:ascii="宋体" w:hAnsi="宋体" w:eastAsia="宋体"/>
                <w:sz w:val="24"/>
                <w:szCs w:val="24"/>
              </w:rPr>
              <w:t>支持下载当前列表、整改批注、操作记录</w:t>
            </w:r>
          </w:p>
        </w:tc>
      </w:tr>
      <w:tr w14:paraId="1ECA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5" w:type="pct"/>
            <w:noWrap w:val="0"/>
            <w:vAlign w:val="center"/>
          </w:tcPr>
          <w:p w14:paraId="0F9933CC">
            <w:pPr>
              <w:widowControl/>
              <w:spacing w:line="276" w:lineRule="auto"/>
              <w:jc w:val="center"/>
              <w:rPr>
                <w:rFonts w:ascii="宋体" w:hAnsi="宋体" w:eastAsia="宋体" w:cs="宋体"/>
                <w:kern w:val="0"/>
                <w:sz w:val="24"/>
                <w:szCs w:val="24"/>
              </w:rPr>
            </w:pPr>
            <w:r>
              <w:rPr>
                <w:rFonts w:hint="eastAsia" w:ascii="宋体" w:hAnsi="宋体" w:eastAsia="宋体" w:cs="宋体"/>
                <w:kern w:val="0"/>
                <w:sz w:val="24"/>
                <w:szCs w:val="24"/>
              </w:rPr>
              <w:t>系统设置</w:t>
            </w:r>
          </w:p>
        </w:tc>
        <w:tc>
          <w:tcPr>
            <w:tcW w:w="699" w:type="pct"/>
            <w:noWrap w:val="0"/>
            <w:vAlign w:val="center"/>
          </w:tcPr>
          <w:p w14:paraId="0A4097FB">
            <w:pPr>
              <w:widowControl/>
              <w:spacing w:line="276" w:lineRule="auto"/>
              <w:jc w:val="left"/>
              <w:rPr>
                <w:rFonts w:ascii="宋体" w:hAnsi="宋体" w:eastAsia="宋体" w:cs="宋体"/>
                <w:kern w:val="0"/>
                <w:sz w:val="24"/>
                <w:szCs w:val="24"/>
              </w:rPr>
            </w:pPr>
            <w:r>
              <w:rPr>
                <w:rFonts w:hint="eastAsia" w:ascii="宋体" w:hAnsi="宋体" w:eastAsia="宋体" w:cs="宋体"/>
                <w:kern w:val="0"/>
                <w:sz w:val="24"/>
                <w:szCs w:val="24"/>
              </w:rPr>
              <w:t>批注设置</w:t>
            </w:r>
          </w:p>
        </w:tc>
        <w:tc>
          <w:tcPr>
            <w:tcW w:w="3725" w:type="pct"/>
            <w:noWrap w:val="0"/>
            <w:vAlign w:val="center"/>
          </w:tcPr>
          <w:p w14:paraId="6C284D1B">
            <w:pPr>
              <w:widowControl/>
              <w:spacing w:line="276" w:lineRule="auto"/>
              <w:jc w:val="left"/>
              <w:rPr>
                <w:rFonts w:ascii="宋体" w:hAnsi="宋体" w:eastAsia="宋体" w:cs="宋体"/>
                <w:kern w:val="0"/>
                <w:sz w:val="24"/>
                <w:szCs w:val="24"/>
              </w:rPr>
            </w:pPr>
            <w:r>
              <w:rPr>
                <w:rFonts w:hint="eastAsia" w:ascii="宋体" w:hAnsi="宋体" w:eastAsia="宋体" w:cs="宋体"/>
                <w:kern w:val="0"/>
                <w:sz w:val="24"/>
                <w:szCs w:val="24"/>
              </w:rPr>
              <w:t>支持自定义批注类型，在填写批注内容时快捷选择批注类型，并且支持下载导出；</w:t>
            </w:r>
          </w:p>
        </w:tc>
      </w:tr>
      <w:bookmarkEnd w:id="2"/>
    </w:tbl>
    <w:p w14:paraId="13D613B7">
      <w:pPr>
        <w:shd w:val="clear" w:color="auto" w:fill="auto"/>
        <w:spacing w:before="0" w:after="0" w:line="240" w:lineRule="auto"/>
        <w:ind w:firstLine="0"/>
        <w:jc w:val="left"/>
        <w:rPr>
          <w:rFonts w:hint="eastAsia" w:ascii="宋体" w:hAnsi="宋体" w:eastAsia="宋体" w:cs="宋体"/>
          <w:b/>
          <w:sz w:val="24"/>
          <w:szCs w:val="24"/>
        </w:rPr>
      </w:pPr>
    </w:p>
    <w:p w14:paraId="665E2A41">
      <w:pPr>
        <w:keepNext w:val="0"/>
        <w:keepLines w:val="0"/>
        <w:pageBreakBefore w:val="0"/>
        <w:widowControl/>
        <w:shd w:val="clear" w:color="auto" w:fill="auto"/>
        <w:kinsoku/>
        <w:wordWrap/>
        <w:overflowPunct/>
        <w:topLinePunct w:val="0"/>
        <w:autoSpaceDE/>
        <w:autoSpaceDN/>
        <w:bidi w:val="0"/>
        <w:adjustRightInd/>
        <w:snapToGrid/>
        <w:spacing w:before="0" w:after="0" w:afterLines="100" w:line="240" w:lineRule="auto"/>
        <w:ind w:firstLine="0"/>
        <w:jc w:val="left"/>
        <w:textAlignment w:val="auto"/>
        <w:rPr>
          <w:rFonts w:hint="eastAsia" w:ascii="仿宋_GB2312" w:hAnsi="Times New Roman" w:eastAsia="仿宋_GB2312" w:cs="仿宋_GB2312"/>
          <w:bCs/>
          <w:color w:val="auto"/>
          <w:kern w:val="0"/>
          <w:sz w:val="28"/>
          <w:szCs w:val="28"/>
          <w:lang w:val="en-US" w:eastAsia="zh-CN" w:bidi="ar-SA"/>
        </w:rPr>
      </w:pPr>
      <w:r>
        <w:rPr>
          <w:rFonts w:hint="eastAsia" w:ascii="宋体" w:hAnsi="宋体" w:eastAsia="宋体" w:cs="宋体"/>
          <w:b/>
          <w:sz w:val="24"/>
          <w:szCs w:val="24"/>
          <w:lang w:val="en-US" w:eastAsia="zh-CN"/>
        </w:rPr>
        <w:t xml:space="preserve"> </w:t>
      </w:r>
      <w:r>
        <w:rPr>
          <w:rFonts w:hint="eastAsia" w:ascii="仿宋_GB2312" w:hAnsi="Times New Roman" w:eastAsia="仿宋_GB2312" w:cs="仿宋_GB2312"/>
          <w:bCs/>
          <w:color w:val="auto"/>
          <w:kern w:val="0"/>
          <w:sz w:val="28"/>
          <w:szCs w:val="28"/>
          <w:lang w:val="en-US" w:eastAsia="zh-CN" w:bidi="ar-SA"/>
        </w:rPr>
        <w:t>DIP清单管理系统</w:t>
      </w:r>
    </w:p>
    <w:tbl>
      <w:tblPr>
        <w:tblStyle w:val="12"/>
        <w:tblW w:w="8887" w:type="dxa"/>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82"/>
        <w:gridCol w:w="2865"/>
        <w:gridCol w:w="5040"/>
      </w:tblGrid>
      <w:tr w14:paraId="2766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5408F1EF">
            <w:pPr>
              <w:shd w:val="clear" w:color="auto" w:fill="auto"/>
              <w:spacing w:before="0" w:after="0" w:line="300" w:lineRule="auto"/>
              <w:ind w:firstLine="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序号</w:t>
            </w:r>
          </w:p>
        </w:tc>
        <w:tc>
          <w:tcPr>
            <w:tcW w:w="2865" w:type="dxa"/>
            <w:noWrap w:val="0"/>
            <w:vAlign w:val="center"/>
          </w:tcPr>
          <w:p w14:paraId="534F4F75">
            <w:pPr>
              <w:shd w:val="clear" w:color="auto" w:fill="auto"/>
              <w:spacing w:before="0" w:after="0" w:line="300" w:lineRule="auto"/>
              <w:ind w:firstLine="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服务模块</w:t>
            </w:r>
          </w:p>
        </w:tc>
        <w:tc>
          <w:tcPr>
            <w:tcW w:w="5040" w:type="dxa"/>
            <w:noWrap w:val="0"/>
            <w:vAlign w:val="center"/>
          </w:tcPr>
          <w:p w14:paraId="5BB6D578">
            <w:pPr>
              <w:shd w:val="clear" w:color="auto" w:fill="auto"/>
              <w:spacing w:before="0" w:after="0" w:line="300" w:lineRule="auto"/>
              <w:ind w:firstLine="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服务内容</w:t>
            </w:r>
          </w:p>
        </w:tc>
      </w:tr>
      <w:tr w14:paraId="11369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55E13B32">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p>
        </w:tc>
        <w:tc>
          <w:tcPr>
            <w:tcW w:w="2865" w:type="dxa"/>
            <w:noWrap w:val="0"/>
            <w:vAlign w:val="center"/>
          </w:tcPr>
          <w:p w14:paraId="3076D860">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清单规则</w:t>
            </w:r>
          </w:p>
        </w:tc>
        <w:tc>
          <w:tcPr>
            <w:tcW w:w="5040" w:type="dxa"/>
            <w:noWrap w:val="0"/>
            <w:vAlign w:val="center"/>
          </w:tcPr>
          <w:p w14:paraId="56E35050">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支持根据医院需要，配置自定义规则</w:t>
            </w:r>
          </w:p>
          <w:p w14:paraId="6B2FF0F8">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支持对部分规则进行置顶展示</w:t>
            </w:r>
          </w:p>
        </w:tc>
      </w:tr>
      <w:tr w14:paraId="4F2E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2F6D3919">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p>
        </w:tc>
        <w:tc>
          <w:tcPr>
            <w:tcW w:w="2865" w:type="dxa"/>
            <w:noWrap w:val="0"/>
            <w:vAlign w:val="center"/>
          </w:tcPr>
          <w:p w14:paraId="4AE8B846">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清单详情</w:t>
            </w:r>
          </w:p>
        </w:tc>
        <w:tc>
          <w:tcPr>
            <w:tcW w:w="5040" w:type="dxa"/>
            <w:noWrap w:val="0"/>
            <w:vAlign w:val="center"/>
          </w:tcPr>
          <w:p w14:paraId="43349EBB">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清单第三方诊断手术支持实时刷新</w:t>
            </w:r>
          </w:p>
          <w:p w14:paraId="347A2BC2">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推荐组合时，更多组合支持按组聚类展示</w:t>
            </w:r>
          </w:p>
          <w:p w14:paraId="3ACD1255">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重症清单开放编辑，支持通过配置编辑权限，具备重症清单编辑权限的人员可对重症清单进行编辑</w:t>
            </w:r>
          </w:p>
        </w:tc>
      </w:tr>
      <w:tr w14:paraId="4996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3230AF8F">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w:t>
            </w:r>
          </w:p>
        </w:tc>
        <w:tc>
          <w:tcPr>
            <w:tcW w:w="2865" w:type="dxa"/>
            <w:noWrap w:val="0"/>
            <w:vAlign w:val="center"/>
          </w:tcPr>
          <w:p w14:paraId="4B7468D5">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上报前清单审核</w:t>
            </w:r>
          </w:p>
        </w:tc>
        <w:tc>
          <w:tcPr>
            <w:tcW w:w="5040" w:type="dxa"/>
            <w:noWrap w:val="0"/>
            <w:vAlign w:val="center"/>
          </w:tcPr>
          <w:p w14:paraId="2ACDD512">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增加权限功能，允许一键审核到上报</w:t>
            </w:r>
          </w:p>
          <w:p w14:paraId="426E837E">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清单复审时支持对选中清单进行批量退回</w:t>
            </w:r>
          </w:p>
        </w:tc>
      </w:tr>
      <w:tr w14:paraId="6ACE3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1154B2C4">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w:t>
            </w:r>
          </w:p>
        </w:tc>
        <w:tc>
          <w:tcPr>
            <w:tcW w:w="2865" w:type="dxa"/>
            <w:noWrap w:val="0"/>
            <w:vAlign w:val="center"/>
          </w:tcPr>
          <w:p w14:paraId="18B80C50">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清单上报</w:t>
            </w:r>
          </w:p>
        </w:tc>
        <w:tc>
          <w:tcPr>
            <w:tcW w:w="5040" w:type="dxa"/>
            <w:noWrap w:val="0"/>
            <w:vAlign w:val="center"/>
          </w:tcPr>
          <w:p w14:paraId="71BBF538">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对重传病例有专门的状态区分，后续可以进行操作如编辑清单，重新上传等</w:t>
            </w:r>
          </w:p>
        </w:tc>
      </w:tr>
      <w:tr w14:paraId="5FA9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7E7A76E3">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w:t>
            </w:r>
          </w:p>
        </w:tc>
        <w:tc>
          <w:tcPr>
            <w:tcW w:w="2865" w:type="dxa"/>
            <w:noWrap w:val="0"/>
            <w:vAlign w:val="center"/>
          </w:tcPr>
          <w:p w14:paraId="6FA722E8">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单议患者管理</w:t>
            </w:r>
          </w:p>
        </w:tc>
        <w:tc>
          <w:tcPr>
            <w:tcW w:w="5040" w:type="dxa"/>
            <w:noWrap w:val="0"/>
            <w:vAlign w:val="center"/>
          </w:tcPr>
          <w:p w14:paraId="29EE23BA">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支持在结算清单管理系统中通过批量导入或单个打标的方式筛选单议患者</w:t>
            </w:r>
          </w:p>
          <w:p w14:paraId="0CC0835A">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支持对单议患者进行申诉材料填写、查看、批量下载</w:t>
            </w:r>
          </w:p>
          <w:p w14:paraId="497DA26B">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支持根据医院管理流程配置对单议患者的审核流程，并配置审核人员权限</w:t>
            </w:r>
          </w:p>
          <w:p w14:paraId="1919C017">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支持对单议患者筛选至审核通过的全流程进行管理、留存日志</w:t>
            </w:r>
          </w:p>
        </w:tc>
      </w:tr>
      <w:tr w14:paraId="6CEBE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7BF726E8">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w:t>
            </w:r>
          </w:p>
        </w:tc>
        <w:tc>
          <w:tcPr>
            <w:tcW w:w="2865" w:type="dxa"/>
            <w:noWrap w:val="0"/>
            <w:vAlign w:val="center"/>
          </w:tcPr>
          <w:p w14:paraId="4D8C8259">
            <w:pPr>
              <w:shd w:val="clear" w:color="auto" w:fill="auto"/>
              <w:spacing w:before="0" w:after="0" w:line="300" w:lineRule="auto"/>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单议患者上报</w:t>
            </w:r>
          </w:p>
        </w:tc>
        <w:tc>
          <w:tcPr>
            <w:tcW w:w="5040" w:type="dxa"/>
            <w:noWrap w:val="0"/>
            <w:vAlign w:val="center"/>
          </w:tcPr>
          <w:p w14:paraId="31741ADB">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支持按照国家接口规范对单议患者进行接口上报</w:t>
            </w:r>
          </w:p>
          <w:p w14:paraId="5C8E17DD">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支持对单议上报状态进行查询</w:t>
            </w:r>
          </w:p>
          <w:p w14:paraId="5AB97DD7">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支持对单议患者上报进行撤销</w:t>
            </w:r>
          </w:p>
          <w:p w14:paraId="52EE0E35">
            <w:pPr>
              <w:shd w:val="clear" w:color="auto" w:fill="auto"/>
              <w:spacing w:before="0" w:after="0" w:line="300" w:lineRule="auto"/>
              <w:ind w:firstLine="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支持对上过程中的状态进行记录及问题反馈</w:t>
            </w:r>
          </w:p>
        </w:tc>
      </w:tr>
    </w:tbl>
    <w:p w14:paraId="090D284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p>
    <w:p w14:paraId="12E9DCF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09BAED1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5103DBA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5CA35B9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6018D15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983D38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003D680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78141301">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18F396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6E11B9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3FB7FD44">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10、投标单位必须提供纸质投标文件及电子版投标文件（PDF格式签字盖章版本）</w:t>
      </w:r>
    </w:p>
    <w:p w14:paraId="23D56CF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eastAsia="宋体"/>
          <w:b/>
          <w:color w:val="auto"/>
          <w:sz w:val="28"/>
          <w:u w:val="single"/>
        </w:rPr>
      </w:pPr>
      <w:bookmarkStart w:id="3" w:name="_Toc16523574"/>
      <w:r>
        <w:rPr>
          <w:rFonts w:hint="eastAsia"/>
          <w:lang w:val="en-US" w:eastAsia="zh-CN"/>
        </w:rPr>
        <w:t>合同：</w:t>
      </w:r>
      <w:r>
        <w:rPr>
          <w:rFonts w:hint="eastAsia" w:ascii="宋体" w:hAnsi="宋体" w:eastAsia="宋体"/>
          <w:b/>
          <w:color w:val="auto"/>
          <w:sz w:val="28"/>
          <w:lang w:val="en-US" w:eastAsia="zh-CN"/>
        </w:rPr>
        <w:t xml:space="preserve">                                     </w:t>
      </w:r>
      <w:r>
        <w:rPr>
          <w:rFonts w:hint="eastAsia" w:ascii="宋体" w:hAnsi="宋体" w:eastAsia="宋体"/>
          <w:color w:val="auto"/>
          <w:sz w:val="24"/>
          <w:szCs w:val="24"/>
          <w:lang w:val="en-US" w:eastAsia="zh-CN"/>
        </w:rPr>
        <w:t xml:space="preserve">    </w:t>
      </w:r>
      <w:r>
        <w:rPr>
          <w:rFonts w:hint="eastAsia" w:ascii="宋体" w:hAnsi="宋体" w:eastAsia="宋体"/>
          <w:color w:val="auto"/>
          <w:sz w:val="24"/>
          <w:szCs w:val="24"/>
        </w:rPr>
        <w:t>合同编号：</w:t>
      </w:r>
    </w:p>
    <w:p w14:paraId="0157643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eastAsia="宋体"/>
          <w:b/>
          <w:color w:val="auto"/>
          <w:sz w:val="44"/>
          <w:szCs w:val="44"/>
        </w:rPr>
      </w:pPr>
      <w:r>
        <w:rPr>
          <w:rFonts w:ascii="宋体" w:hAnsi="宋体" w:eastAsia="宋体"/>
          <w:b/>
          <w:color w:val="auto"/>
          <w:sz w:val="44"/>
          <w:szCs w:val="44"/>
        </w:rPr>
        <w:t>DIP</w:t>
      </w:r>
      <w:r>
        <w:rPr>
          <w:rFonts w:hint="eastAsia" w:ascii="宋体" w:hAnsi="宋体" w:eastAsia="宋体"/>
          <w:b/>
          <w:color w:val="auto"/>
          <w:sz w:val="44"/>
          <w:szCs w:val="44"/>
        </w:rPr>
        <w:t>系统升级服务项目采购合同</w:t>
      </w:r>
    </w:p>
    <w:p w14:paraId="0142F6A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eastAsia="宋体"/>
          <w:b/>
          <w:color w:val="auto"/>
          <w:sz w:val="56"/>
        </w:rPr>
      </w:pPr>
    </w:p>
    <w:p w14:paraId="6357FA28">
      <w:pPr>
        <w:spacing w:line="460" w:lineRule="exact"/>
        <w:jc w:val="both"/>
        <w:rPr>
          <w:rFonts w:ascii="宋体" w:hAnsi="宋体" w:eastAsia="宋体"/>
          <w:color w:val="auto"/>
          <w:sz w:val="24"/>
          <w:szCs w:val="24"/>
        </w:rPr>
      </w:pPr>
      <w:r>
        <w:rPr>
          <w:rFonts w:hint="eastAsia" w:ascii="宋体" w:hAnsi="宋体" w:eastAsia="宋体"/>
          <w:b/>
          <w:bCs/>
          <w:color w:val="auto"/>
          <w:sz w:val="24"/>
          <w:szCs w:val="24"/>
        </w:rPr>
        <w:t>甲方：娄底市中心医院</w:t>
      </w:r>
    </w:p>
    <w:p w14:paraId="75608FEB">
      <w:pPr>
        <w:spacing w:line="460" w:lineRule="exact"/>
        <w:jc w:val="both"/>
        <w:rPr>
          <w:rFonts w:hint="default" w:ascii="宋体" w:hAnsi="宋体" w:eastAsia="宋体"/>
          <w:color w:val="0000FF"/>
          <w:sz w:val="24"/>
          <w:szCs w:val="24"/>
          <w:lang w:val="en-US" w:eastAsia="zh-CN"/>
        </w:rPr>
      </w:pPr>
      <w:r>
        <w:rPr>
          <w:rFonts w:hint="eastAsia" w:ascii="宋体" w:hAnsi="宋体" w:eastAsia="宋体"/>
          <w:color w:val="0000FF"/>
          <w:sz w:val="24"/>
          <w:szCs w:val="24"/>
          <w:lang w:val="en-US" w:eastAsia="zh-CN"/>
        </w:rPr>
        <w:t>法定代表人：杨吉军</w:t>
      </w:r>
    </w:p>
    <w:p w14:paraId="21D4A3A2">
      <w:pPr>
        <w:spacing w:line="460" w:lineRule="exact"/>
        <w:jc w:val="both"/>
        <w:rPr>
          <w:rFonts w:ascii="宋体" w:hAnsi="宋体" w:eastAsia="宋体"/>
          <w:color w:val="auto"/>
          <w:sz w:val="24"/>
          <w:szCs w:val="24"/>
        </w:rPr>
      </w:pPr>
      <w:r>
        <w:rPr>
          <w:rFonts w:hint="eastAsia" w:ascii="宋体" w:hAnsi="宋体" w:eastAsia="宋体"/>
          <w:color w:val="auto"/>
          <w:sz w:val="24"/>
          <w:szCs w:val="24"/>
        </w:rPr>
        <w:t>统一社会信用代码：12431300447162073W</w:t>
      </w:r>
    </w:p>
    <w:p w14:paraId="47C856D4">
      <w:pPr>
        <w:spacing w:line="460" w:lineRule="exact"/>
        <w:jc w:val="both"/>
        <w:rPr>
          <w:rFonts w:ascii="宋体" w:hAnsi="宋体" w:eastAsia="宋体"/>
          <w:color w:val="auto"/>
          <w:sz w:val="24"/>
          <w:szCs w:val="24"/>
        </w:rPr>
      </w:pPr>
      <w:r>
        <w:rPr>
          <w:rFonts w:hint="eastAsia" w:ascii="宋体" w:hAnsi="宋体" w:eastAsia="宋体"/>
          <w:color w:val="auto"/>
          <w:sz w:val="24"/>
          <w:szCs w:val="24"/>
        </w:rPr>
        <w:t>地址：湖南省娄底市娄星区长青中街51号</w:t>
      </w:r>
    </w:p>
    <w:p w14:paraId="74A5FC73">
      <w:pPr>
        <w:spacing w:line="460" w:lineRule="exact"/>
        <w:jc w:val="both"/>
        <w:rPr>
          <w:rFonts w:ascii="宋体" w:hAnsi="宋体" w:eastAsia="宋体"/>
          <w:color w:val="auto"/>
          <w:sz w:val="24"/>
          <w:szCs w:val="24"/>
        </w:rPr>
      </w:pPr>
      <w:r>
        <w:rPr>
          <w:rFonts w:hint="eastAsia" w:ascii="宋体" w:hAnsi="宋体" w:eastAsia="宋体"/>
          <w:b/>
          <w:bCs/>
          <w:color w:val="auto"/>
          <w:sz w:val="24"/>
          <w:szCs w:val="24"/>
        </w:rPr>
        <w:t>乙方：杭州火树科技有限公司</w:t>
      </w:r>
    </w:p>
    <w:p w14:paraId="207C0EC0">
      <w:pPr>
        <w:spacing w:line="460" w:lineRule="exact"/>
        <w:jc w:val="both"/>
        <w:rPr>
          <w:rFonts w:hint="default" w:ascii="宋体" w:hAnsi="宋体" w:eastAsia="宋体"/>
          <w:color w:val="0000FF"/>
          <w:sz w:val="24"/>
          <w:szCs w:val="24"/>
          <w:highlight w:val="none"/>
          <w:lang w:val="en-US" w:eastAsia="zh-CN"/>
        </w:rPr>
      </w:pPr>
      <w:r>
        <w:rPr>
          <w:rFonts w:hint="eastAsia" w:ascii="宋体" w:hAnsi="宋体" w:eastAsia="宋体"/>
          <w:color w:val="0000FF"/>
          <w:sz w:val="24"/>
          <w:szCs w:val="24"/>
          <w:highlight w:val="none"/>
          <w:lang w:val="en-US" w:eastAsia="zh-CN"/>
        </w:rPr>
        <w:t>法定代表人：宋涛</w:t>
      </w:r>
    </w:p>
    <w:p w14:paraId="1D97EDF9">
      <w:pPr>
        <w:spacing w:line="460" w:lineRule="exact"/>
        <w:jc w:val="both"/>
        <w:rPr>
          <w:rFonts w:ascii="宋体" w:hAnsi="宋体" w:eastAsia="宋体"/>
          <w:color w:val="auto"/>
          <w:sz w:val="24"/>
          <w:szCs w:val="24"/>
        </w:rPr>
      </w:pPr>
      <w:r>
        <w:rPr>
          <w:rFonts w:hint="eastAsia" w:ascii="宋体" w:hAnsi="宋体" w:eastAsia="宋体"/>
          <w:color w:val="auto"/>
          <w:sz w:val="24"/>
          <w:szCs w:val="24"/>
        </w:rPr>
        <w:t xml:space="preserve">统一社会信用代码：91330108MA280NER09  </w:t>
      </w:r>
    </w:p>
    <w:p w14:paraId="4DD0A175">
      <w:pPr>
        <w:spacing w:line="460" w:lineRule="exact"/>
        <w:jc w:val="both"/>
        <w:rPr>
          <w:rFonts w:ascii="宋体" w:hAnsi="宋体" w:eastAsia="宋体"/>
          <w:color w:val="auto"/>
          <w:sz w:val="24"/>
          <w:szCs w:val="24"/>
        </w:rPr>
      </w:pPr>
      <w:r>
        <w:rPr>
          <w:rFonts w:hint="eastAsia" w:ascii="宋体" w:hAnsi="宋体" w:eastAsia="宋体"/>
          <w:color w:val="auto"/>
          <w:sz w:val="24"/>
          <w:szCs w:val="24"/>
        </w:rPr>
        <w:t>地址：浙江省杭州市西湖区紫荆花路2号2幢901室</w:t>
      </w:r>
    </w:p>
    <w:p w14:paraId="0376A535">
      <w:pPr>
        <w:spacing w:line="360" w:lineRule="exact"/>
        <w:rPr>
          <w:rFonts w:ascii="宋体" w:hAnsi="宋体" w:eastAsia="宋体"/>
          <w:b/>
          <w:color w:val="auto"/>
          <w:sz w:val="24"/>
        </w:rPr>
      </w:pPr>
    </w:p>
    <w:p w14:paraId="03E2A74A">
      <w:pPr>
        <w:keepNext w:val="0"/>
        <w:keepLines w:val="0"/>
        <w:pageBreakBefore w:val="0"/>
        <w:widowControl w:val="0"/>
        <w:kinsoku/>
        <w:wordWrap/>
        <w:overflowPunct/>
        <w:topLinePunct w:val="0"/>
        <w:autoSpaceDE/>
        <w:autoSpaceDN/>
        <w:bidi w:val="0"/>
        <w:spacing w:line="460" w:lineRule="exact"/>
        <w:ind w:firstLine="482" w:firstLineChars="200"/>
        <w:textAlignment w:val="auto"/>
        <w:rPr>
          <w:rFonts w:ascii="宋体" w:hAnsi="宋体" w:eastAsia="宋体"/>
          <w:color w:val="auto"/>
          <w:sz w:val="24"/>
        </w:rPr>
      </w:pPr>
      <w:r>
        <w:rPr>
          <w:rFonts w:hint="eastAsia" w:ascii="宋体" w:hAnsi="宋体" w:eastAsia="宋体"/>
          <w:b/>
          <w:color w:val="auto"/>
          <w:sz w:val="24"/>
        </w:rPr>
        <w:t>鉴于</w:t>
      </w:r>
      <w:r>
        <w:rPr>
          <w:rFonts w:hint="eastAsia" w:ascii="宋体" w:hAnsi="宋体" w:eastAsia="宋体"/>
          <w:color w:val="auto"/>
          <w:sz w:val="24"/>
        </w:rPr>
        <w:t>：</w:t>
      </w:r>
    </w:p>
    <w:p w14:paraId="55E579C4">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1.甲方系三级甲等医疗机构，具有签署本合同的合法主体资格，且在签署本合同时无任何法律障碍和重大事件影响甲方继续正常存续和履行本合同的能力；</w:t>
      </w:r>
    </w:p>
    <w:p w14:paraId="21764DEA">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2.乙方系一家依法注册成立、经营及有效存续的公司，具有签署本合同的合法主体资格，且在签署本合同时无任何法律障碍和重大事件影响乙方继续正常存续和履行本合同的能力；</w:t>
      </w:r>
    </w:p>
    <w:p w14:paraId="65C7EC5D">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3.乙方</w:t>
      </w:r>
      <w:r>
        <w:rPr>
          <w:rFonts w:hint="eastAsia" w:ascii="宋体" w:hAnsi="宋体" w:eastAsia="宋体"/>
          <w:color w:val="auto"/>
          <w:sz w:val="24"/>
          <w:szCs w:val="24"/>
        </w:rPr>
        <w:t>系甲方使用的DIP系统的软件开发方，</w:t>
      </w:r>
      <w:r>
        <w:rPr>
          <w:rFonts w:hint="eastAsia" w:ascii="宋体" w:hAnsi="宋体" w:eastAsia="宋体"/>
          <w:color w:val="auto"/>
          <w:sz w:val="24"/>
        </w:rPr>
        <w:t>具有提供本合同约定服务项目的资质和能力，对其所提供的产品、技术和服务拥有合法的占有和处置权，并对涉及本合同约定项目的所有内容可能被控侵权行为负全部责任，保证不损害甲方利益。</w:t>
      </w:r>
    </w:p>
    <w:p w14:paraId="707D17EF">
      <w:pPr>
        <w:keepNext w:val="0"/>
        <w:keepLines w:val="0"/>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现甲方采用院内单一来源采购方式向乙方</w:t>
      </w:r>
      <w:r>
        <w:rPr>
          <w:rFonts w:ascii="宋体" w:hAnsi="宋体" w:eastAsia="宋体"/>
          <w:color w:val="auto"/>
          <w:sz w:val="24"/>
          <w:szCs w:val="24"/>
        </w:rPr>
        <w:t>采购</w:t>
      </w:r>
      <w:r>
        <w:rPr>
          <w:rFonts w:ascii="宋体" w:hAnsi="宋体" w:eastAsia="宋体"/>
          <w:color w:val="auto"/>
          <w:sz w:val="24"/>
          <w:szCs w:val="24"/>
          <w:u w:val="single"/>
        </w:rPr>
        <w:t>DIP系统升级服务项目</w:t>
      </w:r>
      <w:r>
        <w:rPr>
          <w:rFonts w:ascii="宋体" w:hAnsi="宋体" w:eastAsia="宋体"/>
          <w:color w:val="auto"/>
          <w:sz w:val="24"/>
          <w:szCs w:val="24"/>
        </w:rPr>
        <w:t>，</w:t>
      </w:r>
      <w:r>
        <w:rPr>
          <w:rFonts w:hint="eastAsia" w:ascii="宋体" w:hAnsi="宋体" w:eastAsia="宋体"/>
          <w:color w:val="auto"/>
          <w:sz w:val="24"/>
          <w:szCs w:val="24"/>
        </w:rPr>
        <w:t>甲乙双方依据《中华人民共和国民法典》及相关法律法规的规定，在平等、互利的基础上，就</w:t>
      </w:r>
      <w:r>
        <w:rPr>
          <w:rFonts w:hint="eastAsia" w:ascii="宋体" w:hAnsi="宋体" w:eastAsia="宋体"/>
          <w:color w:val="auto"/>
          <w:sz w:val="24"/>
          <w:szCs w:val="24"/>
          <w:u w:val="single"/>
        </w:rPr>
        <w:t>DIP</w:t>
      </w:r>
      <w:r>
        <w:rPr>
          <w:rFonts w:ascii="宋体" w:hAnsi="宋体" w:eastAsia="宋体"/>
          <w:color w:val="auto"/>
          <w:sz w:val="24"/>
          <w:szCs w:val="24"/>
          <w:u w:val="single"/>
        </w:rPr>
        <w:t>系统</w:t>
      </w:r>
      <w:r>
        <w:rPr>
          <w:rFonts w:hint="eastAsia" w:ascii="宋体" w:hAnsi="宋体" w:eastAsia="宋体"/>
          <w:color w:val="auto"/>
          <w:sz w:val="24"/>
          <w:szCs w:val="24"/>
          <w:u w:val="single"/>
        </w:rPr>
        <w:t>升级</w:t>
      </w:r>
      <w:r>
        <w:rPr>
          <w:rFonts w:ascii="宋体" w:hAnsi="宋体" w:eastAsia="宋体"/>
          <w:color w:val="auto"/>
          <w:sz w:val="24"/>
          <w:szCs w:val="24"/>
          <w:u w:val="single"/>
        </w:rPr>
        <w:t>服务</w:t>
      </w:r>
      <w:r>
        <w:rPr>
          <w:rFonts w:hint="eastAsia" w:ascii="宋体" w:hAnsi="宋体" w:eastAsia="宋体"/>
          <w:color w:val="auto"/>
          <w:sz w:val="24"/>
          <w:szCs w:val="24"/>
          <w:u w:val="single"/>
        </w:rPr>
        <w:t>项目</w:t>
      </w:r>
      <w:r>
        <w:rPr>
          <w:rFonts w:hint="eastAsia" w:ascii="宋体" w:hAnsi="宋体" w:eastAsia="宋体"/>
          <w:color w:val="auto"/>
          <w:sz w:val="24"/>
          <w:szCs w:val="24"/>
        </w:rPr>
        <w:t>采购相关事宜充分协商，特签订本合同，以资共同遵守：</w:t>
      </w:r>
    </w:p>
    <w:p w14:paraId="52CEB946">
      <w:pPr>
        <w:keepNext w:val="0"/>
        <w:keepLines w:val="0"/>
        <w:pageBreakBefore w:val="0"/>
        <w:widowControl w:val="0"/>
        <w:kinsoku/>
        <w:wordWrap/>
        <w:overflowPunct/>
        <w:topLinePunct w:val="0"/>
        <w:autoSpaceDE/>
        <w:autoSpaceDN/>
        <w:bidi w:val="0"/>
        <w:spacing w:line="460" w:lineRule="exact"/>
        <w:ind w:firstLine="482" w:firstLineChars="200"/>
        <w:textAlignment w:val="auto"/>
        <w:rPr>
          <w:rFonts w:ascii="宋体" w:hAnsi="宋体" w:eastAsia="宋体"/>
          <w:b/>
          <w:color w:val="auto"/>
          <w:sz w:val="24"/>
        </w:rPr>
      </w:pPr>
      <w:r>
        <w:rPr>
          <w:rFonts w:hint="eastAsia" w:ascii="宋体" w:hAnsi="宋体" w:eastAsia="宋体"/>
          <w:b/>
          <w:color w:val="auto"/>
          <w:sz w:val="24"/>
        </w:rPr>
        <w:t>第一条  定义</w:t>
      </w:r>
    </w:p>
    <w:p w14:paraId="69F08867">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1.1“一方”：指乙方或甲方中的任何一方。</w:t>
      </w:r>
    </w:p>
    <w:p w14:paraId="33BFB01E">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1.2“双方”：指乙方和甲方。</w:t>
      </w:r>
    </w:p>
    <w:p w14:paraId="37A46722">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1.3“合同”：指由本合同正文及与本合同正文不可分割的附件（</w:t>
      </w:r>
      <w:r>
        <w:rPr>
          <w:rFonts w:hint="eastAsia" w:ascii="宋体" w:hAnsi="宋体" w:eastAsia="宋体"/>
          <w:color w:val="auto"/>
          <w:sz w:val="24"/>
          <w:lang w:val="en-US" w:eastAsia="zh-CN"/>
        </w:rPr>
        <w:t>见附件一</w:t>
      </w:r>
      <w:r>
        <w:rPr>
          <w:rFonts w:hint="eastAsia" w:ascii="宋体" w:hAnsi="宋体" w:eastAsia="宋体"/>
          <w:color w:val="auto"/>
          <w:sz w:val="24"/>
        </w:rPr>
        <w:t>）、补充协议（如有）共同构成的整体。</w:t>
      </w:r>
    </w:p>
    <w:p w14:paraId="1326E19A">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1.4“技术服务”或“服务”：指就双方合作的应用或软件，乙方提供包括但不限于系统初始化部署、医疗数据采集、校验、联调、培训及其他类似的义务。</w:t>
      </w:r>
    </w:p>
    <w:p w14:paraId="199E31D6">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1.5合作产品：指乙方接受甲方的委托，提供了相应技术服务的应用、</w:t>
      </w:r>
      <w:r>
        <w:rPr>
          <w:rFonts w:ascii="宋体" w:hAnsi="宋体" w:eastAsia="宋体"/>
          <w:color w:val="auto"/>
          <w:sz w:val="24"/>
        </w:rPr>
        <w:t>DIP精细化运营管理系统</w:t>
      </w:r>
      <w:r>
        <w:rPr>
          <w:rFonts w:hint="eastAsia" w:ascii="宋体" w:hAnsi="宋体" w:eastAsia="宋体"/>
          <w:color w:val="auto"/>
          <w:sz w:val="24"/>
        </w:rPr>
        <w:t>应用软件。</w:t>
      </w:r>
    </w:p>
    <w:p w14:paraId="7A25D630">
      <w:pPr>
        <w:keepNext w:val="0"/>
        <w:keepLines w:val="0"/>
        <w:pageBreakBefore w:val="0"/>
        <w:widowControl w:val="0"/>
        <w:kinsoku/>
        <w:wordWrap/>
        <w:overflowPunct/>
        <w:topLinePunct w:val="0"/>
        <w:autoSpaceDE/>
        <w:autoSpaceDN/>
        <w:bidi w:val="0"/>
        <w:spacing w:line="460" w:lineRule="exact"/>
        <w:ind w:firstLine="482" w:firstLineChars="200"/>
        <w:textAlignment w:val="auto"/>
        <w:rPr>
          <w:rFonts w:ascii="宋体" w:hAnsi="宋体" w:eastAsia="宋体"/>
          <w:b/>
          <w:color w:val="auto"/>
          <w:sz w:val="24"/>
        </w:rPr>
      </w:pPr>
      <w:r>
        <w:rPr>
          <w:rFonts w:hint="eastAsia" w:ascii="宋体" w:hAnsi="宋体" w:eastAsia="宋体"/>
          <w:b/>
          <w:color w:val="auto"/>
          <w:sz w:val="24"/>
        </w:rPr>
        <w:t>第二条  乙方提供DIP软件系统升级服务项目内容</w:t>
      </w:r>
    </w:p>
    <w:p w14:paraId="37573A97">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2.1本合同约定乙方提供DIP软件系统升级服务项目的内容，具体包括：</w:t>
      </w:r>
    </w:p>
    <w:p w14:paraId="5C0B19BE">
      <w:pPr>
        <w:pStyle w:val="19"/>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2.1.1需确保数据安全和甲方采购本项目符合《国家医疗保障按病种分值付费（</w:t>
      </w:r>
      <w:r>
        <w:rPr>
          <w:rFonts w:ascii="宋体" w:hAnsi="宋体" w:eastAsia="宋体"/>
          <w:color w:val="auto"/>
          <w:sz w:val="24"/>
        </w:rPr>
        <w:t>DIP）技术规范</w:t>
      </w:r>
      <w:r>
        <w:rPr>
          <w:rFonts w:hint="eastAsia" w:ascii="宋体" w:hAnsi="宋体" w:eastAsia="宋体"/>
          <w:color w:val="auto"/>
          <w:sz w:val="24"/>
        </w:rPr>
        <w:t>》及《国家医疗保障D</w:t>
      </w:r>
      <w:r>
        <w:rPr>
          <w:rFonts w:ascii="宋体" w:hAnsi="宋体" w:eastAsia="宋体"/>
          <w:color w:val="auto"/>
          <w:sz w:val="24"/>
        </w:rPr>
        <w:t>IP</w:t>
      </w:r>
      <w:r>
        <w:rPr>
          <w:rFonts w:hint="eastAsia" w:ascii="宋体" w:hAnsi="宋体" w:eastAsia="宋体"/>
          <w:color w:val="auto"/>
          <w:sz w:val="24"/>
        </w:rPr>
        <w:t>分组方案》要求，防止数据泄露。</w:t>
      </w:r>
    </w:p>
    <w:p w14:paraId="537E5902">
      <w:pPr>
        <w:pStyle w:val="19"/>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2</w:t>
      </w:r>
      <w:r>
        <w:rPr>
          <w:rFonts w:ascii="宋体" w:hAnsi="宋体" w:eastAsia="宋体"/>
          <w:color w:val="auto"/>
          <w:sz w:val="24"/>
        </w:rPr>
        <w:t>.1.2</w:t>
      </w:r>
      <w:r>
        <w:rPr>
          <w:rFonts w:hint="eastAsia" w:ascii="宋体" w:hAnsi="宋体" w:eastAsia="宋体"/>
          <w:color w:val="auto"/>
          <w:sz w:val="24"/>
        </w:rPr>
        <w:t>根据甲方的要求，向甲方提供乙方自行开发的“</w:t>
      </w:r>
      <w:r>
        <w:rPr>
          <w:rFonts w:ascii="宋体" w:hAnsi="宋体" w:eastAsia="宋体"/>
          <w:color w:val="auto"/>
          <w:sz w:val="24"/>
        </w:rPr>
        <w:t>DIP精细化运营管理系统</w:t>
      </w:r>
      <w:r>
        <w:rPr>
          <w:rFonts w:hint="eastAsia" w:ascii="宋体" w:hAnsi="宋体" w:eastAsia="宋体"/>
          <w:color w:val="auto"/>
          <w:sz w:val="24"/>
        </w:rPr>
        <w:t>”，分享前期试点医院成熟的经验及教训，避免甲方在实施DIP改革中重复前期试点医院的错误和走弯路。</w:t>
      </w:r>
    </w:p>
    <w:p w14:paraId="36598A52">
      <w:pPr>
        <w:pStyle w:val="19"/>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2.1.3应确保甲方D</w:t>
      </w:r>
      <w:r>
        <w:rPr>
          <w:rFonts w:ascii="宋体" w:hAnsi="宋体" w:eastAsia="宋体"/>
          <w:color w:val="auto"/>
          <w:sz w:val="24"/>
        </w:rPr>
        <w:t>IP</w:t>
      </w:r>
      <w:r>
        <w:rPr>
          <w:rFonts w:hint="eastAsia" w:ascii="宋体" w:hAnsi="宋体" w:eastAsia="宋体"/>
          <w:color w:val="auto"/>
          <w:sz w:val="24"/>
        </w:rPr>
        <w:t>系统的分组器保持与区域端同步更新。</w:t>
      </w:r>
    </w:p>
    <w:p w14:paraId="3E405803">
      <w:pPr>
        <w:pStyle w:val="19"/>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2.1.4应确保甲方病案首页质控系统知识库院内本地化部署。</w:t>
      </w:r>
    </w:p>
    <w:p w14:paraId="69828065">
      <w:pPr>
        <w:pStyle w:val="19"/>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2.1.5应每</w:t>
      </w:r>
      <w:r>
        <w:rPr>
          <w:rFonts w:hint="eastAsia" w:ascii="宋体" w:hAnsi="宋体" w:eastAsia="宋体"/>
          <w:color w:val="auto"/>
          <w:sz w:val="24"/>
          <w:u w:val="single"/>
        </w:rPr>
        <w:t xml:space="preserve"> </w:t>
      </w:r>
      <w:r>
        <w:rPr>
          <w:rFonts w:ascii="宋体" w:hAnsi="宋体" w:eastAsia="宋体"/>
          <w:color w:val="auto"/>
          <w:sz w:val="24"/>
          <w:u w:val="single"/>
        </w:rPr>
        <w:t>3</w:t>
      </w:r>
      <w:r>
        <w:rPr>
          <w:rFonts w:hint="eastAsia" w:ascii="宋体" w:hAnsi="宋体" w:eastAsia="宋体"/>
          <w:color w:val="auto"/>
          <w:sz w:val="24"/>
          <w:u w:val="single"/>
        </w:rPr>
        <w:t xml:space="preserve"> </w:t>
      </w:r>
      <w:r>
        <w:rPr>
          <w:rFonts w:hint="eastAsia" w:ascii="宋体" w:hAnsi="宋体" w:eastAsia="宋体"/>
          <w:color w:val="auto"/>
          <w:sz w:val="24"/>
        </w:rPr>
        <w:t>个月为甲方进行一次定期巡检，内容包括系统运行检查和需求收集。</w:t>
      </w:r>
    </w:p>
    <w:p w14:paraId="49C3B2AC">
      <w:pPr>
        <w:pStyle w:val="19"/>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2.1.6在年底结算、清算期间，乙方应为甲方提供数据支持，在甲方处理大量数据时，需到甲方现场提供指导服务至数据处理服务结束时止。</w:t>
      </w:r>
    </w:p>
    <w:p w14:paraId="07110ED0">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2.1.7应每</w:t>
      </w:r>
      <w:r>
        <w:rPr>
          <w:rFonts w:ascii="宋体" w:hAnsi="宋体" w:eastAsia="宋体"/>
          <w:color w:val="auto"/>
          <w:sz w:val="24"/>
        </w:rPr>
        <w:t>3</w:t>
      </w:r>
      <w:r>
        <w:rPr>
          <w:rFonts w:hint="eastAsia" w:ascii="宋体" w:hAnsi="宋体" w:eastAsia="宋体"/>
          <w:color w:val="auto"/>
          <w:sz w:val="24"/>
        </w:rPr>
        <w:t>个月为甲方进行一次定期的Dip专业培训及软件应用指导服务。</w:t>
      </w:r>
    </w:p>
    <w:p w14:paraId="1F6EF0CF">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2.1.8应每</w:t>
      </w:r>
      <w:r>
        <w:rPr>
          <w:rFonts w:hint="eastAsia" w:ascii="宋体" w:hAnsi="宋体" w:eastAsia="宋体"/>
          <w:color w:val="auto"/>
          <w:sz w:val="24"/>
          <w:u w:val="single"/>
        </w:rPr>
        <w:t>3</w:t>
      </w:r>
      <w:r>
        <w:rPr>
          <w:rFonts w:hint="eastAsia" w:ascii="宋体" w:hAnsi="宋体" w:eastAsia="宋体"/>
          <w:color w:val="auto"/>
          <w:sz w:val="24"/>
        </w:rPr>
        <w:t>个月为甲方进行一次定期技术巡检及系统调优，及时排除故障隐患，使系统始终处于高效率运行状态。</w:t>
      </w:r>
    </w:p>
    <w:p w14:paraId="0ECEA648">
      <w:pPr>
        <w:pStyle w:val="19"/>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2.1.9应为甲方及时更新、适配医保局端Dip政策、运行规则。</w:t>
      </w:r>
    </w:p>
    <w:p w14:paraId="065D7814">
      <w:pPr>
        <w:pStyle w:val="19"/>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2.1.10利用自身丰富的开发经验、行业经验为甲方提供专业的技术答疑、功能优化、配置优化。</w:t>
      </w:r>
    </w:p>
    <w:p w14:paraId="2CAE7EA4">
      <w:pPr>
        <w:pStyle w:val="19"/>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2.1.11如甲方遭受患者等人投诉，为甲方解决投诉事宜作出相应处理。</w:t>
      </w:r>
    </w:p>
    <w:p w14:paraId="6E329355">
      <w:pPr>
        <w:pStyle w:val="19"/>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宋体" w:hAnsi="宋体" w:eastAsia="宋体"/>
          <w:color w:val="000000" w:themeColor="text1"/>
          <w:sz w:val="24"/>
          <w14:textFill>
            <w14:solidFill>
              <w14:schemeClr w14:val="tx1"/>
            </w14:solidFill>
          </w14:textFill>
        </w:rPr>
      </w:pPr>
      <w:r>
        <w:rPr>
          <w:rFonts w:hint="eastAsia" w:ascii="宋体" w:hAnsi="宋体" w:eastAsia="宋体"/>
          <w:color w:val="auto"/>
          <w:sz w:val="24"/>
        </w:rPr>
        <w:t>2.1.12需配合甲方制定培训计划，并负责按照计划进行培训，保证所有参训人</w:t>
      </w:r>
      <w:r>
        <w:rPr>
          <w:rFonts w:hint="eastAsia" w:ascii="宋体" w:hAnsi="宋体" w:eastAsia="宋体"/>
          <w:color w:val="000000" w:themeColor="text1"/>
          <w:sz w:val="24"/>
          <w14:textFill>
            <w14:solidFill>
              <w14:schemeClr w14:val="tx1"/>
            </w14:solidFill>
          </w14:textFill>
        </w:rPr>
        <w:t>员均能熟练掌握相应软件的操作使用方法。</w:t>
      </w:r>
    </w:p>
    <w:p w14:paraId="204FE4E7">
      <w:pPr>
        <w:pStyle w:val="19"/>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宋体" w:hAnsi="宋体" w:eastAsia="宋体"/>
          <w:color w:val="000000" w:themeColor="text1"/>
          <w:sz w:val="24"/>
          <w:lang w:val="en-US" w:eastAsia="zh-CN"/>
          <w14:textFill>
            <w14:solidFill>
              <w14:schemeClr w14:val="tx1"/>
            </w14:solidFill>
          </w14:textFill>
        </w:rPr>
      </w:pPr>
      <w:r>
        <w:rPr>
          <w:rFonts w:hint="eastAsia" w:ascii="宋体" w:hAnsi="宋体" w:eastAsia="宋体"/>
          <w:color w:val="000000" w:themeColor="text1"/>
          <w:sz w:val="24"/>
          <w:lang w:val="en-US" w:eastAsia="zh-CN"/>
          <w14:textFill>
            <w14:solidFill>
              <w14:schemeClr w14:val="tx1"/>
            </w14:solidFill>
          </w14:textFill>
        </w:rPr>
        <w:t>2.1.13免费维保服务。</w:t>
      </w:r>
    </w:p>
    <w:p w14:paraId="26D886CB">
      <w:pPr>
        <w:pStyle w:val="19"/>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default" w:ascii="宋体" w:hAnsi="宋体" w:eastAsia="宋体"/>
          <w:color w:val="000000" w:themeColor="text1"/>
          <w:sz w:val="24"/>
          <w:lang w:val="en-US" w:eastAsia="zh-CN"/>
          <w14:textFill>
            <w14:solidFill>
              <w14:schemeClr w14:val="tx1"/>
            </w14:solidFill>
          </w14:textFill>
        </w:rPr>
      </w:pPr>
      <w:r>
        <w:rPr>
          <w:rFonts w:hint="eastAsia" w:ascii="宋体" w:hAnsi="宋体" w:eastAsia="宋体"/>
          <w:color w:val="000000" w:themeColor="text1"/>
          <w:sz w:val="24"/>
          <w:lang w:val="en-US" w:eastAsia="zh-CN"/>
          <w14:textFill>
            <w14:solidFill>
              <w14:schemeClr w14:val="tx1"/>
            </w14:solidFill>
          </w14:textFill>
        </w:rPr>
        <w:t>2.1.14升级内容详情见附件一。</w:t>
      </w:r>
    </w:p>
    <w:p w14:paraId="049D1746">
      <w:pPr>
        <w:keepNext w:val="0"/>
        <w:keepLines w:val="0"/>
        <w:pageBreakBefore w:val="0"/>
        <w:widowControl w:val="0"/>
        <w:kinsoku/>
        <w:wordWrap/>
        <w:overflowPunct/>
        <w:topLinePunct w:val="0"/>
        <w:autoSpaceDE/>
        <w:autoSpaceDN/>
        <w:bidi w:val="0"/>
        <w:spacing w:line="460" w:lineRule="exact"/>
        <w:ind w:firstLine="482" w:firstLineChars="200"/>
        <w:textAlignment w:val="auto"/>
        <w:rPr>
          <w:rFonts w:ascii="宋体" w:hAnsi="宋体" w:eastAsia="宋体"/>
          <w:b/>
          <w:color w:val="auto"/>
          <w:sz w:val="24"/>
        </w:rPr>
      </w:pPr>
      <w:r>
        <w:rPr>
          <w:rFonts w:hint="eastAsia" w:ascii="宋体" w:hAnsi="宋体" w:eastAsia="宋体"/>
          <w:b/>
          <w:bCs/>
          <w:color w:val="auto"/>
          <w:sz w:val="24"/>
          <w:szCs w:val="24"/>
        </w:rPr>
        <w:t>第三条  系统的安</w:t>
      </w:r>
      <w:r>
        <w:rPr>
          <w:rFonts w:hint="eastAsia" w:ascii="宋体" w:hAnsi="宋体" w:eastAsia="宋体"/>
          <w:b/>
          <w:color w:val="auto"/>
          <w:sz w:val="24"/>
          <w:szCs w:val="24"/>
        </w:rPr>
        <w:t>装、调试、交付等期限</w:t>
      </w:r>
    </w:p>
    <w:p w14:paraId="52B1B308">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bCs/>
          <w:color w:val="auto"/>
          <w:sz w:val="24"/>
        </w:rPr>
      </w:pPr>
      <w:r>
        <w:rPr>
          <w:rFonts w:hint="eastAsia" w:ascii="宋体" w:hAnsi="宋体" w:eastAsia="宋体"/>
          <w:bCs/>
          <w:color w:val="auto"/>
          <w:sz w:val="24"/>
        </w:rPr>
        <w:t>乙方应在本合同签订之日起</w:t>
      </w:r>
      <w:r>
        <w:rPr>
          <w:rFonts w:hint="eastAsia" w:ascii="宋体" w:hAnsi="宋体" w:eastAsia="宋体"/>
          <w:bCs/>
          <w:color w:val="auto"/>
          <w:sz w:val="24"/>
          <w:u w:val="single"/>
        </w:rPr>
        <w:t xml:space="preserve"> </w:t>
      </w:r>
      <w:r>
        <w:rPr>
          <w:rFonts w:ascii="宋体" w:hAnsi="宋体" w:eastAsia="宋体"/>
          <w:bCs/>
          <w:color w:val="auto"/>
          <w:sz w:val="24"/>
          <w:u w:val="single"/>
        </w:rPr>
        <w:t>30</w:t>
      </w:r>
      <w:r>
        <w:rPr>
          <w:rFonts w:hint="eastAsia" w:ascii="宋体" w:hAnsi="宋体" w:eastAsia="宋体"/>
          <w:bCs/>
          <w:color w:val="auto"/>
          <w:sz w:val="24"/>
          <w:u w:val="single"/>
        </w:rPr>
        <w:t xml:space="preserve"> </w:t>
      </w:r>
      <w:r>
        <w:rPr>
          <w:rFonts w:hint="eastAsia" w:ascii="宋体" w:hAnsi="宋体" w:eastAsia="宋体"/>
          <w:bCs/>
          <w:color w:val="auto"/>
          <w:sz w:val="24"/>
        </w:rPr>
        <w:t>日内完成</w:t>
      </w:r>
      <w:r>
        <w:rPr>
          <w:rFonts w:hint="eastAsia" w:ascii="宋体" w:hAnsi="宋体" w:eastAsia="宋体"/>
          <w:color w:val="auto"/>
          <w:sz w:val="24"/>
        </w:rPr>
        <w:t>D</w:t>
      </w:r>
      <w:r>
        <w:rPr>
          <w:rFonts w:ascii="宋体" w:hAnsi="宋体" w:eastAsia="宋体"/>
          <w:color w:val="auto"/>
          <w:sz w:val="24"/>
        </w:rPr>
        <w:t>IP</w:t>
      </w:r>
      <w:r>
        <w:rPr>
          <w:rFonts w:hint="eastAsia" w:ascii="宋体" w:hAnsi="宋体" w:eastAsia="宋体"/>
          <w:bCs/>
          <w:color w:val="auto"/>
          <w:sz w:val="24"/>
        </w:rPr>
        <w:t>系统软件升级、安装、实施、调试、验收并交付给甲方使用。</w:t>
      </w:r>
    </w:p>
    <w:p w14:paraId="7548601E">
      <w:pPr>
        <w:keepNext w:val="0"/>
        <w:keepLines w:val="0"/>
        <w:pageBreakBefore w:val="0"/>
        <w:widowControl w:val="0"/>
        <w:kinsoku/>
        <w:wordWrap/>
        <w:overflowPunct/>
        <w:topLinePunct w:val="0"/>
        <w:autoSpaceDE/>
        <w:autoSpaceDN/>
        <w:bidi w:val="0"/>
        <w:spacing w:line="460" w:lineRule="exact"/>
        <w:ind w:firstLine="482" w:firstLineChars="200"/>
        <w:textAlignment w:val="auto"/>
        <w:rPr>
          <w:rFonts w:ascii="宋体" w:hAnsi="宋体" w:eastAsia="宋体"/>
          <w:b/>
          <w:color w:val="auto"/>
          <w:sz w:val="24"/>
        </w:rPr>
      </w:pPr>
      <w:r>
        <w:rPr>
          <w:rFonts w:hint="eastAsia" w:ascii="宋体" w:hAnsi="宋体" w:eastAsia="宋体"/>
          <w:b/>
          <w:color w:val="auto"/>
          <w:sz w:val="24"/>
        </w:rPr>
        <w:t>第四条  验收</w:t>
      </w:r>
    </w:p>
    <w:p w14:paraId="1AC695F3">
      <w:pPr>
        <w:pStyle w:val="5"/>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Ansi="宋体" w:eastAsia="宋体"/>
          <w:color w:val="auto"/>
        </w:rPr>
      </w:pPr>
      <w:r>
        <w:rPr>
          <w:rFonts w:hint="eastAsia" w:hAnsi="宋体" w:eastAsia="宋体"/>
          <w:color w:val="auto"/>
        </w:rPr>
        <w:t>乙方完成D</w:t>
      </w:r>
      <w:r>
        <w:rPr>
          <w:rFonts w:hAnsi="宋体" w:eastAsia="宋体"/>
          <w:color w:val="auto"/>
        </w:rPr>
        <w:t>IP</w:t>
      </w:r>
      <w:r>
        <w:rPr>
          <w:rFonts w:hint="eastAsia" w:hAnsi="宋体" w:eastAsia="宋体"/>
          <w:bCs/>
          <w:color w:val="auto"/>
        </w:rPr>
        <w:t>系统软件升级、安装、实施、调试后</w:t>
      </w:r>
      <w:r>
        <w:rPr>
          <w:rFonts w:hint="eastAsia" w:hAnsi="宋体" w:eastAsia="宋体"/>
          <w:color w:val="auto"/>
        </w:rPr>
        <w:t>，书面通知甲方有关部门共同对合同项目进行验收。甲方收到乙方书面验收通知之日起7个工作日内组织验收，对于技术复杂的系统，甲方可请国家认可的专业检测机构参与最终验收，并由其出具质量检测报告，软件系统部分由具有软件测评资质的第三方机构，出具软件测评报告。经甲方验收合格后，向乙方出具验收合格凭证。如经甲方验收不合格，乙方应无条件返工并在10日内调整到位</w:t>
      </w:r>
      <w:r>
        <w:rPr>
          <w:rFonts w:hint="eastAsia" w:hAnsi="宋体" w:eastAsia="宋体"/>
          <w:color w:val="auto"/>
          <w:lang w:val="en-US" w:eastAsia="zh-CN"/>
        </w:rPr>
        <w:t>并</w:t>
      </w:r>
      <w:r>
        <w:rPr>
          <w:rFonts w:hint="eastAsia" w:hAnsi="宋体" w:eastAsia="宋体"/>
          <w:color w:val="auto"/>
        </w:rPr>
        <w:t>确保验收合格，由此产生的费用全部由乙方承担。</w:t>
      </w:r>
    </w:p>
    <w:p w14:paraId="6B6430C2">
      <w:pPr>
        <w:keepNext w:val="0"/>
        <w:keepLines w:val="0"/>
        <w:pageBreakBefore w:val="0"/>
        <w:widowControl w:val="0"/>
        <w:kinsoku/>
        <w:wordWrap/>
        <w:overflowPunct/>
        <w:topLinePunct w:val="0"/>
        <w:autoSpaceDE/>
        <w:autoSpaceDN/>
        <w:bidi w:val="0"/>
        <w:spacing w:line="460" w:lineRule="exact"/>
        <w:ind w:firstLine="482" w:firstLineChars="200"/>
        <w:textAlignment w:val="auto"/>
        <w:rPr>
          <w:rFonts w:ascii="宋体" w:hAnsi="宋体" w:eastAsia="宋体"/>
          <w:b/>
          <w:bCs/>
          <w:color w:val="auto"/>
          <w:sz w:val="24"/>
        </w:rPr>
      </w:pPr>
      <w:r>
        <w:rPr>
          <w:rFonts w:hint="eastAsia" w:ascii="宋体" w:hAnsi="宋体" w:eastAsia="宋体"/>
          <w:b/>
          <w:bCs/>
          <w:color w:val="auto"/>
          <w:sz w:val="24"/>
        </w:rPr>
        <w:t xml:space="preserve">第五条 </w:t>
      </w:r>
      <w:r>
        <w:rPr>
          <w:rFonts w:ascii="宋体" w:hAnsi="宋体" w:eastAsia="宋体"/>
          <w:b/>
          <w:bCs/>
          <w:color w:val="auto"/>
          <w:sz w:val="24"/>
        </w:rPr>
        <w:t xml:space="preserve"> </w:t>
      </w:r>
      <w:r>
        <w:rPr>
          <w:rFonts w:hint="eastAsia" w:ascii="宋体" w:hAnsi="宋体" w:eastAsia="宋体"/>
          <w:b/>
          <w:bCs/>
          <w:color w:val="auto"/>
          <w:sz w:val="24"/>
          <w:lang w:val="en-US" w:eastAsia="zh-CN"/>
        </w:rPr>
        <w:t>免费</w:t>
      </w:r>
      <w:r>
        <w:rPr>
          <w:rFonts w:hint="eastAsia" w:ascii="宋体" w:hAnsi="宋体" w:eastAsia="宋体"/>
          <w:b/>
          <w:bCs/>
          <w:color w:val="auto"/>
          <w:sz w:val="24"/>
        </w:rPr>
        <w:t>维保服务</w:t>
      </w:r>
    </w:p>
    <w:p w14:paraId="2C800A42">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5.1</w:t>
      </w:r>
      <w:r>
        <w:rPr>
          <w:rFonts w:hint="eastAsia" w:ascii="宋体" w:hAnsi="宋体" w:eastAsia="宋体"/>
          <w:color w:val="auto"/>
          <w:sz w:val="24"/>
          <w:lang w:val="en-US" w:eastAsia="zh-CN"/>
        </w:rPr>
        <w:t>免费</w:t>
      </w:r>
      <w:r>
        <w:rPr>
          <w:rFonts w:hint="eastAsia" w:ascii="宋体" w:hAnsi="宋体" w:eastAsia="宋体"/>
          <w:color w:val="auto"/>
          <w:sz w:val="24"/>
        </w:rPr>
        <w:t>维保服务期限为一年，自甲方验收合格之日起开始计算。</w:t>
      </w:r>
    </w:p>
    <w:p w14:paraId="6352A9E4">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szCs w:val="24"/>
        </w:rPr>
      </w:pPr>
      <w:r>
        <w:rPr>
          <w:rFonts w:hint="eastAsia" w:ascii="宋体" w:hAnsi="宋体" w:eastAsia="宋体"/>
          <w:color w:val="auto"/>
          <w:sz w:val="24"/>
        </w:rPr>
        <w:t>5.2乙方每日提供24小时电话等远程服务方式，为甲方提供咨询、故障诊断、故障排除等技术支持服务并对投诉做出相应处理，乙方</w:t>
      </w:r>
      <w:r>
        <w:rPr>
          <w:rFonts w:hint="eastAsia" w:ascii="宋体" w:hAnsi="宋体" w:eastAsia="宋体"/>
          <w:color w:val="auto"/>
          <w:sz w:val="24"/>
          <w:szCs w:val="24"/>
        </w:rPr>
        <w:t>指定</w:t>
      </w:r>
      <w:r>
        <w:rPr>
          <w:rFonts w:hint="eastAsia" w:ascii="宋体" w:hAnsi="宋体" w:eastAsia="宋体"/>
          <w:color w:val="auto"/>
          <w:sz w:val="24"/>
          <w:szCs w:val="24"/>
          <w:u w:val="single"/>
        </w:rPr>
        <w:t xml:space="preserve"> 刘</w:t>
      </w:r>
      <w:r>
        <w:rPr>
          <w:rFonts w:hint="eastAsia" w:ascii="宋体" w:hAnsi="宋体" w:eastAsia="宋体"/>
          <w:color w:val="auto"/>
          <w:sz w:val="24"/>
          <w:szCs w:val="24"/>
          <w:u w:val="single"/>
          <w:lang w:val="en-US" w:eastAsia="zh-CN"/>
        </w:rPr>
        <w:t>梓极</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、联系电话：</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1</w:t>
      </w:r>
      <w:r>
        <w:rPr>
          <w:rFonts w:hint="eastAsia" w:ascii="宋体" w:hAnsi="宋体" w:eastAsia="宋体"/>
          <w:color w:val="auto"/>
          <w:sz w:val="24"/>
          <w:szCs w:val="24"/>
          <w:u w:val="single"/>
          <w:lang w:val="en-US" w:eastAsia="zh-CN"/>
        </w:rPr>
        <w:t>5571823102</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专门负责与甲方联络。如软件系统发生故障，乙方自接到甲方故障通知后30分钟内响应，并通过远程服务进行维护；如远程服务无法解决，乙方应在接到甲方通知时起4小时内到达现场，并在接到甲方故障通知时起24小时内解决故障。如乙方在前述时间内未</w:t>
      </w:r>
      <w:r>
        <w:rPr>
          <w:rFonts w:hint="eastAsia" w:ascii="宋体" w:hAnsi="宋体" w:eastAsia="宋体"/>
          <w:color w:val="0000FF"/>
          <w:sz w:val="24"/>
          <w:szCs w:val="24"/>
          <w:lang w:val="en-US" w:eastAsia="zh-CN"/>
        </w:rPr>
        <w:t>完成服务</w:t>
      </w:r>
      <w:r>
        <w:rPr>
          <w:rFonts w:hint="eastAsia" w:ascii="宋体" w:hAnsi="宋体" w:eastAsia="宋体"/>
          <w:color w:val="auto"/>
          <w:sz w:val="24"/>
          <w:szCs w:val="24"/>
        </w:rPr>
        <w:t>，甲方有权委托第三方解决，由此产生的费用甲方有权从</w:t>
      </w:r>
      <w:r>
        <w:rPr>
          <w:rFonts w:hint="eastAsia" w:ascii="宋体" w:hAnsi="宋体" w:eastAsia="宋体"/>
          <w:color w:val="auto"/>
          <w:sz w:val="24"/>
          <w:szCs w:val="24"/>
          <w:lang w:val="en-US" w:eastAsia="zh-CN"/>
        </w:rPr>
        <w:t>应支付给乙方的价款</w:t>
      </w:r>
      <w:r>
        <w:rPr>
          <w:rFonts w:hint="eastAsia" w:ascii="宋体" w:hAnsi="宋体" w:eastAsia="宋体"/>
          <w:color w:val="auto"/>
          <w:sz w:val="24"/>
          <w:szCs w:val="24"/>
        </w:rPr>
        <w:t>内扣除，不足部分由乙方另行补足。</w:t>
      </w:r>
    </w:p>
    <w:p w14:paraId="24632125">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b/>
          <w:color w:val="auto"/>
          <w:sz w:val="24"/>
        </w:rPr>
      </w:pPr>
      <w:r>
        <w:rPr>
          <w:rFonts w:hint="eastAsia" w:ascii="宋体" w:hAnsi="宋体" w:eastAsia="宋体"/>
          <w:color w:val="auto"/>
          <w:sz w:val="24"/>
        </w:rPr>
        <w:t>5.3</w:t>
      </w:r>
      <w:r>
        <w:rPr>
          <w:rFonts w:hint="eastAsia" w:ascii="宋体" w:hAnsi="宋体" w:eastAsia="宋体"/>
          <w:color w:val="auto"/>
          <w:sz w:val="24"/>
          <w:lang w:val="en-US" w:eastAsia="zh-CN"/>
        </w:rPr>
        <w:t>免费</w:t>
      </w:r>
      <w:r>
        <w:rPr>
          <w:rFonts w:hint="eastAsia" w:ascii="宋体" w:hAnsi="宋体" w:eastAsia="宋体"/>
          <w:color w:val="auto"/>
          <w:sz w:val="24"/>
        </w:rPr>
        <w:t>维保服务期限届满后，乙方若通过合法合规程序成为甲方维保服务供应商，双方另行签订合同。</w:t>
      </w:r>
      <w:r>
        <w:rPr>
          <w:rFonts w:hint="eastAsia" w:ascii="宋体" w:hAnsi="宋体" w:eastAsia="宋体"/>
          <w:b/>
          <w:color w:val="auto"/>
          <w:sz w:val="24"/>
        </w:rPr>
        <w:t xml:space="preserve"> </w:t>
      </w:r>
    </w:p>
    <w:p w14:paraId="002BAD89">
      <w:pPr>
        <w:keepNext w:val="0"/>
        <w:keepLines w:val="0"/>
        <w:pageBreakBefore w:val="0"/>
        <w:widowControl w:val="0"/>
        <w:kinsoku/>
        <w:wordWrap/>
        <w:overflowPunct/>
        <w:topLinePunct w:val="0"/>
        <w:autoSpaceDE/>
        <w:autoSpaceDN/>
        <w:bidi w:val="0"/>
        <w:spacing w:line="460" w:lineRule="exact"/>
        <w:ind w:firstLine="482" w:firstLineChars="200"/>
        <w:textAlignment w:val="auto"/>
        <w:rPr>
          <w:rFonts w:ascii="宋体" w:hAnsi="宋体" w:eastAsia="宋体"/>
          <w:b/>
          <w:color w:val="auto"/>
          <w:sz w:val="24"/>
        </w:rPr>
      </w:pPr>
      <w:r>
        <w:rPr>
          <w:rFonts w:hint="eastAsia" w:ascii="宋体" w:hAnsi="宋体" w:eastAsia="宋体"/>
          <w:b/>
          <w:color w:val="auto"/>
          <w:sz w:val="24"/>
        </w:rPr>
        <w:t>第六条  价款标准、支付时间和方式</w:t>
      </w:r>
    </w:p>
    <w:p w14:paraId="4C0C6443">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6</w:t>
      </w:r>
      <w:r>
        <w:rPr>
          <w:rFonts w:ascii="宋体" w:hAnsi="宋体" w:eastAsia="宋体"/>
          <w:color w:val="auto"/>
          <w:sz w:val="24"/>
        </w:rPr>
        <w:t>.</w:t>
      </w:r>
      <w:r>
        <w:rPr>
          <w:rFonts w:hint="eastAsia" w:ascii="宋体" w:hAnsi="宋体" w:eastAsia="宋体"/>
          <w:color w:val="auto"/>
          <w:sz w:val="24"/>
        </w:rPr>
        <w:t>1</w:t>
      </w:r>
      <w:r>
        <w:rPr>
          <w:rFonts w:ascii="宋体" w:hAnsi="宋体" w:eastAsia="宋体"/>
          <w:color w:val="auto"/>
          <w:sz w:val="24"/>
        </w:rPr>
        <w:t xml:space="preserve"> </w:t>
      </w:r>
      <w:r>
        <w:rPr>
          <w:rFonts w:hint="eastAsia" w:ascii="宋体" w:hAnsi="宋体" w:eastAsia="宋体"/>
          <w:color w:val="auto"/>
          <w:sz w:val="24"/>
        </w:rPr>
        <w:t>本合同约定服务费实行总价包干，包干总价为</w:t>
      </w:r>
      <w:r>
        <w:rPr>
          <w:rFonts w:ascii="宋体" w:hAnsi="宋体" w:eastAsia="宋体"/>
          <w:color w:val="auto"/>
          <w:sz w:val="24"/>
          <w:u w:val="none"/>
        </w:rPr>
        <w:t>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olor w:val="auto"/>
          <w:sz w:val="24"/>
          <w:u w:val="none"/>
        </w:rPr>
        <w:t>（小写</w:t>
      </w:r>
      <w:r>
        <w:rPr>
          <w:rFonts w:hint="eastAsia" w:ascii="宋体" w:hAnsi="宋体" w:eastAsia="宋体"/>
          <w:color w:val="auto"/>
          <w:sz w:val="24"/>
          <w:u w:val="none"/>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olor w:val="auto"/>
          <w:sz w:val="24"/>
          <w:u w:val="none"/>
        </w:rPr>
        <w:t>元）</w:t>
      </w:r>
      <w:r>
        <w:rPr>
          <w:rFonts w:ascii="宋体" w:hAnsi="宋体" w:eastAsia="宋体"/>
          <w:color w:val="auto"/>
          <w:sz w:val="24"/>
        </w:rPr>
        <w:t>。</w:t>
      </w:r>
      <w:r>
        <w:rPr>
          <w:rFonts w:hint="eastAsia" w:ascii="宋体" w:hAnsi="宋体" w:eastAsia="宋体"/>
          <w:color w:val="auto"/>
          <w:sz w:val="24"/>
        </w:rPr>
        <w:t>该价款已包含软件系统费、模块制作安装费、服务费、运输费、包装费、保险费、装卸费、搬运费、安装调试费、安装材料费、检测检验费、培训费、售后服务费、知识产权许可使用、软件升级费用、税费等全部费用，甲方不再就本合同约定范围内的项目支付任何其他费用。</w:t>
      </w:r>
    </w:p>
    <w:p w14:paraId="187BCA9D">
      <w:pPr>
        <w:keepNext w:val="0"/>
        <w:keepLines w:val="0"/>
        <w:pageBreakBefore w:val="0"/>
        <w:widowControl w:val="0"/>
        <w:kinsoku/>
        <w:wordWrap/>
        <w:overflowPunct/>
        <w:topLinePunct w:val="0"/>
        <w:autoSpaceDE/>
        <w:autoSpaceDN/>
        <w:bidi w:val="0"/>
        <w:adjustRightInd/>
        <w:snapToGrid/>
        <w:spacing w:line="460" w:lineRule="exact"/>
        <w:ind w:left="0" w:leftChars="0" w:right="0" w:firstLine="480" w:firstLineChars="200"/>
        <w:textAlignment w:val="auto"/>
        <w:rPr>
          <w:rFonts w:hint="eastAsia" w:ascii="宋体" w:hAnsi="宋体" w:eastAsia="宋体" w:cs="宋体"/>
          <w:color w:val="auto"/>
          <w:spacing w:val="0"/>
          <w:sz w:val="24"/>
          <w:szCs w:val="24"/>
          <w:lang w:val="en-US" w:eastAsia="zh-CN"/>
        </w:rPr>
      </w:pPr>
      <w:r>
        <w:rPr>
          <w:rFonts w:hint="eastAsia" w:ascii="宋体" w:hAnsi="宋体" w:eastAsia="宋体"/>
          <w:color w:val="auto"/>
          <w:spacing w:val="0"/>
          <w:sz w:val="24"/>
        </w:rPr>
        <w:t>6</w:t>
      </w:r>
      <w:r>
        <w:rPr>
          <w:rFonts w:ascii="宋体" w:hAnsi="宋体" w:eastAsia="宋体"/>
          <w:color w:val="auto"/>
          <w:spacing w:val="0"/>
          <w:sz w:val="24"/>
        </w:rPr>
        <w:t>.</w:t>
      </w:r>
      <w:r>
        <w:rPr>
          <w:rFonts w:hint="eastAsia" w:ascii="宋体" w:hAnsi="宋体" w:eastAsia="宋体"/>
          <w:color w:val="auto"/>
          <w:spacing w:val="0"/>
          <w:sz w:val="24"/>
        </w:rPr>
        <w:t xml:space="preserve">2 </w:t>
      </w:r>
      <w:r>
        <w:rPr>
          <w:rFonts w:hint="eastAsia" w:ascii="宋体" w:hAnsi="宋体" w:eastAsia="宋体" w:cs="宋体"/>
          <w:color w:val="auto"/>
          <w:spacing w:val="0"/>
          <w:sz w:val="24"/>
          <w:szCs w:val="24"/>
          <w:lang w:val="en-US" w:eastAsia="zh-CN"/>
        </w:rPr>
        <w:t>甲方分次支付费用至乙方指定收款账户：自甲方总体验收合格之日起4个月内，支付总费用的</w:t>
      </w:r>
      <w:r>
        <w:rPr>
          <w:rFonts w:hint="eastAsia" w:ascii="宋体" w:hAnsi="宋体" w:eastAsia="宋体" w:cs="宋体"/>
          <w:color w:val="auto"/>
          <w:spacing w:val="0"/>
          <w:sz w:val="24"/>
          <w:szCs w:val="24"/>
          <w:u w:val="single"/>
          <w:lang w:val="en-US" w:eastAsia="zh-CN"/>
        </w:rPr>
        <w:t xml:space="preserve"> 90% </w:t>
      </w:r>
      <w:r>
        <w:rPr>
          <w:rFonts w:hint="eastAsia" w:ascii="宋体" w:hAnsi="宋体" w:eastAsia="宋体" w:cs="宋体"/>
          <w:color w:val="auto"/>
          <w:spacing w:val="0"/>
          <w:sz w:val="24"/>
          <w:szCs w:val="24"/>
          <w:lang w:val="en-US" w:eastAsia="zh-CN"/>
        </w:rPr>
        <w:t>即人民币</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lang w:val="en-US" w:eastAsia="zh-CN"/>
        </w:rPr>
        <w:t>元整（小写：</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lang w:val="en-US" w:eastAsia="zh-CN"/>
        </w:rPr>
        <w:t>元）；自甲方总体验收合格满</w:t>
      </w:r>
      <w:r>
        <w:rPr>
          <w:rFonts w:hint="eastAsia" w:ascii="宋体" w:hAnsi="宋体" w:eastAsia="宋体" w:cs="宋体"/>
          <w:color w:val="auto"/>
          <w:spacing w:val="0"/>
          <w:sz w:val="24"/>
          <w:szCs w:val="24"/>
          <w:u w:val="single"/>
          <w:lang w:val="en-US" w:eastAsia="zh-CN"/>
        </w:rPr>
        <w:t xml:space="preserve"> 1 </w:t>
      </w:r>
      <w:r>
        <w:rPr>
          <w:rFonts w:hint="eastAsia" w:ascii="宋体" w:hAnsi="宋体" w:eastAsia="宋体" w:cs="宋体"/>
          <w:color w:val="auto"/>
          <w:spacing w:val="0"/>
          <w:sz w:val="24"/>
          <w:szCs w:val="24"/>
          <w:lang w:val="en-US" w:eastAsia="zh-CN"/>
        </w:rPr>
        <w:t>年后的</w:t>
      </w:r>
      <w:r>
        <w:rPr>
          <w:rFonts w:hint="eastAsia" w:ascii="宋体" w:hAnsi="宋体" w:eastAsia="宋体" w:cs="宋体"/>
          <w:color w:val="auto"/>
          <w:spacing w:val="0"/>
          <w:sz w:val="24"/>
          <w:szCs w:val="24"/>
          <w:u w:val="single"/>
          <w:lang w:val="en-US" w:eastAsia="zh-CN"/>
        </w:rPr>
        <w:t xml:space="preserve"> 30 </w:t>
      </w:r>
      <w:r>
        <w:rPr>
          <w:rFonts w:hint="eastAsia" w:ascii="宋体" w:hAnsi="宋体" w:eastAsia="宋体" w:cs="宋体"/>
          <w:color w:val="auto"/>
          <w:spacing w:val="0"/>
          <w:sz w:val="24"/>
          <w:szCs w:val="24"/>
          <w:lang w:val="en-US" w:eastAsia="zh-CN"/>
        </w:rPr>
        <w:t>个工作日内，支付总费用的</w:t>
      </w:r>
      <w:r>
        <w:rPr>
          <w:rFonts w:hint="eastAsia" w:ascii="宋体" w:hAnsi="宋体" w:eastAsia="宋体" w:cs="宋体"/>
          <w:color w:val="auto"/>
          <w:spacing w:val="0"/>
          <w:sz w:val="24"/>
          <w:szCs w:val="24"/>
          <w:u w:val="single"/>
          <w:lang w:val="en-US" w:eastAsia="zh-CN"/>
        </w:rPr>
        <w:t xml:space="preserve"> 10% </w:t>
      </w:r>
      <w:r>
        <w:rPr>
          <w:rFonts w:hint="eastAsia" w:ascii="宋体" w:hAnsi="宋体" w:eastAsia="宋体" w:cs="宋体"/>
          <w:color w:val="auto"/>
          <w:spacing w:val="0"/>
          <w:sz w:val="24"/>
          <w:szCs w:val="24"/>
          <w:lang w:val="en-US" w:eastAsia="zh-CN"/>
        </w:rPr>
        <w:t>即人民币</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lang w:val="en-US" w:eastAsia="zh-CN"/>
        </w:rPr>
        <w:t>元整（小写：</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lang w:val="en-US" w:eastAsia="zh-CN"/>
        </w:rPr>
        <w:t>元）。</w:t>
      </w:r>
    </w:p>
    <w:p w14:paraId="4DEA7C39">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6.3</w:t>
      </w:r>
      <w:r>
        <w:rPr>
          <w:rFonts w:ascii="宋体" w:hAnsi="宋体" w:eastAsia="宋体"/>
          <w:color w:val="auto"/>
          <w:sz w:val="24"/>
        </w:rPr>
        <w:t xml:space="preserve"> </w:t>
      </w:r>
      <w:r>
        <w:rPr>
          <w:rFonts w:hint="eastAsia" w:ascii="宋体" w:hAnsi="宋体" w:eastAsia="宋体"/>
          <w:color w:val="auto"/>
          <w:sz w:val="24"/>
        </w:rPr>
        <w:t>甲方通过银行转账向乙方支付价款，乙方指定收款银行账户如下：</w:t>
      </w:r>
    </w:p>
    <w:p w14:paraId="113B959D">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户名：杭州火树科技有限公司</w:t>
      </w:r>
    </w:p>
    <w:p w14:paraId="69B14C48">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开户行：中信银行杭州钱江支行</w:t>
      </w:r>
    </w:p>
    <w:p w14:paraId="59CDF054">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账号：</w:t>
      </w:r>
      <w:r>
        <w:rPr>
          <w:rFonts w:ascii="宋体" w:hAnsi="宋体" w:eastAsia="宋体"/>
          <w:color w:val="auto"/>
          <w:sz w:val="24"/>
        </w:rPr>
        <w:t>8110801013701567128</w:t>
      </w:r>
    </w:p>
    <w:p w14:paraId="3BCEE0A4">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6.4如需改变上述账户，应提前10日以书面方式通知另一方。如一方未按本合同规定通知而使另一方遭受损失的，应予以赔偿。</w:t>
      </w:r>
    </w:p>
    <w:p w14:paraId="43CD187D">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6.5乙方应在甲方每次付款前，向甲方提供以自己名义开具的</w:t>
      </w:r>
      <w:r>
        <w:rPr>
          <w:rFonts w:hint="eastAsia" w:ascii="宋体" w:hAnsi="宋体" w:eastAsia="宋体"/>
          <w:color w:val="FF0000"/>
          <w:sz w:val="24"/>
          <w:lang w:val="en-US" w:eastAsia="zh-CN"/>
        </w:rPr>
        <w:t>价税合计金额</w:t>
      </w:r>
      <w:r>
        <w:rPr>
          <w:rFonts w:hint="eastAsia" w:ascii="宋体" w:hAnsi="宋体" w:eastAsia="宋体"/>
          <w:color w:val="FF0000"/>
          <w:sz w:val="24"/>
        </w:rPr>
        <w:t>与付款金额</w:t>
      </w:r>
      <w:r>
        <w:rPr>
          <w:rFonts w:hint="eastAsia" w:ascii="宋体" w:hAnsi="宋体" w:eastAsia="宋体"/>
          <w:color w:val="FF0000"/>
          <w:sz w:val="24"/>
          <w:lang w:val="en-US" w:eastAsia="zh-CN"/>
        </w:rPr>
        <w:t>等</w:t>
      </w:r>
      <w:r>
        <w:rPr>
          <w:rFonts w:hint="eastAsia" w:ascii="宋体" w:hAnsi="宋体" w:eastAsia="宋体"/>
          <w:color w:val="FF0000"/>
          <w:sz w:val="24"/>
        </w:rPr>
        <w:t>额</w:t>
      </w:r>
      <w:r>
        <w:rPr>
          <w:rFonts w:hint="eastAsia" w:ascii="宋体" w:hAnsi="宋体" w:eastAsia="宋体"/>
          <w:color w:val="auto"/>
          <w:sz w:val="24"/>
        </w:rPr>
        <w:t>的增值税普通发票。如乙方未提供发票，甲方有权顺延付款期限。</w:t>
      </w:r>
    </w:p>
    <w:p w14:paraId="0AC7D00C">
      <w:pPr>
        <w:keepNext w:val="0"/>
        <w:keepLines w:val="0"/>
        <w:pageBreakBefore w:val="0"/>
        <w:widowControl w:val="0"/>
        <w:kinsoku/>
        <w:wordWrap/>
        <w:overflowPunct/>
        <w:topLinePunct w:val="0"/>
        <w:autoSpaceDE/>
        <w:autoSpaceDN/>
        <w:bidi w:val="0"/>
        <w:spacing w:line="460" w:lineRule="exact"/>
        <w:ind w:firstLine="482" w:firstLineChars="200"/>
        <w:jc w:val="both"/>
        <w:textAlignment w:val="auto"/>
        <w:rPr>
          <w:rFonts w:ascii="宋体" w:hAnsi="宋体" w:eastAsia="宋体"/>
          <w:b/>
          <w:color w:val="auto"/>
          <w:sz w:val="24"/>
        </w:rPr>
      </w:pPr>
      <w:r>
        <w:rPr>
          <w:rFonts w:hint="eastAsia" w:ascii="宋体" w:hAnsi="宋体" w:eastAsia="宋体"/>
          <w:b/>
          <w:color w:val="auto"/>
          <w:sz w:val="24"/>
        </w:rPr>
        <w:t>第七条  双方权利义务</w:t>
      </w:r>
    </w:p>
    <w:p w14:paraId="034D2275">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7.1 合同双方同意按本合同的约定做好配合和协调工作。</w:t>
      </w:r>
    </w:p>
    <w:p w14:paraId="1022950E">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7.2 乙方的一般义务</w:t>
      </w:r>
    </w:p>
    <w:p w14:paraId="5C5CF381">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7.2.1</w:t>
      </w:r>
      <w:r>
        <w:rPr>
          <w:rFonts w:ascii="宋体" w:hAnsi="宋体" w:eastAsia="宋体"/>
          <w:color w:val="auto"/>
          <w:sz w:val="24"/>
        </w:rPr>
        <w:t xml:space="preserve"> </w:t>
      </w:r>
      <w:r>
        <w:rPr>
          <w:rFonts w:hint="eastAsia" w:ascii="宋体" w:hAnsi="宋体" w:eastAsia="宋体"/>
          <w:color w:val="auto"/>
          <w:sz w:val="24"/>
        </w:rPr>
        <w:t>乙方应完全实施本合同所约定的服务条款，乙方根据甲方要求完成</w:t>
      </w:r>
      <w:r>
        <w:rPr>
          <w:rFonts w:ascii="宋体" w:hAnsi="宋体" w:eastAsia="宋体"/>
          <w:color w:val="auto"/>
          <w:sz w:val="24"/>
        </w:rPr>
        <w:t>系统产品交付</w:t>
      </w:r>
      <w:r>
        <w:rPr>
          <w:rFonts w:hint="eastAsia" w:ascii="宋体" w:hAnsi="宋体" w:eastAsia="宋体"/>
          <w:color w:val="auto"/>
          <w:sz w:val="24"/>
        </w:rPr>
        <w:t>及提供售后服务，并接受甲方验收。</w:t>
      </w:r>
    </w:p>
    <w:p w14:paraId="422A1E83">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7.2.2</w:t>
      </w:r>
      <w:r>
        <w:rPr>
          <w:rFonts w:ascii="宋体" w:hAnsi="宋体" w:eastAsia="宋体"/>
          <w:color w:val="auto"/>
          <w:sz w:val="24"/>
        </w:rPr>
        <w:t xml:space="preserve"> </w:t>
      </w:r>
      <w:r>
        <w:rPr>
          <w:rFonts w:hint="eastAsia" w:ascii="宋体" w:hAnsi="宋体" w:eastAsia="宋体"/>
          <w:color w:val="auto"/>
          <w:sz w:val="24"/>
        </w:rPr>
        <w:t>乙方负责指派健康、有经验、有能力的专业技术人员提供服务，保证其服务人员数量充裕，有足够的能力履行合同规定的技术服务。</w:t>
      </w:r>
    </w:p>
    <w:p w14:paraId="0D6EF6D4">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7.2.3 乙方应指定专人负责就服务实施同甲方进行联络。</w:t>
      </w:r>
    </w:p>
    <w:p w14:paraId="75DCA3DE">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7.2.4</w:t>
      </w:r>
      <w:r>
        <w:rPr>
          <w:rFonts w:ascii="宋体" w:hAnsi="宋体" w:eastAsia="宋体"/>
          <w:color w:val="auto"/>
          <w:sz w:val="24"/>
        </w:rPr>
        <w:t xml:space="preserve"> </w:t>
      </w:r>
      <w:r>
        <w:rPr>
          <w:rFonts w:hint="eastAsia" w:ascii="宋体" w:hAnsi="宋体" w:eastAsia="宋体"/>
          <w:color w:val="auto"/>
          <w:sz w:val="24"/>
        </w:rPr>
        <w:t>乙方</w:t>
      </w:r>
      <w:r>
        <w:rPr>
          <w:rFonts w:ascii="宋体" w:hAnsi="宋体" w:eastAsia="宋体"/>
          <w:color w:val="auto"/>
          <w:sz w:val="24"/>
        </w:rPr>
        <w:t>应</w:t>
      </w:r>
      <w:r>
        <w:rPr>
          <w:rFonts w:hint="eastAsia" w:ascii="宋体" w:hAnsi="宋体" w:eastAsia="宋体"/>
          <w:color w:val="auto"/>
          <w:sz w:val="24"/>
        </w:rPr>
        <w:t>基于现有技术，实现合作应用、软件功能优化、数据处理、数据分析的目标。</w:t>
      </w:r>
    </w:p>
    <w:p w14:paraId="5C87F638">
      <w:pPr>
        <w:pStyle w:val="5"/>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Ansi="宋体" w:eastAsia="宋体"/>
          <w:color w:val="auto"/>
        </w:rPr>
      </w:pPr>
      <w:r>
        <w:rPr>
          <w:rFonts w:hint="eastAsia" w:hAnsi="宋体" w:eastAsia="宋体"/>
          <w:color w:val="auto"/>
        </w:rPr>
        <w:t>7</w:t>
      </w:r>
      <w:r>
        <w:rPr>
          <w:rFonts w:hAnsi="宋体" w:eastAsia="宋体"/>
          <w:color w:val="auto"/>
        </w:rPr>
        <w:t xml:space="preserve">.2.5 </w:t>
      </w:r>
      <w:r>
        <w:rPr>
          <w:rFonts w:hint="eastAsia" w:hAnsi="宋体" w:eastAsia="宋体"/>
          <w:color w:val="auto"/>
        </w:rPr>
        <w:t>项目设计中的技术问题，按照安全和优化的原则，乙方提出建议。如果由于拟提出的建议会提高项目造价，或延长工期，应当事先取得甲方的书面同意。</w:t>
      </w:r>
    </w:p>
    <w:p w14:paraId="788D70C7">
      <w:pPr>
        <w:pStyle w:val="5"/>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Ansi="宋体" w:eastAsia="宋体"/>
          <w:color w:val="auto"/>
        </w:rPr>
      </w:pPr>
      <w:r>
        <w:rPr>
          <w:rFonts w:hint="eastAsia" w:hAnsi="宋体" w:eastAsia="宋体"/>
          <w:color w:val="auto"/>
        </w:rPr>
        <w:t>7.</w:t>
      </w:r>
      <w:r>
        <w:rPr>
          <w:rFonts w:hAnsi="宋体" w:eastAsia="宋体"/>
          <w:color w:val="auto"/>
        </w:rPr>
        <w:t>2.6 项目实施过程中所产生的文档资料，</w:t>
      </w:r>
      <w:r>
        <w:rPr>
          <w:rFonts w:hint="eastAsia" w:hAnsi="宋体" w:eastAsia="宋体"/>
          <w:color w:val="auto"/>
        </w:rPr>
        <w:t>乙方</w:t>
      </w:r>
      <w:r>
        <w:rPr>
          <w:rFonts w:hAnsi="宋体" w:eastAsia="宋体"/>
          <w:color w:val="auto"/>
        </w:rPr>
        <w:t>将采取保密措施，并在项目实施完成后将涉及的资料移交给</w:t>
      </w:r>
      <w:r>
        <w:rPr>
          <w:rFonts w:hint="eastAsia" w:hAnsi="宋体" w:eastAsia="宋体"/>
          <w:color w:val="auto"/>
        </w:rPr>
        <w:t>甲方</w:t>
      </w:r>
      <w:r>
        <w:rPr>
          <w:rFonts w:hAnsi="宋体" w:eastAsia="宋体"/>
          <w:color w:val="auto"/>
        </w:rPr>
        <w:t>，除为实现本合同目的外，未经</w:t>
      </w:r>
      <w:r>
        <w:rPr>
          <w:rFonts w:hint="eastAsia" w:hAnsi="宋体" w:eastAsia="宋体"/>
          <w:color w:val="auto"/>
        </w:rPr>
        <w:t>乙方</w:t>
      </w:r>
      <w:r>
        <w:rPr>
          <w:rFonts w:hAnsi="宋体" w:eastAsia="宋体"/>
          <w:color w:val="auto"/>
        </w:rPr>
        <w:t>书面同意，</w:t>
      </w:r>
      <w:r>
        <w:rPr>
          <w:rFonts w:hint="eastAsia" w:hAnsi="宋体" w:eastAsia="宋体"/>
          <w:color w:val="auto"/>
        </w:rPr>
        <w:t>甲方</w:t>
      </w:r>
      <w:r>
        <w:rPr>
          <w:rFonts w:hAnsi="宋体" w:eastAsia="宋体"/>
          <w:color w:val="auto"/>
        </w:rPr>
        <w:t>应注意保密，不得对外泄露。</w:t>
      </w:r>
    </w:p>
    <w:p w14:paraId="1D0B46D9">
      <w:pPr>
        <w:pStyle w:val="5"/>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Ansi="宋体" w:eastAsia="宋体"/>
          <w:color w:val="auto"/>
        </w:rPr>
      </w:pPr>
      <w:r>
        <w:rPr>
          <w:rFonts w:hint="eastAsia" w:hAnsi="宋体" w:eastAsia="宋体"/>
          <w:color w:val="auto"/>
        </w:rPr>
        <w:t>7</w:t>
      </w:r>
      <w:r>
        <w:rPr>
          <w:rFonts w:hAnsi="宋体" w:eastAsia="宋体"/>
          <w:color w:val="auto"/>
        </w:rPr>
        <w:t>.2.7 在项目实施及后续服务过程中，</w:t>
      </w:r>
      <w:r>
        <w:rPr>
          <w:rFonts w:hint="eastAsia" w:hAnsi="宋体" w:eastAsia="宋体"/>
          <w:color w:val="auto"/>
        </w:rPr>
        <w:t>乙方</w:t>
      </w:r>
      <w:r>
        <w:rPr>
          <w:rFonts w:hAnsi="宋体" w:eastAsia="宋体"/>
          <w:color w:val="auto"/>
        </w:rPr>
        <w:t>负责服务器的安装部署、服务维护、补救修复工作，除服务器所部署服务导致的安全问题外，</w:t>
      </w:r>
      <w:r>
        <w:rPr>
          <w:rFonts w:hint="eastAsia" w:hAnsi="宋体" w:eastAsia="宋体"/>
          <w:color w:val="auto"/>
        </w:rPr>
        <w:t>乙方</w:t>
      </w:r>
      <w:r>
        <w:rPr>
          <w:rFonts w:hAnsi="宋体" w:eastAsia="宋体"/>
          <w:color w:val="auto"/>
        </w:rPr>
        <w:t>不承担任何责任。</w:t>
      </w:r>
    </w:p>
    <w:p w14:paraId="583D6E89">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7.2.8 乙方应确保其向甲方提供的所有应用、软件、数据信息享有知识产权或取得相关权利人的合法授权，且符合相关法律法规规定和技术规范要求，不存在侵犯任何第三方合法权益（包括但不限于知识产权、肖像权、名誉权、隐私权等）的情况；如乙方违反上述保证而引起任何争议，由乙方负责解决并承担相关费用。</w:t>
      </w:r>
    </w:p>
    <w:p w14:paraId="1FED5C3D">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7.3</w:t>
      </w:r>
      <w:r>
        <w:rPr>
          <w:rFonts w:ascii="宋体" w:hAnsi="宋体" w:eastAsia="宋体"/>
          <w:color w:val="auto"/>
          <w:sz w:val="24"/>
        </w:rPr>
        <w:t xml:space="preserve"> </w:t>
      </w:r>
      <w:r>
        <w:rPr>
          <w:rFonts w:hint="eastAsia" w:ascii="宋体" w:hAnsi="宋体" w:eastAsia="宋体"/>
          <w:color w:val="auto"/>
          <w:sz w:val="24"/>
        </w:rPr>
        <w:t>甲方的一般义务</w:t>
      </w:r>
    </w:p>
    <w:p w14:paraId="62575E22">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7.3.1</w:t>
      </w:r>
      <w:r>
        <w:rPr>
          <w:rFonts w:ascii="宋体" w:hAnsi="宋体" w:eastAsia="宋体"/>
          <w:color w:val="auto"/>
          <w:sz w:val="24"/>
        </w:rPr>
        <w:t xml:space="preserve"> </w:t>
      </w:r>
      <w:r>
        <w:rPr>
          <w:rFonts w:hint="eastAsia" w:ascii="宋体" w:hAnsi="宋体" w:eastAsia="宋体"/>
          <w:color w:val="auto"/>
          <w:sz w:val="24"/>
        </w:rPr>
        <w:t>甲方应指定专人负责就服务实施同乙方进行联络，为乙方工作提供良好的外部条件。</w:t>
      </w:r>
    </w:p>
    <w:p w14:paraId="02B0F872">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7.3.2</w:t>
      </w:r>
      <w:r>
        <w:rPr>
          <w:rFonts w:ascii="宋体" w:hAnsi="宋体" w:eastAsia="宋体"/>
          <w:color w:val="auto"/>
          <w:sz w:val="24"/>
        </w:rPr>
        <w:t xml:space="preserve"> </w:t>
      </w:r>
      <w:r>
        <w:rPr>
          <w:rFonts w:hint="eastAsia" w:ascii="宋体" w:hAnsi="宋体" w:eastAsia="宋体"/>
          <w:color w:val="auto"/>
          <w:sz w:val="24"/>
        </w:rPr>
        <w:t>甲方负责向乙方提供项目实施过程中必要的人员支持、相关器材和设备，配合乙方顺利完成系统实施工作。</w:t>
      </w:r>
    </w:p>
    <w:p w14:paraId="7A95B14B">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7.3.3</w:t>
      </w:r>
      <w:r>
        <w:rPr>
          <w:rFonts w:ascii="宋体" w:hAnsi="宋体" w:eastAsia="宋体"/>
          <w:color w:val="auto"/>
          <w:sz w:val="24"/>
        </w:rPr>
        <w:t xml:space="preserve"> </w:t>
      </w:r>
      <w:r>
        <w:rPr>
          <w:rFonts w:hint="eastAsia" w:ascii="宋体" w:hAnsi="宋体" w:eastAsia="宋体"/>
          <w:color w:val="auto"/>
          <w:sz w:val="24"/>
        </w:rPr>
        <w:t>甲方应按照合同约定或项目计划中约定的内容和时间，向乙方提供与项目建设有关的项目等资料。</w:t>
      </w:r>
    </w:p>
    <w:p w14:paraId="0892B0C8">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7.3.4</w:t>
      </w:r>
      <w:r>
        <w:rPr>
          <w:rFonts w:ascii="宋体" w:hAnsi="宋体" w:eastAsia="宋体"/>
          <w:color w:val="auto"/>
          <w:sz w:val="24"/>
        </w:rPr>
        <w:t xml:space="preserve">  对于服务器的安全防护（如访问控制、病毒查杀、入侵防护、补丁升级等）工作由</w:t>
      </w:r>
      <w:r>
        <w:rPr>
          <w:rFonts w:hint="eastAsia" w:ascii="宋体" w:hAnsi="宋体" w:eastAsia="宋体"/>
          <w:color w:val="auto"/>
          <w:sz w:val="24"/>
        </w:rPr>
        <w:t>甲方</w:t>
      </w:r>
      <w:r>
        <w:rPr>
          <w:rFonts w:ascii="宋体" w:hAnsi="宋体" w:eastAsia="宋体"/>
          <w:color w:val="auto"/>
          <w:sz w:val="24"/>
        </w:rPr>
        <w:t>自行负责，</w:t>
      </w:r>
      <w:r>
        <w:rPr>
          <w:rFonts w:hint="eastAsia" w:ascii="宋体" w:hAnsi="宋体" w:eastAsia="宋体"/>
          <w:color w:val="auto"/>
          <w:sz w:val="24"/>
        </w:rPr>
        <w:t>乙方</w:t>
      </w:r>
      <w:r>
        <w:rPr>
          <w:rFonts w:ascii="宋体" w:hAnsi="宋体" w:eastAsia="宋体"/>
          <w:color w:val="auto"/>
          <w:sz w:val="24"/>
        </w:rPr>
        <w:t>可以适当提供实施建议和技术支持，但后续因防护措施不到位引起的安全问题，</w:t>
      </w:r>
      <w:r>
        <w:rPr>
          <w:rFonts w:hint="eastAsia" w:ascii="宋体" w:hAnsi="宋体" w:eastAsia="宋体"/>
          <w:color w:val="auto"/>
          <w:sz w:val="24"/>
        </w:rPr>
        <w:t>乙方</w:t>
      </w:r>
      <w:r>
        <w:rPr>
          <w:rFonts w:ascii="宋体" w:hAnsi="宋体" w:eastAsia="宋体"/>
          <w:color w:val="auto"/>
          <w:sz w:val="24"/>
        </w:rPr>
        <w:t>概不负责，由</w:t>
      </w:r>
      <w:r>
        <w:rPr>
          <w:rFonts w:hint="eastAsia" w:ascii="宋体" w:hAnsi="宋体" w:eastAsia="宋体"/>
          <w:color w:val="auto"/>
          <w:sz w:val="24"/>
        </w:rPr>
        <w:t>甲方</w:t>
      </w:r>
      <w:r>
        <w:rPr>
          <w:rFonts w:ascii="宋体" w:hAnsi="宋体" w:eastAsia="宋体"/>
          <w:color w:val="auto"/>
          <w:sz w:val="24"/>
        </w:rPr>
        <w:t>承担全部责任和损失，</w:t>
      </w:r>
      <w:r>
        <w:rPr>
          <w:rFonts w:hint="eastAsia" w:ascii="宋体" w:hAnsi="宋体" w:eastAsia="宋体"/>
          <w:color w:val="auto"/>
          <w:sz w:val="24"/>
        </w:rPr>
        <w:t>乙方</w:t>
      </w:r>
      <w:r>
        <w:rPr>
          <w:rFonts w:ascii="宋体" w:hAnsi="宋体" w:eastAsia="宋体"/>
          <w:color w:val="auto"/>
          <w:sz w:val="24"/>
        </w:rPr>
        <w:t>可以配合实施安全补救工作。</w:t>
      </w:r>
    </w:p>
    <w:p w14:paraId="6587654F">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7.3.5</w:t>
      </w:r>
      <w:r>
        <w:rPr>
          <w:rFonts w:ascii="宋体" w:hAnsi="宋体" w:eastAsia="宋体"/>
          <w:color w:val="auto"/>
          <w:sz w:val="24"/>
        </w:rPr>
        <w:t xml:space="preserve"> </w:t>
      </w:r>
      <w:r>
        <w:rPr>
          <w:rFonts w:hint="eastAsia" w:ascii="宋体" w:hAnsi="宋体" w:eastAsia="宋体"/>
          <w:color w:val="auto"/>
          <w:sz w:val="24"/>
        </w:rPr>
        <w:t>未经乙方书面许可，甲方不得对乙方提供技术服务的应用、软件进行反向工程（</w:t>
      </w:r>
      <w:r>
        <w:rPr>
          <w:rFonts w:ascii="宋体" w:hAnsi="宋体" w:eastAsia="宋体"/>
          <w:color w:val="auto"/>
          <w:sz w:val="24"/>
        </w:rPr>
        <w:t>reverse engineer</w:t>
      </w:r>
      <w:r>
        <w:rPr>
          <w:rFonts w:hint="eastAsia" w:ascii="宋体" w:hAnsi="宋体" w:eastAsia="宋体"/>
          <w:color w:val="auto"/>
          <w:sz w:val="24"/>
        </w:rPr>
        <w:t>）、反向编译（</w:t>
      </w:r>
      <w:r>
        <w:rPr>
          <w:rFonts w:ascii="宋体" w:hAnsi="宋体" w:eastAsia="宋体"/>
          <w:color w:val="auto"/>
          <w:sz w:val="24"/>
        </w:rPr>
        <w:t>decompile</w:t>
      </w:r>
      <w:r>
        <w:rPr>
          <w:rFonts w:hint="eastAsia" w:ascii="宋体" w:hAnsi="宋体" w:eastAsia="宋体"/>
          <w:color w:val="auto"/>
          <w:sz w:val="24"/>
        </w:rPr>
        <w:t>）或反汇编（</w:t>
      </w:r>
      <w:r>
        <w:rPr>
          <w:rFonts w:ascii="宋体" w:hAnsi="宋体" w:eastAsia="宋体"/>
          <w:color w:val="auto"/>
          <w:sz w:val="24"/>
        </w:rPr>
        <w:t>disassemble</w:t>
      </w:r>
      <w:r>
        <w:rPr>
          <w:rFonts w:hint="eastAsia" w:ascii="宋体" w:hAnsi="宋体" w:eastAsia="宋体"/>
          <w:color w:val="auto"/>
          <w:sz w:val="24"/>
        </w:rPr>
        <w:t>）</w:t>
      </w:r>
      <w:r>
        <w:rPr>
          <w:rFonts w:ascii="宋体" w:hAnsi="宋体" w:eastAsia="宋体"/>
          <w:color w:val="auto"/>
          <w:sz w:val="24"/>
        </w:rPr>
        <w:t>，不得对其解密扩散或复制转让</w:t>
      </w:r>
      <w:r>
        <w:rPr>
          <w:rFonts w:hint="eastAsia" w:ascii="宋体" w:hAnsi="宋体" w:eastAsia="宋体"/>
          <w:color w:val="auto"/>
          <w:sz w:val="24"/>
        </w:rPr>
        <w:t>。</w:t>
      </w:r>
    </w:p>
    <w:p w14:paraId="37996FF2">
      <w:pPr>
        <w:pStyle w:val="5"/>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Ansi="宋体" w:eastAsia="宋体"/>
          <w:color w:val="auto"/>
        </w:rPr>
      </w:pPr>
      <w:r>
        <w:rPr>
          <w:rFonts w:hint="eastAsia" w:hAnsi="宋体" w:eastAsia="宋体"/>
          <w:color w:val="auto"/>
        </w:rPr>
        <w:t>7</w:t>
      </w:r>
      <w:r>
        <w:rPr>
          <w:rFonts w:hAnsi="宋体" w:eastAsia="宋体"/>
          <w:color w:val="auto"/>
        </w:rPr>
        <w:t>.3.</w:t>
      </w:r>
      <w:r>
        <w:rPr>
          <w:rFonts w:hint="eastAsia" w:hAnsi="宋体" w:eastAsia="宋体"/>
          <w:color w:val="auto"/>
        </w:rPr>
        <w:t>6</w:t>
      </w:r>
      <w:r>
        <w:rPr>
          <w:rFonts w:hAnsi="宋体" w:eastAsia="宋体"/>
          <w:color w:val="auto"/>
        </w:rPr>
        <w:t xml:space="preserve"> </w:t>
      </w:r>
      <w:r>
        <w:rPr>
          <w:rFonts w:hint="eastAsia" w:hAnsi="宋体" w:eastAsia="宋体"/>
          <w:color w:val="auto"/>
        </w:rPr>
        <w:t>甲方应遵守国家《计算机软件保护条例》有关规定，未经乙方书面许可，不得以任何形式再次转让、租赁或供其他机构研究该软件。</w:t>
      </w:r>
    </w:p>
    <w:p w14:paraId="32CD6589">
      <w:pPr>
        <w:pStyle w:val="5"/>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Ansi="宋体" w:eastAsia="宋体"/>
          <w:color w:val="auto"/>
        </w:rPr>
      </w:pPr>
      <w:r>
        <w:rPr>
          <w:rFonts w:hint="eastAsia" w:hAnsi="宋体" w:eastAsia="宋体"/>
          <w:color w:val="auto"/>
        </w:rPr>
        <w:t>7</w:t>
      </w:r>
      <w:r>
        <w:rPr>
          <w:rFonts w:hAnsi="宋体" w:eastAsia="宋体"/>
          <w:color w:val="auto"/>
        </w:rPr>
        <w:t>.3.</w:t>
      </w:r>
      <w:r>
        <w:rPr>
          <w:rFonts w:hint="eastAsia" w:hAnsi="宋体" w:eastAsia="宋体"/>
          <w:color w:val="auto"/>
        </w:rPr>
        <w:t>7乙方</w:t>
      </w:r>
      <w:r>
        <w:rPr>
          <w:rFonts w:hAnsi="宋体" w:eastAsia="宋体"/>
          <w:color w:val="auto"/>
        </w:rPr>
        <w:t>提供的所有软件、技术的版权归</w:t>
      </w:r>
      <w:r>
        <w:rPr>
          <w:rFonts w:hint="eastAsia" w:hAnsi="宋体" w:eastAsia="宋体"/>
          <w:color w:val="auto"/>
        </w:rPr>
        <w:t>乙方</w:t>
      </w:r>
      <w:r>
        <w:rPr>
          <w:rFonts w:hAnsi="宋体" w:eastAsia="宋体"/>
          <w:color w:val="auto"/>
        </w:rPr>
        <w:t>所有，</w:t>
      </w:r>
      <w:r>
        <w:rPr>
          <w:rFonts w:hint="eastAsia" w:hAnsi="宋体" w:eastAsia="宋体"/>
          <w:color w:val="auto"/>
        </w:rPr>
        <w:t>甲方</w:t>
      </w:r>
      <w:r>
        <w:rPr>
          <w:rFonts w:hAnsi="宋体" w:eastAsia="宋体"/>
          <w:color w:val="auto"/>
        </w:rPr>
        <w:t>不得复制、解密以及从事损害</w:t>
      </w:r>
      <w:r>
        <w:rPr>
          <w:rFonts w:hint="eastAsia" w:hAnsi="宋体" w:eastAsia="宋体"/>
          <w:color w:val="auto"/>
        </w:rPr>
        <w:t>乙方</w:t>
      </w:r>
      <w:r>
        <w:rPr>
          <w:rFonts w:hAnsi="宋体" w:eastAsia="宋体"/>
          <w:color w:val="auto"/>
        </w:rPr>
        <w:t>合法权益的其他活动，否则</w:t>
      </w:r>
      <w:r>
        <w:rPr>
          <w:rFonts w:hint="eastAsia" w:hAnsi="宋体" w:eastAsia="宋体"/>
          <w:color w:val="auto"/>
        </w:rPr>
        <w:t>甲方</w:t>
      </w:r>
      <w:r>
        <w:rPr>
          <w:rFonts w:hAnsi="宋体" w:eastAsia="宋体"/>
          <w:color w:val="auto"/>
        </w:rPr>
        <w:t>应承担相应的法律责任并赔偿由此给</w:t>
      </w:r>
      <w:r>
        <w:rPr>
          <w:rFonts w:hint="eastAsia" w:hAnsi="宋体" w:eastAsia="宋体"/>
          <w:color w:val="auto"/>
        </w:rPr>
        <w:t>乙方</w:t>
      </w:r>
      <w:r>
        <w:rPr>
          <w:rFonts w:hAnsi="宋体" w:eastAsia="宋体"/>
          <w:color w:val="auto"/>
        </w:rPr>
        <w:t>造成的全部损失。</w:t>
      </w:r>
    </w:p>
    <w:p w14:paraId="79B65D86">
      <w:pPr>
        <w:pStyle w:val="5"/>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Ansi="宋体" w:eastAsia="宋体"/>
          <w:color w:val="auto"/>
        </w:rPr>
      </w:pPr>
      <w:r>
        <w:rPr>
          <w:rFonts w:hint="eastAsia" w:hAnsi="宋体" w:eastAsia="宋体"/>
          <w:color w:val="auto"/>
        </w:rPr>
        <w:t>7.3.8</w:t>
      </w:r>
      <w:r>
        <w:rPr>
          <w:rFonts w:hAnsi="宋体" w:eastAsia="宋体"/>
          <w:color w:val="auto"/>
        </w:rPr>
        <w:t xml:space="preserve"> </w:t>
      </w:r>
      <w:r>
        <w:rPr>
          <w:rFonts w:hint="eastAsia" w:hAnsi="宋体" w:eastAsia="宋体"/>
          <w:color w:val="auto"/>
        </w:rPr>
        <w:t>甲方保证其提供给乙方的信息均合法获取且取得应有的授权，甲方对其提供的信息具备合法的处置与使用权利。</w:t>
      </w:r>
    </w:p>
    <w:p w14:paraId="34BAF2A3">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7.4</w:t>
      </w:r>
      <w:r>
        <w:rPr>
          <w:rFonts w:ascii="宋体" w:hAnsi="宋体" w:eastAsia="宋体"/>
          <w:color w:val="auto"/>
          <w:sz w:val="24"/>
        </w:rPr>
        <w:t xml:space="preserve"> </w:t>
      </w:r>
      <w:r>
        <w:rPr>
          <w:rFonts w:hint="eastAsia" w:ascii="宋体" w:hAnsi="宋体" w:eastAsia="宋体"/>
          <w:color w:val="auto"/>
          <w:sz w:val="24"/>
        </w:rPr>
        <w:t>乙方</w:t>
      </w:r>
      <w:r>
        <w:rPr>
          <w:rFonts w:ascii="宋体" w:hAnsi="宋体" w:eastAsia="宋体"/>
          <w:color w:val="auto"/>
          <w:sz w:val="24"/>
        </w:rPr>
        <w:t>利用</w:t>
      </w:r>
      <w:r>
        <w:rPr>
          <w:rFonts w:hint="eastAsia" w:ascii="宋体" w:hAnsi="宋体" w:eastAsia="宋体"/>
          <w:color w:val="auto"/>
          <w:sz w:val="24"/>
        </w:rPr>
        <w:t>甲方提供的技术服务完成的技术成果，其知识产权归甲方所有。乙方自行开发的或由乙方与第三方签署协议产生的知识产权仍应归乙方或第三方拥有。</w:t>
      </w:r>
    </w:p>
    <w:p w14:paraId="2B69EAE7">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ascii="宋体" w:hAnsi="宋体" w:eastAsia="宋体"/>
          <w:b/>
          <w:color w:val="auto"/>
          <w:sz w:val="24"/>
        </w:rPr>
      </w:pPr>
      <w:r>
        <w:rPr>
          <w:rFonts w:hint="eastAsia" w:ascii="宋体" w:hAnsi="宋体" w:eastAsia="宋体"/>
          <w:b/>
          <w:color w:val="auto"/>
          <w:sz w:val="24"/>
        </w:rPr>
        <w:t>第八条  保密责任</w:t>
      </w:r>
    </w:p>
    <w:p w14:paraId="5911B6F9">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8.1双方在磋商、签订、履行本合同过程中知晓的任何形式的信息、资料、数据（以下合称“保密信息”），双方约定如下：</w:t>
      </w:r>
    </w:p>
    <w:p w14:paraId="3F155A78">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8.1.1未经任意一方书面同意，不得将保密信息用于任何非本合同之目的用途。</w:t>
      </w:r>
    </w:p>
    <w:p w14:paraId="6CF165D7">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8.1.2未经任意一方书面同意，不得将保密信息透露给任何第三方。不得允许（出借、赠予、出租、转让等处理保密信息的行为皆属于“允许”）或协助未经授权的第三方使用保密信息。</w:t>
      </w:r>
    </w:p>
    <w:p w14:paraId="5F1FB526">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8.1.3乙方保证对甲方提供的保密信息予以妥善保存，并至少采取适用于对自己的保密信息同样的保护措施和审慎程度进行保密。</w:t>
      </w:r>
    </w:p>
    <w:p w14:paraId="4D02D11E">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8.1.4乙方不得刺探与本身业务无关的甲方保密信息。</w:t>
      </w:r>
    </w:p>
    <w:p w14:paraId="72088674">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8.1.5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322164DA">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8.1.6项目终止后，乙方应立即将甲方的保密信息全部载体归还甲方，或根据甲方的要求予以销毁，不得以任何形式保留原件或备份。</w:t>
      </w:r>
    </w:p>
    <w:p w14:paraId="010175E5">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8.1.7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14:paraId="7C1234F5">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8.1.8如果乙方被要求向政府部门、法院或其他有权部门提供保密信息，乙方在可能的情况下，应立即向甲方予以通报。</w:t>
      </w:r>
    </w:p>
    <w:p w14:paraId="04D9A5FE">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8.1.9任何保密信息的获取并不意味着授予乙方任何有关甲方所有的专利权或版权，也不意味着授予乙方有关甲方保密信息的任何权利，除了乙方有权为履行其在合同项目下的义务合理使用甲方提供的保密信息。</w:t>
      </w:r>
    </w:p>
    <w:p w14:paraId="1BDE7C5D">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8.1.10保密义务同样适用于有关未经注册或未被授予专利权的发明的文件和信息。因对本协议所指保密信息的使用而直接或间接产生的知识产权方面的权利由双方当事人协商决定其归属。</w:t>
      </w:r>
    </w:p>
    <w:p w14:paraId="0E324790">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8.2本合同中所说“保密信息”指如下信息：</w:t>
      </w:r>
    </w:p>
    <w:p w14:paraId="3A9B9366">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8.2.1双方就合同订立、履行、变更等产生的研究、商讨、交流等信息。</w:t>
      </w:r>
    </w:p>
    <w:p w14:paraId="1B681138">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8.2.2与甲方有关为乙方知晓、保存或可能上传、交换的信息，包括但不限于如下：</w:t>
      </w:r>
    </w:p>
    <w:p w14:paraId="0B5FBACF">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8.2.2.1技术信息：包括涉及甲方信息化建设中的技术信息，包括软件技术、数据、管理文件等；</w:t>
      </w:r>
    </w:p>
    <w:p w14:paraId="115ED8D4">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8.2.2.2人事信息：包括涉及甲方的人事档案、薪酬、及考核等人力资源管理信息；</w:t>
      </w:r>
    </w:p>
    <w:p w14:paraId="755BED8B">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8.2.2.3医院运行信息：包括涉及甲方业务运行的各种信息，医院经营方向、经营决策、定价政策以及内部掌握的合同、协议、项目方案等；</w:t>
      </w:r>
    </w:p>
    <w:p w14:paraId="7435AF56">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8.2.2.4财务信息：包括涉及甲方的各项财务报表、成本及预算报告、员工工资等；</w:t>
      </w:r>
    </w:p>
    <w:p w14:paraId="3F00630E">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8.2.2.5患者信息：包括涉及甲方门诊、住院患者的相关诊疗信息，如患者基本信息、诊疗计划、病历信息、费用信息、处方等；</w:t>
      </w:r>
    </w:p>
    <w:p w14:paraId="6E6A83D4">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8.2.2.6应当予以保密的商业秘密、个人隐私等信息。</w:t>
      </w:r>
    </w:p>
    <w:p w14:paraId="3D4038FE">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8.3本合同约定的保密信息为永久绝对保密，保密条款在本合同终止后仍然有效。</w:t>
      </w:r>
    </w:p>
    <w:p w14:paraId="621C80C1">
      <w:pPr>
        <w:pStyle w:val="5"/>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hAnsi="宋体" w:eastAsia="宋体"/>
          <w:b/>
          <w:color w:val="0000FF"/>
          <w:lang w:val="en-US" w:eastAsia="zh-CN"/>
        </w:rPr>
      </w:pPr>
      <w:r>
        <w:rPr>
          <w:rFonts w:hint="eastAsia" w:hAnsi="宋体" w:eastAsia="宋体"/>
          <w:b/>
          <w:color w:val="0000FF"/>
          <w:lang w:val="en-US" w:eastAsia="zh-CN"/>
        </w:rPr>
        <w:t>第九条  廉洁条款</w:t>
      </w:r>
    </w:p>
    <w:p w14:paraId="123B8344">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FF"/>
          <w:kern w:val="2"/>
          <w:sz w:val="24"/>
          <w:lang w:val="en-US" w:eastAsia="zh-CN" w:bidi="ar-SA"/>
        </w:rPr>
      </w:pPr>
      <w:r>
        <w:rPr>
          <w:rFonts w:hint="eastAsia" w:ascii="宋体" w:hAnsi="宋体" w:eastAsia="宋体" w:cs="宋体"/>
          <w:color w:val="0000FF"/>
          <w:kern w:val="2"/>
          <w:sz w:val="24"/>
          <w:lang w:val="en-US" w:eastAsia="zh-CN" w:bidi="ar-SA"/>
        </w:rPr>
        <w:t>9.1乙方应严格遵守国家相关法律法规，涉及合同的有关业务活动必须坚持公开、公平、公正、诚信原则，不得为获取不正当利益，损害国家、集体和甲方利益。</w:t>
      </w:r>
    </w:p>
    <w:p w14:paraId="1786D236">
      <w:pPr>
        <w:pStyle w:val="5"/>
        <w:keepNext w:val="0"/>
        <w:keepLines w:val="0"/>
        <w:pageBreakBefore w:val="0"/>
        <w:widowControl w:val="0"/>
        <w:kinsoku/>
        <w:wordWrap/>
        <w:overflowPunct/>
        <w:topLinePunct w:val="0"/>
        <w:autoSpaceDE/>
        <w:autoSpaceDN/>
        <w:bidi w:val="0"/>
        <w:spacing w:line="460" w:lineRule="exact"/>
        <w:ind w:firstLine="482" w:firstLineChars="200"/>
        <w:textAlignment w:val="auto"/>
        <w:rPr>
          <w:rFonts w:hint="eastAsia" w:ascii="宋体" w:hAnsi="宋体" w:eastAsia="宋体" w:cs="宋体"/>
          <w:color w:val="auto"/>
          <w:kern w:val="2"/>
          <w:sz w:val="24"/>
          <w:lang w:val="en-US" w:eastAsia="zh-CN" w:bidi="ar-SA"/>
        </w:rPr>
      </w:pPr>
      <w:r>
        <w:rPr>
          <w:rFonts w:hint="eastAsia" w:ascii="宋体" w:hAnsi="宋体" w:eastAsia="宋体" w:cs="宋体"/>
          <w:b/>
          <w:bCs/>
          <w:color w:val="0000FF"/>
          <w:kern w:val="2"/>
          <w:sz w:val="24"/>
          <w:u w:val="single"/>
          <w:lang w:val="en-US" w:eastAsia="zh-CN" w:bidi="ar-SA"/>
        </w:rPr>
        <w:t>9.2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1799D1E5">
      <w:pPr>
        <w:pStyle w:val="5"/>
        <w:keepNext w:val="0"/>
        <w:keepLines w:val="0"/>
        <w:pageBreakBefore w:val="0"/>
        <w:widowControl w:val="0"/>
        <w:kinsoku/>
        <w:wordWrap/>
        <w:overflowPunct/>
        <w:topLinePunct w:val="0"/>
        <w:autoSpaceDE/>
        <w:autoSpaceDN/>
        <w:bidi w:val="0"/>
        <w:spacing w:line="460" w:lineRule="exact"/>
        <w:ind w:firstLine="482" w:firstLineChars="200"/>
        <w:textAlignment w:val="auto"/>
        <w:rPr>
          <w:rFonts w:hAnsi="宋体" w:eastAsia="宋体"/>
          <w:b/>
          <w:color w:val="auto"/>
        </w:rPr>
      </w:pPr>
      <w:r>
        <w:rPr>
          <w:rFonts w:hint="eastAsia" w:hAnsi="宋体" w:eastAsia="宋体"/>
          <w:b/>
          <w:color w:val="auto"/>
        </w:rPr>
        <w:t>第</w:t>
      </w:r>
      <w:r>
        <w:rPr>
          <w:rFonts w:hint="eastAsia" w:hAnsi="宋体" w:eastAsia="宋体"/>
          <w:b/>
          <w:color w:val="auto"/>
          <w:lang w:val="en-US" w:eastAsia="zh-CN"/>
        </w:rPr>
        <w:t>十</w:t>
      </w:r>
      <w:r>
        <w:rPr>
          <w:rFonts w:hint="eastAsia" w:hAnsi="宋体" w:eastAsia="宋体"/>
          <w:b/>
          <w:color w:val="auto"/>
        </w:rPr>
        <w:t>条</w:t>
      </w:r>
      <w:r>
        <w:rPr>
          <w:rFonts w:hAnsi="宋体" w:eastAsia="宋体"/>
          <w:b/>
          <w:color w:val="auto"/>
        </w:rPr>
        <w:t xml:space="preserve">  </w:t>
      </w:r>
      <w:r>
        <w:rPr>
          <w:rFonts w:hint="eastAsia" w:hAnsi="宋体" w:eastAsia="宋体"/>
          <w:b/>
          <w:color w:val="auto"/>
        </w:rPr>
        <w:t>通知与送达</w:t>
      </w:r>
    </w:p>
    <w:p w14:paraId="04BA7548">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lang w:val="en-US" w:eastAsia="zh-CN"/>
        </w:rPr>
        <w:t>10</w:t>
      </w:r>
      <w:r>
        <w:rPr>
          <w:rFonts w:ascii="宋体" w:hAnsi="宋体" w:eastAsia="宋体"/>
          <w:color w:val="auto"/>
          <w:sz w:val="24"/>
        </w:rPr>
        <w:t>.1</w:t>
      </w:r>
      <w:r>
        <w:rPr>
          <w:rFonts w:hint="eastAsia" w:ascii="宋体" w:hAnsi="宋体" w:eastAsia="宋体"/>
          <w:color w:val="auto"/>
          <w:sz w:val="24"/>
        </w:rPr>
        <w:t>甲乙双方同意，与本合同有关的任何文书，应以书面方式送达本合同约定的联系方式。书面形式包括手机短信、微信、书面函件、电子邮件等形式。</w:t>
      </w:r>
    </w:p>
    <w:p w14:paraId="19A11ADA">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lang w:val="en-US" w:eastAsia="zh-CN"/>
        </w:rPr>
        <w:t>10</w:t>
      </w:r>
      <w:r>
        <w:rPr>
          <w:rFonts w:hint="eastAsia" w:ascii="宋体" w:hAnsi="宋体" w:eastAsia="宋体"/>
          <w:color w:val="auto"/>
          <w:sz w:val="24"/>
        </w:rPr>
        <w:t>.2双方确认的文书（包括未来可能发生的诉讼或仲裁活动中法院或仲裁机构的送达法律文书）送达地址：</w:t>
      </w:r>
    </w:p>
    <w:p w14:paraId="5122B977">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highlight w:val="none"/>
        </w:rPr>
      </w:pPr>
      <w:r>
        <w:rPr>
          <w:rFonts w:hint="eastAsia" w:ascii="宋体" w:hAnsi="宋体" w:eastAsia="宋体"/>
          <w:color w:val="auto"/>
          <w:sz w:val="24"/>
          <w:highlight w:val="none"/>
          <w:lang w:val="en-US" w:eastAsia="zh-CN"/>
        </w:rPr>
        <w:t>10</w:t>
      </w:r>
      <w:r>
        <w:rPr>
          <w:rFonts w:hint="eastAsia" w:ascii="宋体" w:hAnsi="宋体" w:eastAsia="宋体"/>
          <w:color w:val="auto"/>
          <w:sz w:val="24"/>
          <w:highlight w:val="none"/>
        </w:rPr>
        <w:t>.2.1</w:t>
      </w:r>
      <w:r>
        <w:rPr>
          <w:rFonts w:hint="eastAsia" w:ascii="宋体" w:hAnsi="宋体" w:eastAsia="宋体" w:cs="Times New Roman"/>
          <w:bCs/>
          <w:color w:val="000000" w:themeColor="text1"/>
          <w:sz w:val="24"/>
          <w14:textFill>
            <w14:solidFill>
              <w14:schemeClr w14:val="tx1"/>
            </w14:solidFill>
          </w14:textFill>
        </w:rPr>
        <w:t>甲方的文书送达地址</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湖南省娄底市娄星区长青街51号</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14:textFill>
            <w14:solidFill>
              <w14:schemeClr w14:val="tx1"/>
            </w14:solidFill>
          </w14:textFill>
        </w:rPr>
        <w:t>收件人</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w:t>
      </w:r>
      <w:r>
        <w:rPr>
          <w:rFonts w:hint="eastAsia" w:ascii="宋体" w:hAnsi="宋体" w:eastAsia="宋体" w:cs="Times New Roman"/>
          <w:bCs/>
          <w:color w:val="000000" w:themeColor="text1"/>
          <w:sz w:val="24"/>
          <w:u w:val="single"/>
          <w:lang w:val="en-US" w:eastAsia="zh-CN"/>
          <w14:textFill>
            <w14:solidFill>
              <w14:schemeClr w14:val="tx1"/>
            </w14:solidFill>
          </w14:textFill>
        </w:rPr>
        <w:t>董昉</w:t>
      </w:r>
      <w:r>
        <w:rPr>
          <w:rFonts w:hint="eastAsia" w:ascii="宋体" w:hAnsi="宋体" w:eastAsia="宋体" w:cs="Times New Roman"/>
          <w:bCs/>
          <w:color w:val="000000" w:themeColor="text1"/>
          <w:sz w:val="24"/>
          <w:u w:val="single"/>
          <w14:textFill>
            <w14:solidFill>
              <w14:schemeClr w14:val="tx1"/>
            </w14:solidFill>
          </w14:textFill>
        </w:rPr>
        <w:t xml:space="preserve"> </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14:textFill>
            <w14:solidFill>
              <w14:schemeClr w14:val="tx1"/>
            </w14:solidFill>
          </w14:textFill>
        </w:rPr>
        <w:t>联系电话</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15973879275 </w:t>
      </w:r>
      <w:r>
        <w:rPr>
          <w:rFonts w:hint="eastAsia" w:ascii="宋体" w:hAnsi="宋体" w:eastAsia="宋体" w:cs="Times New Roman"/>
          <w:bCs/>
          <w:color w:val="000000" w:themeColor="text1"/>
          <w:sz w:val="24"/>
          <w14:textFill>
            <w14:solidFill>
              <w14:schemeClr w14:val="tx1"/>
            </w14:solidFill>
          </w14:textFill>
        </w:rPr>
        <w:t>，</w:t>
      </w:r>
      <w:r>
        <w:rPr>
          <w:rFonts w:hint="eastAsia" w:ascii="宋体" w:hAnsi="宋体" w:eastAsia="宋体" w:cs="Times New Roman"/>
          <w:bCs/>
          <w:color w:val="000000" w:themeColor="text1"/>
          <w:sz w:val="24"/>
          <w:lang w:val="en-US" w:eastAsia="zh-CN"/>
          <w14:textFill>
            <w14:solidFill>
              <w14:schemeClr w14:val="tx1"/>
            </w14:solidFill>
          </w14:textFill>
        </w:rPr>
        <w:t>微信号：</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df22028581 </w:t>
      </w:r>
      <w:r>
        <w:rPr>
          <w:rFonts w:hint="eastAsia" w:ascii="宋体" w:hAnsi="宋体" w:eastAsia="宋体" w:cs="Times New Roman"/>
          <w:bCs/>
          <w:color w:val="000000" w:themeColor="text1"/>
          <w:sz w:val="24"/>
          <w:lang w:val="en-US" w:eastAsia="zh-CN"/>
          <w14:textFill>
            <w14:solidFill>
              <w14:schemeClr w14:val="tx1"/>
            </w14:solidFill>
          </w14:textFill>
        </w:rPr>
        <w:t>，电子邮箱：</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u w:val="single"/>
          <w:lang w:val="en-US" w:eastAsia="zh-CN"/>
          <w14:textFill>
            <w14:solidFill>
              <w14:schemeClr w14:val="tx1"/>
            </w14:solidFill>
          </w14:textFill>
        </w:rPr>
        <w:fldChar w:fldCharType="begin"/>
      </w:r>
      <w:r>
        <w:rPr>
          <w:rFonts w:hint="eastAsia" w:ascii="宋体" w:hAnsi="宋体" w:eastAsia="宋体" w:cs="Times New Roman"/>
          <w:bCs/>
          <w:color w:val="000000" w:themeColor="text1"/>
          <w:sz w:val="24"/>
          <w:u w:val="single"/>
          <w:lang w:val="en-US" w:eastAsia="zh-CN"/>
          <w14:textFill>
            <w14:solidFill>
              <w14:schemeClr w14:val="tx1"/>
            </w14:solidFill>
          </w14:textFill>
        </w:rPr>
        <w:instrText xml:space="preserve"> HYPERLINK "mailto:22028581@qq.com" </w:instrText>
      </w:r>
      <w:r>
        <w:rPr>
          <w:rFonts w:hint="eastAsia" w:ascii="宋体" w:hAnsi="宋体" w:eastAsia="宋体" w:cs="Times New Roman"/>
          <w:bCs/>
          <w:color w:val="000000" w:themeColor="text1"/>
          <w:sz w:val="24"/>
          <w:u w:val="single"/>
          <w:lang w:val="en-US" w:eastAsia="zh-CN"/>
          <w14:textFill>
            <w14:solidFill>
              <w14:schemeClr w14:val="tx1"/>
            </w14:solidFill>
          </w14:textFill>
        </w:rPr>
        <w:fldChar w:fldCharType="separate"/>
      </w:r>
      <w:r>
        <w:rPr>
          <w:rFonts w:hint="eastAsia" w:ascii="宋体" w:hAnsi="宋体" w:eastAsia="宋体" w:cs="Times New Roman"/>
          <w:bCs/>
          <w:color w:val="000000" w:themeColor="text1"/>
          <w:sz w:val="24"/>
          <w:u w:val="single"/>
          <w:lang w:val="en-US" w:eastAsia="zh-CN"/>
          <w14:textFill>
            <w14:solidFill>
              <w14:schemeClr w14:val="tx1"/>
            </w14:solidFill>
          </w14:textFill>
        </w:rPr>
        <w:t>22028581@qq.com</w:t>
      </w:r>
      <w:r>
        <w:rPr>
          <w:rFonts w:hint="eastAsia" w:ascii="宋体" w:hAnsi="宋体" w:eastAsia="宋体" w:cs="Times New Roman"/>
          <w:bCs/>
          <w:color w:val="000000" w:themeColor="text1"/>
          <w:sz w:val="24"/>
          <w:u w:val="single"/>
          <w:lang w:val="en-US" w:eastAsia="zh-CN"/>
          <w14:textFill>
            <w14:solidFill>
              <w14:schemeClr w14:val="tx1"/>
            </w14:solidFill>
          </w14:textFill>
        </w:rPr>
        <w:fldChar w:fldCharType="end"/>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lang w:eastAsia="zh-CN"/>
          <w14:textFill>
            <w14:solidFill>
              <w14:schemeClr w14:val="tx1"/>
            </w14:solidFill>
          </w14:textFill>
        </w:rPr>
        <w:t>。</w:t>
      </w:r>
    </w:p>
    <w:p w14:paraId="6B6B78F0">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lang w:val="en-US" w:eastAsia="zh-CN"/>
        </w:rPr>
        <w:t>10</w:t>
      </w:r>
      <w:r>
        <w:rPr>
          <w:rFonts w:hint="eastAsia" w:ascii="宋体" w:hAnsi="宋体" w:eastAsia="宋体"/>
          <w:color w:val="auto"/>
          <w:sz w:val="24"/>
        </w:rPr>
        <w:t>.2.2乙方的文书送达地址：</w:t>
      </w:r>
      <w:r>
        <w:rPr>
          <w:rFonts w:hint="eastAsia" w:ascii="宋体" w:hAnsi="宋体" w:eastAsia="宋体"/>
          <w:color w:val="auto"/>
          <w:sz w:val="24"/>
          <w:u w:val="single"/>
        </w:rPr>
        <w:t xml:space="preserve"> 浙江省杭州市西湖区紫荆花路</w:t>
      </w:r>
      <w:r>
        <w:rPr>
          <w:rFonts w:ascii="宋体" w:hAnsi="宋体" w:eastAsia="宋体"/>
          <w:color w:val="auto"/>
          <w:sz w:val="24"/>
          <w:u w:val="single"/>
        </w:rPr>
        <w:t>2号联合大厦B座10楼</w:t>
      </w:r>
      <w:r>
        <w:rPr>
          <w:rFonts w:hint="eastAsia" w:ascii="宋体" w:hAnsi="宋体" w:eastAsia="宋体"/>
          <w:color w:val="auto"/>
          <w:sz w:val="24"/>
          <w:u w:val="single"/>
        </w:rPr>
        <w:t xml:space="preserve"> </w:t>
      </w:r>
      <w:r>
        <w:rPr>
          <w:rFonts w:hint="eastAsia" w:ascii="宋体" w:hAnsi="宋体" w:eastAsia="宋体"/>
          <w:color w:val="auto"/>
          <w:sz w:val="24"/>
        </w:rPr>
        <w:t>，收件人：</w:t>
      </w:r>
      <w:r>
        <w:rPr>
          <w:rFonts w:hint="eastAsia" w:ascii="宋体" w:hAnsi="宋体" w:eastAsia="宋体"/>
          <w:color w:val="auto"/>
          <w:sz w:val="24"/>
          <w:u w:val="single"/>
        </w:rPr>
        <w:t xml:space="preserve"> </w:t>
      </w:r>
      <w:r>
        <w:rPr>
          <w:rFonts w:hint="eastAsia" w:ascii="宋体" w:hAnsi="宋体" w:eastAsia="宋体"/>
          <w:color w:val="auto"/>
          <w:sz w:val="24"/>
          <w:u w:val="single"/>
          <w:lang w:val="en-US" w:eastAsia="zh-CN"/>
        </w:rPr>
        <w:t>蒋艾平</w:t>
      </w:r>
      <w:r>
        <w:rPr>
          <w:rFonts w:hint="eastAsia" w:ascii="宋体" w:hAnsi="宋体" w:eastAsia="宋体"/>
          <w:color w:val="auto"/>
          <w:sz w:val="24"/>
          <w:u w:val="single"/>
        </w:rPr>
        <w:t xml:space="preserve"> </w:t>
      </w:r>
      <w:r>
        <w:rPr>
          <w:rFonts w:hint="eastAsia" w:ascii="宋体" w:hAnsi="宋体" w:eastAsia="宋体"/>
          <w:color w:val="auto"/>
          <w:sz w:val="24"/>
        </w:rPr>
        <w:t>，联系电话</w:t>
      </w:r>
      <w:r>
        <w:rPr>
          <w:rFonts w:hint="eastAsia" w:ascii="宋体" w:hAnsi="宋体" w:eastAsia="宋体"/>
          <w:color w:val="auto"/>
          <w:sz w:val="24"/>
          <w:u w:val="single"/>
        </w:rPr>
        <w:t xml:space="preserve">： </w:t>
      </w:r>
      <w:r>
        <w:rPr>
          <w:rFonts w:ascii="宋体" w:hAnsi="宋体" w:eastAsia="宋体"/>
          <w:color w:val="auto"/>
          <w:sz w:val="24"/>
          <w:u w:val="single"/>
        </w:rPr>
        <w:t>1</w:t>
      </w:r>
      <w:r>
        <w:rPr>
          <w:rFonts w:hint="eastAsia" w:ascii="宋体" w:hAnsi="宋体" w:eastAsia="宋体"/>
          <w:color w:val="auto"/>
          <w:sz w:val="24"/>
          <w:u w:val="single"/>
          <w:lang w:val="en-US" w:eastAsia="zh-CN"/>
        </w:rPr>
        <w:t>3750830761</w:t>
      </w:r>
      <w:r>
        <w:rPr>
          <w:rFonts w:hint="eastAsia" w:ascii="宋体" w:hAnsi="宋体" w:eastAsia="宋体"/>
          <w:color w:val="auto"/>
          <w:sz w:val="24"/>
          <w:u w:val="single"/>
        </w:rPr>
        <w:t xml:space="preserve"> </w:t>
      </w:r>
      <w:r>
        <w:rPr>
          <w:rFonts w:hint="eastAsia" w:ascii="宋体" w:hAnsi="宋体" w:eastAsia="宋体"/>
          <w:color w:val="auto"/>
          <w:sz w:val="24"/>
        </w:rPr>
        <w:t>，电子邮箱：</w:t>
      </w:r>
      <w:r>
        <w:rPr>
          <w:rFonts w:hint="eastAsia" w:ascii="宋体" w:hAnsi="宋体" w:eastAsia="宋体"/>
          <w:color w:val="auto"/>
          <w:sz w:val="24"/>
          <w:u w:val="single"/>
        </w:rPr>
        <w:t xml:space="preserve"> </w:t>
      </w:r>
      <w:r>
        <w:rPr>
          <w:rFonts w:hint="eastAsia" w:ascii="宋体" w:hAnsi="宋体" w:eastAsia="宋体"/>
          <w:color w:val="auto"/>
          <w:sz w:val="24"/>
          <w:u w:val="single"/>
          <w:lang w:val="en-US" w:eastAsia="zh-CN"/>
        </w:rPr>
        <w:t>aiping</w:t>
      </w:r>
      <w:r>
        <w:rPr>
          <w:rFonts w:ascii="宋体" w:hAnsi="宋体" w:eastAsia="宋体"/>
          <w:color w:val="auto"/>
          <w:sz w:val="24"/>
          <w:u w:val="single"/>
        </w:rPr>
        <w:t>.</w:t>
      </w:r>
      <w:r>
        <w:rPr>
          <w:rFonts w:hint="eastAsia" w:ascii="宋体" w:hAnsi="宋体" w:eastAsia="宋体"/>
          <w:color w:val="auto"/>
          <w:sz w:val="24"/>
          <w:u w:val="single"/>
          <w:lang w:val="en-US" w:eastAsia="zh-CN"/>
        </w:rPr>
        <w:t>jiang</w:t>
      </w:r>
      <w:r>
        <w:rPr>
          <w:rFonts w:ascii="宋体" w:hAnsi="宋体" w:eastAsia="宋体"/>
          <w:color w:val="auto"/>
          <w:sz w:val="24"/>
          <w:u w:val="single"/>
        </w:rPr>
        <w:t>@mijahealth.com</w:t>
      </w:r>
      <w:r>
        <w:rPr>
          <w:rFonts w:hint="eastAsia" w:ascii="宋体" w:hAnsi="宋体" w:eastAsia="宋体"/>
          <w:color w:val="auto"/>
          <w:sz w:val="24"/>
          <w:u w:val="single"/>
        </w:rPr>
        <w:t xml:space="preserve"> </w:t>
      </w:r>
      <w:r>
        <w:rPr>
          <w:rFonts w:hint="eastAsia" w:ascii="宋体" w:hAnsi="宋体" w:eastAsia="宋体"/>
          <w:color w:val="auto"/>
          <w:sz w:val="24"/>
        </w:rPr>
        <w:t>。</w:t>
      </w:r>
    </w:p>
    <w:p w14:paraId="08AAF69F">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lang w:val="en-US" w:eastAsia="zh-CN"/>
        </w:rPr>
        <w:t>10</w:t>
      </w:r>
      <w:r>
        <w:rPr>
          <w:rFonts w:hint="eastAsia" w:ascii="宋体" w:hAnsi="宋体" w:eastAsia="宋体"/>
          <w:color w:val="auto"/>
          <w:sz w:val="24"/>
        </w:rPr>
        <w:t>.3上述通知应被视为在下列时间送达：以快递或专人发送的，在收件人签收之日或拒收之日；以挂号邮件发出的，在发出之日起7个工作日；以电子邮件发出的，在电子邮件进入收件方电子邮箱服务器之日。</w:t>
      </w:r>
    </w:p>
    <w:p w14:paraId="428B80E4">
      <w:pPr>
        <w:pStyle w:val="5"/>
        <w:keepNext w:val="0"/>
        <w:keepLines w:val="0"/>
        <w:pageBreakBefore w:val="0"/>
        <w:widowControl w:val="0"/>
        <w:kinsoku/>
        <w:wordWrap/>
        <w:overflowPunct/>
        <w:topLinePunct w:val="0"/>
        <w:autoSpaceDE/>
        <w:autoSpaceDN/>
        <w:bidi w:val="0"/>
        <w:spacing w:line="460" w:lineRule="exact"/>
        <w:ind w:firstLine="480" w:firstLineChars="200"/>
        <w:textAlignment w:val="auto"/>
        <w:rPr>
          <w:rFonts w:hint="eastAsia" w:ascii="宋体" w:hAnsi="宋体" w:eastAsia="宋体"/>
          <w:color w:val="auto"/>
          <w:sz w:val="24"/>
        </w:rPr>
      </w:pPr>
      <w:r>
        <w:rPr>
          <w:rFonts w:hint="eastAsia" w:hAnsi="宋体" w:eastAsia="宋体"/>
          <w:color w:val="auto"/>
          <w:sz w:val="24"/>
          <w:lang w:val="en-US" w:eastAsia="zh-CN"/>
        </w:rPr>
        <w:t>10</w:t>
      </w:r>
      <w:r>
        <w:rPr>
          <w:rFonts w:hint="eastAsia" w:ascii="宋体" w:hAnsi="宋体" w:eastAsia="宋体"/>
          <w:color w:val="auto"/>
          <w:sz w:val="24"/>
        </w:rPr>
        <w:t>.4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0AFCDD0E">
      <w:pPr>
        <w:pStyle w:val="5"/>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default" w:hAnsi="宋体" w:eastAsia="宋体"/>
          <w:b/>
          <w:color w:val="0000FF"/>
          <w:lang w:val="en-US" w:eastAsia="zh-CN"/>
        </w:rPr>
      </w:pPr>
      <w:r>
        <w:rPr>
          <w:rFonts w:hint="eastAsia" w:hAnsi="宋体" w:eastAsia="宋体"/>
          <w:b/>
          <w:color w:val="0000FF"/>
          <w:lang w:val="en-US" w:eastAsia="zh-CN"/>
        </w:rPr>
        <w:t>第十一条 合同的变更和解除</w:t>
      </w:r>
    </w:p>
    <w:p w14:paraId="6E7AE594">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11.1如本合同约定事宜发生重大变更，经双方协商一致后另行签订补充协议。</w:t>
      </w:r>
    </w:p>
    <w:p w14:paraId="24346211">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11.2出现以下情形之一的，甲方有权单方面解除合同：</w:t>
      </w:r>
    </w:p>
    <w:p w14:paraId="7CA9E93D">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11.2.1乙方经甲方通知未按本合同约定完成维护服务累计达</w:t>
      </w:r>
      <w:r>
        <w:rPr>
          <w:rFonts w:hint="eastAsia" w:hAnsi="宋体" w:eastAsia="宋体"/>
          <w:b w:val="0"/>
          <w:bCs/>
          <w:color w:val="0000FF"/>
          <w:u w:val="single"/>
          <w:lang w:val="en-US" w:eastAsia="zh-CN"/>
        </w:rPr>
        <w:t xml:space="preserve"> 5 </w:t>
      </w:r>
      <w:r>
        <w:rPr>
          <w:rFonts w:hint="eastAsia" w:hAnsi="宋体" w:eastAsia="宋体"/>
          <w:b w:val="0"/>
          <w:bCs/>
          <w:color w:val="0000FF"/>
          <w:lang w:val="en-US" w:eastAsia="zh-CN"/>
        </w:rPr>
        <w:t>次的；</w:t>
      </w:r>
    </w:p>
    <w:p w14:paraId="6B841EBA">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11.2.2乙方将项下服务工作转包或分包给第三方的；</w:t>
      </w:r>
    </w:p>
    <w:p w14:paraId="7BB1A92C">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lang w:val="en-US" w:eastAsia="zh-CN"/>
        </w:rPr>
      </w:pPr>
      <w:r>
        <w:rPr>
          <w:rFonts w:hint="eastAsia" w:hAnsi="宋体" w:eastAsia="宋体"/>
          <w:b w:val="0"/>
          <w:bCs/>
          <w:color w:val="0000FF"/>
          <w:lang w:val="en-US" w:eastAsia="zh-CN"/>
        </w:rPr>
        <w:t>11.2.3乙方违反保密条款或侵犯第三人的著作权及其他合法权利，给甲方造成损失或不良影响的；</w:t>
      </w:r>
    </w:p>
    <w:p w14:paraId="1D36FACA">
      <w:pPr>
        <w:pStyle w:val="5"/>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color w:val="0000FF"/>
        </w:rPr>
      </w:pPr>
      <w:r>
        <w:rPr>
          <w:rFonts w:hint="eastAsia" w:hAnsi="宋体" w:eastAsia="宋体"/>
          <w:b w:val="0"/>
          <w:bCs/>
          <w:color w:val="0000FF"/>
          <w:lang w:val="en-US" w:eastAsia="zh-CN"/>
        </w:rPr>
        <w:t>11.2.4其他根本违约的情形。</w:t>
      </w:r>
    </w:p>
    <w:p w14:paraId="5A1D6D3B">
      <w:pPr>
        <w:pStyle w:val="5"/>
        <w:keepNext w:val="0"/>
        <w:keepLines w:val="0"/>
        <w:pageBreakBefore w:val="0"/>
        <w:widowControl w:val="0"/>
        <w:kinsoku/>
        <w:wordWrap/>
        <w:overflowPunct/>
        <w:topLinePunct w:val="0"/>
        <w:autoSpaceDE/>
        <w:autoSpaceDN/>
        <w:bidi w:val="0"/>
        <w:spacing w:line="460" w:lineRule="exact"/>
        <w:ind w:firstLine="482" w:firstLineChars="200"/>
        <w:textAlignment w:val="auto"/>
        <w:rPr>
          <w:rFonts w:hAnsi="宋体" w:eastAsia="宋体"/>
          <w:b/>
          <w:color w:val="auto"/>
        </w:rPr>
      </w:pPr>
      <w:r>
        <w:rPr>
          <w:rFonts w:hint="eastAsia" w:hAnsi="宋体" w:eastAsia="宋体"/>
          <w:b/>
          <w:color w:val="auto"/>
        </w:rPr>
        <w:t>第</w:t>
      </w:r>
      <w:r>
        <w:rPr>
          <w:rFonts w:hint="eastAsia" w:hAnsi="宋体" w:eastAsia="宋体"/>
          <w:b/>
          <w:color w:val="auto"/>
          <w:lang w:val="en-US" w:eastAsia="zh-CN"/>
        </w:rPr>
        <w:t>十二</w:t>
      </w:r>
      <w:r>
        <w:rPr>
          <w:rFonts w:hint="eastAsia" w:hAnsi="宋体" w:eastAsia="宋体"/>
          <w:b/>
          <w:color w:val="auto"/>
        </w:rPr>
        <w:t>条  违约责任</w:t>
      </w:r>
    </w:p>
    <w:p w14:paraId="3F932EF2">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lang w:val="en-US" w:eastAsia="zh-CN"/>
        </w:rPr>
        <w:t>12</w:t>
      </w:r>
      <w:r>
        <w:rPr>
          <w:rFonts w:hint="eastAsia" w:ascii="宋体" w:hAnsi="宋体" w:eastAsia="宋体"/>
          <w:color w:val="auto"/>
          <w:sz w:val="24"/>
        </w:rPr>
        <w:t>.1乙方未在本合同约定时限和甲方要求完成服务，每逾期一日，按合同总金额万分之三的标准支付甲方违约金，甲方有权在应支付给乙方的价款中直接予以扣除。</w:t>
      </w:r>
    </w:p>
    <w:p w14:paraId="05874FC2">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Ansi="宋体" w:eastAsia="宋体"/>
          <w:color w:val="auto"/>
        </w:rPr>
      </w:pPr>
      <w:r>
        <w:rPr>
          <w:rFonts w:hint="eastAsia" w:ascii="宋体" w:hAnsi="宋体" w:eastAsia="宋体"/>
          <w:color w:val="auto"/>
          <w:sz w:val="24"/>
          <w:lang w:val="en-US" w:eastAsia="zh-CN"/>
        </w:rPr>
        <w:t>12</w:t>
      </w:r>
      <w:r>
        <w:rPr>
          <w:rFonts w:hint="eastAsia" w:ascii="宋体" w:hAnsi="宋体" w:eastAsia="宋体"/>
          <w:color w:val="auto"/>
          <w:sz w:val="24"/>
        </w:rPr>
        <w:t>.2如乙方单方解除合同或甲方因</w:t>
      </w:r>
      <w:r>
        <w:rPr>
          <w:rFonts w:hint="eastAsia" w:ascii="宋体" w:hAnsi="宋体" w:eastAsia="宋体"/>
          <w:color w:val="auto"/>
          <w:sz w:val="24"/>
          <w:lang w:val="en-US" w:eastAsia="zh-CN"/>
        </w:rPr>
        <w:t>11.2情形</w:t>
      </w:r>
      <w:r>
        <w:rPr>
          <w:rFonts w:hint="eastAsia" w:ascii="宋体" w:hAnsi="宋体" w:eastAsia="宋体"/>
          <w:color w:val="auto"/>
          <w:sz w:val="24"/>
        </w:rPr>
        <w:t>解除合同，</w:t>
      </w:r>
      <w:r>
        <w:rPr>
          <w:rFonts w:hint="eastAsia" w:ascii="宋体" w:hAnsi="宋体" w:eastAsia="宋体" w:cs="宋体"/>
          <w:color w:val="000000" w:themeColor="text1"/>
          <w:sz w:val="24"/>
          <w:highlight w:val="none"/>
          <w14:textFill>
            <w14:solidFill>
              <w14:schemeClr w14:val="tx1"/>
            </w14:solidFill>
          </w14:textFill>
        </w:rPr>
        <w:t>乙方应赔偿给甲方造成的</w:t>
      </w:r>
      <w:r>
        <w:rPr>
          <w:rFonts w:hint="eastAsia" w:ascii="宋体" w:hAnsi="宋体" w:eastAsia="宋体" w:cs="宋体"/>
          <w:color w:val="0000FF"/>
          <w:sz w:val="24"/>
          <w:highlight w:val="none"/>
        </w:rPr>
        <w:t>全部</w:t>
      </w:r>
      <w:r>
        <w:rPr>
          <w:rFonts w:hint="eastAsia" w:ascii="宋体" w:hAnsi="宋体" w:eastAsia="宋体" w:cs="宋体"/>
          <w:color w:val="000000" w:themeColor="text1"/>
          <w:sz w:val="24"/>
          <w:highlight w:val="none"/>
          <w14:textFill>
            <w14:solidFill>
              <w14:schemeClr w14:val="tx1"/>
            </w14:solidFill>
          </w14:textFill>
        </w:rPr>
        <w:t>经济损失</w:t>
      </w:r>
      <w:r>
        <w:rPr>
          <w:rFonts w:hint="eastAsia" w:ascii="宋体" w:hAnsi="宋体" w:eastAsia="宋体" w:cs="宋体"/>
          <w:color w:val="000000" w:themeColor="text1"/>
          <w:sz w:val="24"/>
          <w:highlight w:val="none"/>
          <w:lang w:val="en-US" w:eastAsia="zh-CN"/>
          <w14:textFill>
            <w14:solidFill>
              <w14:schemeClr w14:val="tx1"/>
            </w14:solidFill>
          </w14:textFill>
        </w:rPr>
        <w:t>外</w:t>
      </w:r>
      <w:r>
        <w:rPr>
          <w:rFonts w:hint="eastAsia" w:ascii="宋体" w:hAnsi="宋体" w:eastAsia="宋体"/>
          <w:color w:val="auto"/>
          <w:sz w:val="24"/>
        </w:rPr>
        <w:t>，还须按合同金额百分之十的标准支付甲方违约金，甲方有权在应支付乙方的价款中直接予以扣除。</w:t>
      </w:r>
    </w:p>
    <w:p w14:paraId="4D11BE45">
      <w:pPr>
        <w:keepNext w:val="0"/>
        <w:keepLines w:val="0"/>
        <w:pageBreakBefore w:val="0"/>
        <w:widowControl w:val="0"/>
        <w:kinsoku/>
        <w:wordWrap/>
        <w:overflowPunct/>
        <w:topLinePunct w:val="0"/>
        <w:autoSpaceDE/>
        <w:autoSpaceDN/>
        <w:bidi w:val="0"/>
        <w:spacing w:line="460" w:lineRule="exact"/>
        <w:ind w:firstLine="482" w:firstLineChars="200"/>
        <w:jc w:val="both"/>
        <w:textAlignment w:val="auto"/>
        <w:rPr>
          <w:rFonts w:hint="default" w:ascii="宋体" w:hAnsi="宋体" w:eastAsia="宋体"/>
          <w:color w:val="0000FF"/>
          <w:sz w:val="24"/>
          <w:lang w:val="en-US" w:eastAsia="zh-CN"/>
        </w:rPr>
      </w:pPr>
      <w:r>
        <w:rPr>
          <w:rFonts w:hint="eastAsia" w:ascii="宋体" w:hAnsi="宋体" w:eastAsia="宋体"/>
          <w:b/>
          <w:bCs/>
          <w:color w:val="0000FF"/>
          <w:sz w:val="24"/>
          <w:lang w:val="en-US" w:eastAsia="zh-CN"/>
        </w:rPr>
        <w:t>12.3</w:t>
      </w:r>
      <w:r>
        <w:rPr>
          <w:rFonts w:hint="eastAsia" w:ascii="宋体" w:hAnsi="宋体" w:eastAsia="宋体"/>
          <w:b/>
          <w:bCs/>
          <w:color w:val="0000FF"/>
          <w:sz w:val="24"/>
          <w:u w:val="single"/>
          <w:lang w:val="en-US" w:eastAsia="zh-CN"/>
        </w:rPr>
        <w:t>无论甲方在任意时候（不限于本合同履行期间）发现存在违反本合同廉洁条款的行为，乙方均须向甲方支付一次性惩罚性违约金9600元。如乙方除需承担违反廉洁条款的违约责任外，同时存在其他违约行为，乙方仍须就其他违约行为承担相应违约责任。</w:t>
      </w:r>
    </w:p>
    <w:p w14:paraId="4F41AE4C">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lang w:val="en-US" w:eastAsia="zh-CN"/>
        </w:rPr>
        <w:t>12.4</w:t>
      </w:r>
      <w:r>
        <w:rPr>
          <w:rFonts w:hint="eastAsia" w:ascii="宋体" w:hAnsi="宋体" w:eastAsia="宋体"/>
          <w:color w:val="auto"/>
          <w:sz w:val="24"/>
        </w:rPr>
        <w:t>一方违约导致另一方通过诉讼方式主张权利，守约方由此产生的诉讼费、律师费、财产保全费、评估鉴定费、执行费、拍卖费、差旅费等均由违约方承担。</w:t>
      </w:r>
    </w:p>
    <w:p w14:paraId="4D5A4B3B">
      <w:pPr>
        <w:pStyle w:val="5"/>
        <w:keepNext w:val="0"/>
        <w:keepLines w:val="0"/>
        <w:pageBreakBefore w:val="0"/>
        <w:widowControl w:val="0"/>
        <w:kinsoku/>
        <w:wordWrap/>
        <w:overflowPunct/>
        <w:topLinePunct w:val="0"/>
        <w:autoSpaceDE/>
        <w:autoSpaceDN/>
        <w:bidi w:val="0"/>
        <w:spacing w:line="460" w:lineRule="exact"/>
        <w:ind w:firstLine="482" w:firstLineChars="200"/>
        <w:jc w:val="both"/>
        <w:textAlignment w:val="auto"/>
        <w:rPr>
          <w:rFonts w:hAnsi="宋体" w:eastAsia="宋体"/>
          <w:b/>
          <w:color w:val="auto"/>
        </w:rPr>
      </w:pPr>
      <w:r>
        <w:rPr>
          <w:rFonts w:hint="eastAsia" w:hAnsi="宋体" w:eastAsia="宋体"/>
          <w:b/>
          <w:color w:val="auto"/>
        </w:rPr>
        <w:t>第十</w:t>
      </w:r>
      <w:r>
        <w:rPr>
          <w:rFonts w:hint="eastAsia" w:hAnsi="宋体" w:eastAsia="宋体"/>
          <w:b/>
          <w:color w:val="auto"/>
          <w:lang w:val="en-US" w:eastAsia="zh-CN"/>
        </w:rPr>
        <w:t>三</w:t>
      </w:r>
      <w:r>
        <w:rPr>
          <w:rFonts w:hint="eastAsia" w:hAnsi="宋体" w:eastAsia="宋体"/>
          <w:b/>
          <w:color w:val="auto"/>
        </w:rPr>
        <w:t>条  不可抗力</w:t>
      </w:r>
    </w:p>
    <w:p w14:paraId="68C6F9FB">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w:t>
      </w:r>
      <w:r>
        <w:rPr>
          <w:rFonts w:hint="eastAsia" w:ascii="宋体" w:hAnsi="宋体" w:eastAsia="宋体"/>
          <w:color w:val="auto"/>
          <w:sz w:val="24"/>
          <w:lang w:val="en-US" w:eastAsia="zh-CN"/>
        </w:rPr>
        <w:t>3</w:t>
      </w:r>
      <w:r>
        <w:rPr>
          <w:rFonts w:hint="eastAsia" w:ascii="宋体" w:hAnsi="宋体" w:eastAsia="宋体"/>
          <w:color w:val="auto"/>
          <w:sz w:val="24"/>
        </w:rPr>
        <w:t>.1 本合同所指不可抗力，是指不能预见、不能避免并不能克服的客观情况。</w:t>
      </w:r>
    </w:p>
    <w:p w14:paraId="0795FBDA">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w:t>
      </w:r>
      <w:r>
        <w:rPr>
          <w:rFonts w:hint="eastAsia" w:ascii="宋体" w:hAnsi="宋体" w:eastAsia="宋体"/>
          <w:color w:val="auto"/>
          <w:sz w:val="24"/>
          <w:lang w:val="en-US" w:eastAsia="zh-CN"/>
        </w:rPr>
        <w:t>3</w:t>
      </w:r>
      <w:r>
        <w:rPr>
          <w:rFonts w:hint="eastAsia" w:ascii="宋体" w:hAnsi="宋体" w:eastAsia="宋体"/>
          <w:color w:val="auto"/>
          <w:sz w:val="24"/>
        </w:rPr>
        <w:t xml:space="preserve">.2 由于不可抗力事件，致使一方在履行其在本合同项下的义务过程中遇到障碍或延误，不能按约定的条款全部或部分履行其义务的，遇到不可抗力事件的一方（“受阻方”），只要满足下列所有条件，不应视为违反本合同： </w:t>
      </w:r>
    </w:p>
    <w:p w14:paraId="56F218C4">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w:t>
      </w:r>
      <w:r>
        <w:rPr>
          <w:rFonts w:hint="eastAsia" w:ascii="宋体" w:hAnsi="宋体" w:eastAsia="宋体"/>
          <w:color w:val="auto"/>
          <w:sz w:val="24"/>
          <w:lang w:val="en-US" w:eastAsia="zh-CN"/>
        </w:rPr>
        <w:t>3</w:t>
      </w:r>
      <w:r>
        <w:rPr>
          <w:rFonts w:hint="eastAsia" w:ascii="宋体" w:hAnsi="宋体" w:eastAsia="宋体"/>
          <w:color w:val="auto"/>
          <w:sz w:val="24"/>
        </w:rPr>
        <w:t>.2.1 受阻方不能全部或部分履行其义务，是由于不可抗力事件直接造成的，且在不可抗力发生前受阻方不存在迟延履行相关义务的情形；</w:t>
      </w:r>
    </w:p>
    <w:p w14:paraId="1B914293">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w:t>
      </w:r>
      <w:r>
        <w:rPr>
          <w:rFonts w:hint="eastAsia" w:ascii="宋体" w:hAnsi="宋体" w:eastAsia="宋体"/>
          <w:color w:val="auto"/>
          <w:sz w:val="24"/>
          <w:lang w:val="en-US" w:eastAsia="zh-CN"/>
        </w:rPr>
        <w:t>3</w:t>
      </w:r>
      <w:r>
        <w:rPr>
          <w:rFonts w:hint="eastAsia" w:ascii="宋体" w:hAnsi="宋体" w:eastAsia="宋体"/>
          <w:color w:val="auto"/>
          <w:sz w:val="24"/>
        </w:rPr>
        <w:t>.2.2 受阻方已尽最大努力履行其义务并减少由于不可抗力事件给另一方造成的损失；</w:t>
      </w:r>
    </w:p>
    <w:p w14:paraId="0C0C9DC0">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w:t>
      </w:r>
      <w:r>
        <w:rPr>
          <w:rFonts w:hint="eastAsia" w:ascii="宋体" w:hAnsi="宋体" w:eastAsia="宋体"/>
          <w:color w:val="auto"/>
          <w:sz w:val="24"/>
          <w:lang w:val="en-US" w:eastAsia="zh-CN"/>
        </w:rPr>
        <w:t>3</w:t>
      </w:r>
      <w:r>
        <w:rPr>
          <w:rFonts w:hint="eastAsia" w:ascii="宋体" w:hAnsi="宋体" w:eastAsia="宋体"/>
          <w:color w:val="auto"/>
          <w:sz w:val="24"/>
        </w:rPr>
        <w:t>.2.3 不可抗力事件发生后，受阻方已及时通知了对方，并在不可抗力事件发生后的15日内提供有关该事件的证明和书面说明，书面说明中应包括对延迟履行或部分履行本合同的原因说明。</w:t>
      </w:r>
    </w:p>
    <w:p w14:paraId="6A3D2032">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w:t>
      </w:r>
      <w:r>
        <w:rPr>
          <w:rFonts w:hint="eastAsia" w:ascii="宋体" w:hAnsi="宋体" w:eastAsia="宋体"/>
          <w:color w:val="auto"/>
          <w:sz w:val="24"/>
          <w:lang w:val="en-US" w:eastAsia="zh-CN"/>
        </w:rPr>
        <w:t>3</w:t>
      </w:r>
      <w:r>
        <w:rPr>
          <w:rFonts w:hint="eastAsia" w:ascii="宋体" w:hAnsi="宋体" w:eastAsia="宋体"/>
          <w:color w:val="auto"/>
          <w:sz w:val="24"/>
        </w:rPr>
        <w:t>.3 不可抗力事件终止或被排除后，受阻方应继续履行本合同，并应尽快通知另一方。受阻方应可延长履行义务的时间，延长期应相当于不可抗力事件实际造成延误的时间。</w:t>
      </w:r>
    </w:p>
    <w:p w14:paraId="419E5C5E">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w:t>
      </w:r>
      <w:r>
        <w:rPr>
          <w:rFonts w:hint="eastAsia" w:ascii="宋体" w:hAnsi="宋体" w:eastAsia="宋体"/>
          <w:color w:val="auto"/>
          <w:sz w:val="24"/>
          <w:lang w:val="en-US" w:eastAsia="zh-CN"/>
        </w:rPr>
        <w:t>3</w:t>
      </w:r>
      <w:r>
        <w:rPr>
          <w:rFonts w:hint="eastAsia" w:ascii="宋体" w:hAnsi="宋体" w:eastAsia="宋体"/>
          <w:color w:val="auto"/>
          <w:sz w:val="24"/>
        </w:rPr>
        <w:t>.4 如果不可抗力事件的影响持续达30日或以上时，双方应根据该事件对本合同履行的影响程度协商对本合同的修改或终止。如在一方收到另一方发出的协商书面通知之日起10日内双方无法就此达成一致，任何一方均有权解除本合同而无需承担违约责任。</w:t>
      </w:r>
    </w:p>
    <w:p w14:paraId="10878778">
      <w:pPr>
        <w:keepNext w:val="0"/>
        <w:keepLines w:val="0"/>
        <w:pageBreakBefore w:val="0"/>
        <w:widowControl w:val="0"/>
        <w:kinsoku/>
        <w:wordWrap/>
        <w:overflowPunct/>
        <w:topLinePunct w:val="0"/>
        <w:autoSpaceDE/>
        <w:autoSpaceDN/>
        <w:bidi w:val="0"/>
        <w:spacing w:line="460" w:lineRule="exact"/>
        <w:ind w:firstLine="482" w:firstLineChars="200"/>
        <w:jc w:val="both"/>
        <w:textAlignment w:val="auto"/>
        <w:rPr>
          <w:rFonts w:ascii="宋体" w:hAnsi="宋体" w:eastAsia="宋体"/>
          <w:b/>
          <w:color w:val="auto"/>
          <w:sz w:val="24"/>
        </w:rPr>
      </w:pPr>
      <w:r>
        <w:rPr>
          <w:rFonts w:hint="eastAsia" w:ascii="宋体" w:hAnsi="宋体" w:eastAsia="宋体"/>
          <w:b/>
          <w:color w:val="auto"/>
          <w:sz w:val="24"/>
        </w:rPr>
        <w:t>第十</w:t>
      </w:r>
      <w:r>
        <w:rPr>
          <w:rFonts w:hint="eastAsia" w:ascii="宋体" w:hAnsi="宋体" w:eastAsia="宋体"/>
          <w:b/>
          <w:color w:val="auto"/>
          <w:sz w:val="24"/>
          <w:lang w:val="en-US" w:eastAsia="zh-CN"/>
        </w:rPr>
        <w:t>四</w:t>
      </w:r>
      <w:r>
        <w:rPr>
          <w:rFonts w:hint="eastAsia" w:ascii="宋体" w:hAnsi="宋体" w:eastAsia="宋体"/>
          <w:b/>
          <w:color w:val="auto"/>
          <w:sz w:val="24"/>
        </w:rPr>
        <w:t>条  法律适用和争议解决</w:t>
      </w:r>
    </w:p>
    <w:p w14:paraId="211189F4">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w:t>
      </w:r>
      <w:r>
        <w:rPr>
          <w:rFonts w:hint="eastAsia" w:ascii="宋体" w:hAnsi="宋体" w:eastAsia="宋体"/>
          <w:color w:val="auto"/>
          <w:sz w:val="24"/>
          <w:lang w:val="en-US" w:eastAsia="zh-CN"/>
        </w:rPr>
        <w:t>4</w:t>
      </w:r>
      <w:r>
        <w:rPr>
          <w:rFonts w:hint="eastAsia" w:ascii="宋体" w:hAnsi="宋体" w:eastAsia="宋体"/>
          <w:color w:val="auto"/>
          <w:sz w:val="24"/>
        </w:rPr>
        <w:t>.1 本合同的成立、有效性、解释、履行、签署、修订和终止以及争议的解决均应适用中华人民共和国法律。</w:t>
      </w:r>
    </w:p>
    <w:p w14:paraId="09B3B210">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w:t>
      </w:r>
      <w:r>
        <w:rPr>
          <w:rFonts w:hint="eastAsia" w:ascii="宋体" w:hAnsi="宋体" w:eastAsia="宋体"/>
          <w:color w:val="auto"/>
          <w:sz w:val="24"/>
          <w:lang w:val="en-US" w:eastAsia="zh-CN"/>
        </w:rPr>
        <w:t>4</w:t>
      </w:r>
      <w:r>
        <w:rPr>
          <w:rFonts w:hint="eastAsia" w:ascii="宋体" w:hAnsi="宋体" w:eastAsia="宋体"/>
          <w:color w:val="auto"/>
          <w:sz w:val="24"/>
        </w:rPr>
        <w:t>.2</w:t>
      </w:r>
      <w:r>
        <w:rPr>
          <w:rFonts w:ascii="宋体" w:hAnsi="宋体" w:eastAsia="宋体"/>
          <w:color w:val="auto"/>
          <w:sz w:val="24"/>
        </w:rPr>
        <w:t xml:space="preserve"> </w:t>
      </w:r>
      <w:r>
        <w:rPr>
          <w:rFonts w:hint="eastAsia" w:ascii="宋体" w:hAnsi="宋体" w:eastAsia="宋体"/>
          <w:color w:val="auto"/>
          <w:sz w:val="24"/>
        </w:rPr>
        <w:t>如双方在履行本合同过程中发生争议，双方通过协商不能解决争议，任何一方可向甲方所在地有管辖权的人民法院提起诉讼解决。</w:t>
      </w:r>
    </w:p>
    <w:p w14:paraId="58CEC8C1">
      <w:pPr>
        <w:keepNext w:val="0"/>
        <w:keepLines w:val="0"/>
        <w:pageBreakBefore w:val="0"/>
        <w:widowControl w:val="0"/>
        <w:kinsoku/>
        <w:wordWrap/>
        <w:overflowPunct/>
        <w:topLinePunct w:val="0"/>
        <w:autoSpaceDE/>
        <w:autoSpaceDN/>
        <w:bidi w:val="0"/>
        <w:spacing w:line="460" w:lineRule="exact"/>
        <w:ind w:firstLine="482" w:firstLineChars="200"/>
        <w:jc w:val="both"/>
        <w:textAlignment w:val="auto"/>
        <w:rPr>
          <w:rFonts w:ascii="宋体" w:hAnsi="宋体" w:eastAsia="宋体"/>
          <w:b/>
          <w:color w:val="auto"/>
          <w:sz w:val="24"/>
        </w:rPr>
      </w:pPr>
      <w:r>
        <w:rPr>
          <w:rFonts w:hint="eastAsia" w:ascii="宋体" w:hAnsi="宋体" w:eastAsia="宋体"/>
          <w:b/>
          <w:color w:val="auto"/>
          <w:sz w:val="24"/>
        </w:rPr>
        <w:t>第十</w:t>
      </w:r>
      <w:r>
        <w:rPr>
          <w:rFonts w:hint="eastAsia" w:ascii="宋体" w:hAnsi="宋体" w:eastAsia="宋体"/>
          <w:b/>
          <w:color w:val="auto"/>
          <w:sz w:val="24"/>
          <w:lang w:val="en-US" w:eastAsia="zh-CN"/>
        </w:rPr>
        <w:t>五</w:t>
      </w:r>
      <w:r>
        <w:rPr>
          <w:rFonts w:hint="eastAsia" w:ascii="宋体" w:hAnsi="宋体" w:eastAsia="宋体"/>
          <w:b/>
          <w:color w:val="auto"/>
          <w:sz w:val="24"/>
        </w:rPr>
        <w:t>条  附则</w:t>
      </w:r>
    </w:p>
    <w:p w14:paraId="58E843DC">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w:t>
      </w:r>
      <w:r>
        <w:rPr>
          <w:rFonts w:hint="eastAsia" w:ascii="宋体" w:hAnsi="宋体" w:eastAsia="宋体"/>
          <w:color w:val="auto"/>
          <w:sz w:val="24"/>
          <w:lang w:val="en-US" w:eastAsia="zh-CN"/>
        </w:rPr>
        <w:t>5</w:t>
      </w:r>
      <w:r>
        <w:rPr>
          <w:rFonts w:hint="eastAsia" w:ascii="宋体" w:hAnsi="宋体" w:eastAsia="宋体"/>
          <w:color w:val="auto"/>
          <w:sz w:val="24"/>
        </w:rPr>
        <w:t>.1 本合同未尽事宜，双方另行协商签订补充协议。</w:t>
      </w:r>
    </w:p>
    <w:p w14:paraId="37F883D2">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ascii="宋体" w:hAnsi="宋体" w:eastAsia="宋体"/>
          <w:color w:val="auto"/>
          <w:sz w:val="24"/>
        </w:rPr>
      </w:pPr>
      <w:r>
        <w:rPr>
          <w:rFonts w:hint="eastAsia" w:ascii="宋体" w:hAnsi="宋体" w:eastAsia="宋体"/>
          <w:color w:val="auto"/>
          <w:sz w:val="24"/>
        </w:rPr>
        <w:t>1</w:t>
      </w:r>
      <w:r>
        <w:rPr>
          <w:rFonts w:hint="eastAsia" w:ascii="宋体" w:hAnsi="宋体" w:eastAsia="宋体"/>
          <w:color w:val="auto"/>
          <w:sz w:val="24"/>
          <w:lang w:val="en-US" w:eastAsia="zh-CN"/>
        </w:rPr>
        <w:t>5</w:t>
      </w:r>
      <w:r>
        <w:rPr>
          <w:rFonts w:hint="eastAsia" w:ascii="宋体" w:hAnsi="宋体" w:eastAsia="宋体"/>
          <w:color w:val="auto"/>
          <w:sz w:val="24"/>
        </w:rPr>
        <w:t>.2本合同组成文件及解释顺序如下：乙方在履行本合同中的承诺；本合同补充协议；本合同及附件；成交公告、采购文件、响应文件；与本合同相关的其他文件资料。</w:t>
      </w:r>
    </w:p>
    <w:p w14:paraId="63F39282">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eastAsia="宋体"/>
          <w:b/>
          <w:bCs/>
          <w:color w:val="auto"/>
          <w:sz w:val="24"/>
          <w:szCs w:val="24"/>
        </w:rPr>
      </w:pPr>
      <w:r>
        <w:rPr>
          <w:rFonts w:hint="eastAsia" w:ascii="宋体" w:hAnsi="宋体" w:eastAsia="宋体"/>
          <w:color w:val="auto"/>
          <w:sz w:val="24"/>
        </w:rPr>
        <w:t>1</w:t>
      </w:r>
      <w:r>
        <w:rPr>
          <w:rFonts w:hint="eastAsia" w:ascii="宋体" w:hAnsi="宋体" w:eastAsia="宋体"/>
          <w:color w:val="auto"/>
          <w:sz w:val="24"/>
          <w:lang w:val="en-US" w:eastAsia="zh-CN"/>
        </w:rPr>
        <w:t>5</w:t>
      </w:r>
      <w:r>
        <w:rPr>
          <w:rFonts w:hint="eastAsia" w:ascii="宋体" w:hAnsi="宋体" w:eastAsia="宋体"/>
          <w:color w:val="auto"/>
          <w:sz w:val="24"/>
        </w:rPr>
        <w:t>.3</w:t>
      </w:r>
      <w:r>
        <w:rPr>
          <w:rFonts w:hint="eastAsia" w:ascii="宋体" w:hAnsi="宋体" w:eastAsia="宋体"/>
          <w:color w:val="auto"/>
          <w:sz w:val="24"/>
          <w:szCs w:val="24"/>
        </w:rPr>
        <w:t>本合同壹式</w:t>
      </w:r>
      <w:r>
        <w:rPr>
          <w:rFonts w:hint="eastAsia" w:ascii="宋体" w:hAnsi="宋体" w:eastAsia="宋体"/>
          <w:color w:val="auto"/>
          <w:sz w:val="24"/>
          <w:szCs w:val="24"/>
          <w:lang w:val="en-US" w:eastAsia="zh-CN"/>
        </w:rPr>
        <w:t>伍</w:t>
      </w:r>
      <w:r>
        <w:rPr>
          <w:rFonts w:hint="eastAsia" w:ascii="宋体" w:hAnsi="宋体" w:eastAsia="宋体"/>
          <w:color w:val="auto"/>
          <w:sz w:val="24"/>
          <w:szCs w:val="24"/>
        </w:rPr>
        <w:t>份，甲方执</w:t>
      </w:r>
      <w:r>
        <w:rPr>
          <w:rFonts w:hint="eastAsia" w:ascii="宋体" w:hAnsi="宋体" w:eastAsia="宋体"/>
          <w:color w:val="auto"/>
          <w:sz w:val="24"/>
          <w:szCs w:val="24"/>
          <w:lang w:val="en-US" w:eastAsia="zh-CN"/>
        </w:rPr>
        <w:t>肆</w:t>
      </w:r>
      <w:r>
        <w:rPr>
          <w:rFonts w:hint="eastAsia" w:ascii="宋体" w:hAnsi="宋体" w:eastAsia="宋体"/>
          <w:color w:val="auto"/>
          <w:sz w:val="24"/>
          <w:szCs w:val="24"/>
        </w:rPr>
        <w:t>份，乙方执壹份，自双方签字并盖章之日起生效。</w:t>
      </w:r>
    </w:p>
    <w:p w14:paraId="04C6F830">
      <w:pPr>
        <w:spacing w:line="360" w:lineRule="exact"/>
        <w:rPr>
          <w:rFonts w:ascii="宋体" w:hAnsi="宋体" w:eastAsia="宋体"/>
          <w:color w:val="auto"/>
          <w:sz w:val="24"/>
        </w:rPr>
      </w:pPr>
    </w:p>
    <w:p w14:paraId="2CDD2B9C">
      <w:pPr>
        <w:spacing w:line="360" w:lineRule="exact"/>
        <w:jc w:val="center"/>
        <w:rPr>
          <w:rFonts w:hAnsi="宋体" w:eastAsia="宋体"/>
          <w:color w:val="auto"/>
        </w:rPr>
      </w:pPr>
      <w:r>
        <w:rPr>
          <w:rFonts w:hint="eastAsia" w:ascii="宋体" w:hAnsi="宋体" w:eastAsia="宋体"/>
          <w:b/>
          <w:color w:val="auto"/>
          <w:sz w:val="24"/>
        </w:rPr>
        <w:t>本行以下无正文</w:t>
      </w:r>
    </w:p>
    <w:p w14:paraId="0AF11D7D">
      <w:pPr>
        <w:spacing w:line="360" w:lineRule="exact"/>
        <w:rPr>
          <w:rFonts w:ascii="宋体" w:hAnsi="宋体" w:eastAsia="宋体"/>
          <w:color w:val="auto"/>
          <w:sz w:val="24"/>
        </w:rPr>
      </w:pPr>
      <w:r>
        <w:rPr>
          <w:rFonts w:hint="eastAsia" w:ascii="宋体" w:hAnsi="宋体" w:eastAsia="宋体"/>
          <w:color w:val="auto"/>
          <w:sz w:val="24"/>
        </w:rPr>
        <w:t xml:space="preserve"> </w:t>
      </w:r>
      <w:r>
        <w:rPr>
          <w:rFonts w:ascii="宋体" w:hAnsi="宋体" w:eastAsia="宋体"/>
          <w:color w:val="auto"/>
          <w:sz w:val="24"/>
        </w:rPr>
        <w:t xml:space="preserve">                </w:t>
      </w:r>
    </w:p>
    <w:tbl>
      <w:tblPr>
        <w:tblStyle w:val="13"/>
        <w:tblW w:w="9390" w:type="dxa"/>
        <w:tblInd w:w="-318" w:type="dxa"/>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Layout w:type="fixed"/>
        <w:tblCellMar>
          <w:top w:w="0" w:type="dxa"/>
          <w:left w:w="108" w:type="dxa"/>
          <w:bottom w:w="0" w:type="dxa"/>
          <w:right w:w="108" w:type="dxa"/>
        </w:tblCellMar>
      </w:tblPr>
      <w:tblGrid>
        <w:gridCol w:w="4821"/>
        <w:gridCol w:w="4569"/>
      </w:tblGrid>
      <w:tr w14:paraId="5A48C393">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108" w:type="dxa"/>
            <w:bottom w:w="0" w:type="dxa"/>
            <w:right w:w="108" w:type="dxa"/>
          </w:tblCellMar>
        </w:tblPrEx>
        <w:trPr>
          <w:trHeight w:val="607" w:hRule="atLeast"/>
        </w:trPr>
        <w:tc>
          <w:tcPr>
            <w:tcW w:w="4821" w:type="dxa"/>
            <w:vAlign w:val="center"/>
          </w:tcPr>
          <w:p w14:paraId="15A8DBBC">
            <w:pPr>
              <w:pStyle w:val="5"/>
              <w:jc w:val="both"/>
              <w:rPr>
                <w:rFonts w:hAnsi="宋体" w:eastAsia="宋体"/>
                <w:color w:val="auto"/>
              </w:rPr>
            </w:pPr>
            <w:r>
              <w:rPr>
                <w:rFonts w:hint="eastAsia" w:hAnsi="宋体" w:eastAsia="宋体"/>
                <w:color w:val="auto"/>
              </w:rPr>
              <w:t>甲方（盖章）：娄底市中心医院</w:t>
            </w:r>
          </w:p>
          <w:p w14:paraId="6EEC62E7">
            <w:pPr>
              <w:pStyle w:val="5"/>
              <w:jc w:val="both"/>
              <w:rPr>
                <w:rFonts w:hAnsi="宋体" w:eastAsia="宋体"/>
                <w:color w:val="auto"/>
              </w:rPr>
            </w:pPr>
          </w:p>
          <w:p w14:paraId="7EF737C3">
            <w:pPr>
              <w:pStyle w:val="5"/>
              <w:jc w:val="both"/>
              <w:rPr>
                <w:rFonts w:hAnsi="宋体" w:eastAsia="宋体"/>
                <w:color w:val="auto"/>
              </w:rPr>
            </w:pPr>
          </w:p>
          <w:p w14:paraId="183C1DF7">
            <w:pPr>
              <w:pStyle w:val="5"/>
              <w:jc w:val="both"/>
              <w:rPr>
                <w:rFonts w:hAnsi="宋体" w:eastAsia="宋体"/>
                <w:color w:val="auto"/>
              </w:rPr>
            </w:pPr>
          </w:p>
        </w:tc>
        <w:tc>
          <w:tcPr>
            <w:tcW w:w="4569" w:type="dxa"/>
            <w:vAlign w:val="center"/>
          </w:tcPr>
          <w:p w14:paraId="6421D410">
            <w:pPr>
              <w:spacing w:line="360" w:lineRule="exact"/>
              <w:rPr>
                <w:rFonts w:ascii="宋体" w:hAnsi="宋体" w:eastAsia="宋体"/>
                <w:color w:val="auto"/>
                <w:sz w:val="24"/>
              </w:rPr>
            </w:pPr>
            <w:r>
              <w:rPr>
                <w:rFonts w:hint="eastAsia" w:ascii="宋体" w:hAnsi="宋体" w:eastAsia="宋体"/>
                <w:color w:val="auto"/>
                <w:sz w:val="24"/>
              </w:rPr>
              <w:t>乙方（盖章）：杭州火树科技有限公司</w:t>
            </w:r>
          </w:p>
          <w:p w14:paraId="5AD4DC25">
            <w:pPr>
              <w:spacing w:line="360" w:lineRule="exact"/>
              <w:rPr>
                <w:rFonts w:ascii="宋体" w:hAnsi="宋体" w:eastAsia="宋体"/>
                <w:color w:val="auto"/>
                <w:sz w:val="24"/>
              </w:rPr>
            </w:pPr>
          </w:p>
          <w:p w14:paraId="32F425AB">
            <w:pPr>
              <w:spacing w:line="360" w:lineRule="exact"/>
              <w:rPr>
                <w:rFonts w:ascii="宋体" w:hAnsi="宋体" w:eastAsia="宋体"/>
                <w:color w:val="auto"/>
                <w:sz w:val="24"/>
              </w:rPr>
            </w:pPr>
          </w:p>
          <w:p w14:paraId="743EDA6B">
            <w:pPr>
              <w:spacing w:line="360" w:lineRule="exact"/>
              <w:rPr>
                <w:rFonts w:ascii="宋体" w:hAnsi="宋体" w:eastAsia="宋体"/>
                <w:color w:val="auto"/>
                <w:sz w:val="24"/>
              </w:rPr>
            </w:pPr>
          </w:p>
        </w:tc>
      </w:tr>
      <w:tr w14:paraId="2B51CFDA">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108" w:type="dxa"/>
            <w:bottom w:w="0" w:type="dxa"/>
            <w:right w:w="108" w:type="dxa"/>
          </w:tblCellMar>
        </w:tblPrEx>
        <w:trPr>
          <w:trHeight w:val="607" w:hRule="atLeast"/>
        </w:trPr>
        <w:tc>
          <w:tcPr>
            <w:tcW w:w="4821" w:type="dxa"/>
            <w:vAlign w:val="center"/>
          </w:tcPr>
          <w:p w14:paraId="458CF882">
            <w:pPr>
              <w:pStyle w:val="5"/>
              <w:jc w:val="both"/>
              <w:rPr>
                <w:rFonts w:hAnsi="宋体" w:eastAsia="宋体"/>
                <w:color w:val="auto"/>
              </w:rPr>
            </w:pPr>
            <w:r>
              <w:rPr>
                <w:rFonts w:hint="eastAsia" w:hAnsi="宋体" w:eastAsia="宋体"/>
                <w:color w:val="auto"/>
              </w:rPr>
              <w:t>法定代表人（签字）：</w:t>
            </w:r>
          </w:p>
          <w:p w14:paraId="5FCB9EE9">
            <w:pPr>
              <w:pStyle w:val="5"/>
              <w:jc w:val="both"/>
              <w:rPr>
                <w:rFonts w:hAnsi="宋体" w:eastAsia="宋体"/>
                <w:color w:val="auto"/>
              </w:rPr>
            </w:pPr>
          </w:p>
          <w:p w14:paraId="39518CA1">
            <w:pPr>
              <w:pStyle w:val="5"/>
              <w:jc w:val="both"/>
              <w:rPr>
                <w:rFonts w:hAnsi="宋体" w:eastAsia="宋体"/>
                <w:color w:val="auto"/>
              </w:rPr>
            </w:pPr>
          </w:p>
          <w:p w14:paraId="545455AE">
            <w:pPr>
              <w:pStyle w:val="5"/>
              <w:jc w:val="both"/>
              <w:rPr>
                <w:rFonts w:hAnsi="宋体" w:eastAsia="宋体"/>
                <w:color w:val="auto"/>
              </w:rPr>
            </w:pPr>
          </w:p>
          <w:p w14:paraId="46A80A29">
            <w:pPr>
              <w:pStyle w:val="5"/>
              <w:jc w:val="both"/>
              <w:rPr>
                <w:rFonts w:hAnsi="宋体" w:eastAsia="宋体"/>
                <w:color w:val="auto"/>
              </w:rPr>
            </w:pPr>
            <w:r>
              <w:rPr>
                <w:rFonts w:hint="eastAsia" w:hAnsi="宋体" w:eastAsia="宋体"/>
                <w:color w:val="auto"/>
              </w:rPr>
              <w:t xml:space="preserve">或委托代理人（签字）：    </w:t>
            </w:r>
          </w:p>
          <w:p w14:paraId="2AFCC8A1">
            <w:pPr>
              <w:pStyle w:val="5"/>
              <w:jc w:val="both"/>
              <w:rPr>
                <w:rFonts w:hAnsi="宋体" w:eastAsia="宋体"/>
                <w:color w:val="auto"/>
              </w:rPr>
            </w:pPr>
          </w:p>
          <w:p w14:paraId="60578C92">
            <w:pPr>
              <w:pStyle w:val="5"/>
              <w:jc w:val="both"/>
              <w:rPr>
                <w:rFonts w:hAnsi="宋体" w:eastAsia="宋体"/>
                <w:color w:val="auto"/>
              </w:rPr>
            </w:pPr>
          </w:p>
          <w:p w14:paraId="5F92D5AE">
            <w:pPr>
              <w:pStyle w:val="5"/>
              <w:jc w:val="both"/>
              <w:rPr>
                <w:rFonts w:hAnsi="宋体" w:eastAsia="宋体"/>
                <w:color w:val="auto"/>
              </w:rPr>
            </w:pPr>
          </w:p>
        </w:tc>
        <w:tc>
          <w:tcPr>
            <w:tcW w:w="4569" w:type="dxa"/>
            <w:vAlign w:val="center"/>
          </w:tcPr>
          <w:p w14:paraId="3C047EF4">
            <w:pPr>
              <w:pStyle w:val="5"/>
              <w:jc w:val="both"/>
              <w:rPr>
                <w:rFonts w:hAnsi="宋体" w:eastAsia="宋体"/>
                <w:color w:val="auto"/>
              </w:rPr>
            </w:pPr>
            <w:r>
              <w:rPr>
                <w:rFonts w:hint="eastAsia" w:hAnsi="宋体" w:eastAsia="宋体"/>
                <w:color w:val="auto"/>
              </w:rPr>
              <w:t>法定代表人（签字）：</w:t>
            </w:r>
          </w:p>
          <w:p w14:paraId="20793F90">
            <w:pPr>
              <w:pStyle w:val="5"/>
              <w:jc w:val="both"/>
              <w:rPr>
                <w:rFonts w:hAnsi="宋体" w:eastAsia="宋体"/>
                <w:color w:val="auto"/>
              </w:rPr>
            </w:pPr>
          </w:p>
          <w:p w14:paraId="66A1BEDD">
            <w:pPr>
              <w:pStyle w:val="5"/>
              <w:jc w:val="both"/>
              <w:rPr>
                <w:rFonts w:hAnsi="宋体" w:eastAsia="宋体"/>
                <w:color w:val="auto"/>
              </w:rPr>
            </w:pPr>
          </w:p>
          <w:p w14:paraId="0DA51820">
            <w:pPr>
              <w:pStyle w:val="5"/>
              <w:jc w:val="both"/>
              <w:rPr>
                <w:rFonts w:hAnsi="宋体" w:eastAsia="宋体"/>
                <w:color w:val="auto"/>
              </w:rPr>
            </w:pPr>
          </w:p>
          <w:p w14:paraId="48390710">
            <w:pPr>
              <w:pStyle w:val="5"/>
              <w:jc w:val="both"/>
              <w:rPr>
                <w:rFonts w:hAnsi="宋体" w:eastAsia="宋体"/>
                <w:color w:val="auto"/>
              </w:rPr>
            </w:pPr>
            <w:r>
              <w:rPr>
                <w:rFonts w:hint="eastAsia" w:hAnsi="宋体" w:eastAsia="宋体"/>
                <w:color w:val="auto"/>
              </w:rPr>
              <w:t xml:space="preserve">或委托代理人（签字）：    </w:t>
            </w:r>
          </w:p>
          <w:p w14:paraId="551E548D">
            <w:pPr>
              <w:pStyle w:val="5"/>
              <w:jc w:val="both"/>
              <w:rPr>
                <w:rFonts w:hAnsi="宋体" w:eastAsia="宋体"/>
                <w:color w:val="auto"/>
              </w:rPr>
            </w:pPr>
          </w:p>
          <w:p w14:paraId="39084753">
            <w:pPr>
              <w:pStyle w:val="5"/>
              <w:jc w:val="both"/>
              <w:rPr>
                <w:rFonts w:hAnsi="宋体" w:eastAsia="宋体"/>
                <w:color w:val="auto"/>
              </w:rPr>
            </w:pPr>
          </w:p>
          <w:p w14:paraId="2FC2EF51">
            <w:pPr>
              <w:pStyle w:val="5"/>
              <w:jc w:val="both"/>
              <w:rPr>
                <w:rFonts w:hAnsi="宋体" w:eastAsia="宋体"/>
                <w:color w:val="auto"/>
              </w:rPr>
            </w:pPr>
          </w:p>
        </w:tc>
      </w:tr>
      <w:tr w14:paraId="0F7653BB">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108" w:type="dxa"/>
            <w:bottom w:w="0" w:type="dxa"/>
            <w:right w:w="108" w:type="dxa"/>
          </w:tblCellMar>
        </w:tblPrEx>
        <w:trPr>
          <w:trHeight w:val="607" w:hRule="atLeast"/>
        </w:trPr>
        <w:tc>
          <w:tcPr>
            <w:tcW w:w="4821" w:type="dxa"/>
            <w:vAlign w:val="center"/>
          </w:tcPr>
          <w:p w14:paraId="50386087">
            <w:pPr>
              <w:pStyle w:val="5"/>
              <w:jc w:val="both"/>
              <w:rPr>
                <w:rFonts w:hAnsi="宋体" w:eastAsia="宋体"/>
                <w:color w:val="auto"/>
              </w:rPr>
            </w:pPr>
            <w:r>
              <w:rPr>
                <w:rFonts w:hint="eastAsia" w:hAnsi="宋体" w:eastAsia="宋体"/>
                <w:color w:val="auto"/>
              </w:rPr>
              <w:t>签署地点：娄底市娄星区</w:t>
            </w:r>
          </w:p>
        </w:tc>
        <w:tc>
          <w:tcPr>
            <w:tcW w:w="4569" w:type="dxa"/>
            <w:vAlign w:val="center"/>
          </w:tcPr>
          <w:p w14:paraId="7FAC210D">
            <w:pPr>
              <w:pStyle w:val="5"/>
              <w:jc w:val="both"/>
              <w:rPr>
                <w:rFonts w:hAnsi="宋体" w:eastAsia="宋体"/>
                <w:color w:val="auto"/>
              </w:rPr>
            </w:pPr>
            <w:r>
              <w:rPr>
                <w:rFonts w:hint="eastAsia" w:hAnsi="宋体" w:eastAsia="宋体"/>
                <w:color w:val="auto"/>
              </w:rPr>
              <w:t>签署日期：    年  月  日</w:t>
            </w:r>
          </w:p>
        </w:tc>
      </w:tr>
    </w:tbl>
    <w:p w14:paraId="41DA7E54">
      <w:pPr>
        <w:widowControl/>
        <w:rPr>
          <w:rFonts w:ascii="宋体" w:hAnsi="宋体" w:eastAsia="宋体"/>
          <w:color w:val="auto"/>
          <w:sz w:val="24"/>
        </w:rPr>
      </w:pPr>
    </w:p>
    <w:p w14:paraId="0625ADBC">
      <w:pPr>
        <w:widowControl/>
        <w:rPr>
          <w:rFonts w:ascii="宋体" w:hAnsi="宋体" w:eastAsia="宋体"/>
          <w:color w:val="auto"/>
          <w:sz w:val="24"/>
        </w:rPr>
      </w:pPr>
    </w:p>
    <w:p w14:paraId="4F6FFF75">
      <w:pPr>
        <w:spacing w:line="360" w:lineRule="exact"/>
        <w:rPr>
          <w:rFonts w:ascii="宋体" w:hAnsi="宋体" w:eastAsia="宋体"/>
          <w:b/>
          <w:color w:val="auto"/>
          <w:sz w:val="24"/>
        </w:rPr>
      </w:pPr>
    </w:p>
    <w:p w14:paraId="7CA32BEE">
      <w:pPr>
        <w:spacing w:line="360" w:lineRule="exact"/>
        <w:rPr>
          <w:rFonts w:ascii="宋体" w:hAnsi="宋体" w:eastAsia="宋体"/>
          <w:b/>
          <w:color w:val="auto"/>
          <w:sz w:val="24"/>
        </w:rPr>
      </w:pPr>
    </w:p>
    <w:p w14:paraId="4A5C4B64">
      <w:pPr>
        <w:spacing w:line="360" w:lineRule="exact"/>
        <w:rPr>
          <w:rFonts w:ascii="宋体" w:hAnsi="宋体" w:eastAsia="宋体"/>
          <w:b/>
          <w:color w:val="auto"/>
          <w:sz w:val="24"/>
        </w:rPr>
      </w:pPr>
    </w:p>
    <w:p w14:paraId="60145318">
      <w:pPr>
        <w:spacing w:line="360" w:lineRule="exact"/>
        <w:rPr>
          <w:rFonts w:ascii="宋体" w:hAnsi="宋体" w:eastAsia="宋体"/>
          <w:b/>
          <w:color w:val="auto"/>
          <w:sz w:val="24"/>
        </w:rPr>
      </w:pPr>
    </w:p>
    <w:p w14:paraId="5D94CE97">
      <w:pPr>
        <w:spacing w:line="360" w:lineRule="exact"/>
        <w:rPr>
          <w:rFonts w:ascii="宋体" w:hAnsi="宋体" w:eastAsia="宋体"/>
          <w:b/>
          <w:color w:val="auto"/>
          <w:sz w:val="24"/>
        </w:rPr>
      </w:pPr>
    </w:p>
    <w:p w14:paraId="7495918E">
      <w:pPr>
        <w:spacing w:line="360" w:lineRule="exact"/>
        <w:rPr>
          <w:rFonts w:ascii="宋体" w:hAnsi="宋体" w:eastAsia="宋体"/>
          <w:b/>
          <w:color w:val="auto"/>
          <w:sz w:val="24"/>
        </w:rPr>
      </w:pPr>
    </w:p>
    <w:p w14:paraId="5CB87CD8">
      <w:pPr>
        <w:spacing w:line="360" w:lineRule="exact"/>
        <w:rPr>
          <w:rFonts w:ascii="宋体" w:hAnsi="宋体" w:eastAsia="宋体"/>
          <w:b/>
          <w:color w:val="auto"/>
          <w:sz w:val="24"/>
        </w:rPr>
      </w:pPr>
    </w:p>
    <w:p w14:paraId="6B8A7A04">
      <w:pPr>
        <w:spacing w:line="360" w:lineRule="exact"/>
        <w:rPr>
          <w:rFonts w:ascii="宋体" w:hAnsi="宋体" w:eastAsia="宋体"/>
          <w:b/>
          <w:color w:val="auto"/>
          <w:sz w:val="24"/>
        </w:rPr>
      </w:pPr>
    </w:p>
    <w:p w14:paraId="010250CC">
      <w:pPr>
        <w:spacing w:line="360" w:lineRule="exact"/>
        <w:rPr>
          <w:rFonts w:ascii="宋体" w:hAnsi="宋体" w:eastAsia="宋体"/>
          <w:b/>
          <w:color w:val="auto"/>
          <w:sz w:val="24"/>
        </w:rPr>
      </w:pPr>
    </w:p>
    <w:p w14:paraId="2C1850CA">
      <w:pPr>
        <w:spacing w:line="360" w:lineRule="exact"/>
        <w:rPr>
          <w:rFonts w:ascii="宋体" w:hAnsi="宋体" w:eastAsia="宋体"/>
          <w:b/>
          <w:color w:val="auto"/>
          <w:sz w:val="24"/>
        </w:rPr>
      </w:pPr>
    </w:p>
    <w:p w14:paraId="0E885510">
      <w:pPr>
        <w:spacing w:line="360" w:lineRule="exact"/>
        <w:rPr>
          <w:rFonts w:ascii="宋体" w:hAnsi="宋体" w:eastAsia="宋体"/>
          <w:b/>
          <w:color w:val="auto"/>
          <w:sz w:val="24"/>
        </w:rPr>
      </w:pPr>
    </w:p>
    <w:p w14:paraId="33E84E5D">
      <w:pPr>
        <w:spacing w:line="360" w:lineRule="exact"/>
        <w:rPr>
          <w:rFonts w:ascii="宋体" w:hAnsi="宋体" w:eastAsia="宋体"/>
          <w:b/>
          <w:color w:val="auto"/>
          <w:sz w:val="24"/>
        </w:rPr>
      </w:pPr>
    </w:p>
    <w:p w14:paraId="5A3AB907">
      <w:pPr>
        <w:spacing w:line="360" w:lineRule="exact"/>
        <w:rPr>
          <w:rFonts w:ascii="宋体" w:hAnsi="宋体" w:eastAsia="宋体"/>
          <w:b/>
          <w:color w:val="auto"/>
          <w:sz w:val="24"/>
        </w:rPr>
      </w:pPr>
    </w:p>
    <w:p w14:paraId="28B860BC">
      <w:pPr>
        <w:spacing w:line="360" w:lineRule="exact"/>
        <w:rPr>
          <w:rFonts w:hint="eastAsia" w:ascii="宋体" w:hAnsi="宋体" w:eastAsia="宋体"/>
          <w:b/>
          <w:color w:val="auto"/>
          <w:sz w:val="24"/>
          <w:lang w:val="en-US" w:eastAsia="zh-CN"/>
        </w:rPr>
      </w:pPr>
      <w:r>
        <w:rPr>
          <w:rFonts w:hint="eastAsia" w:ascii="宋体" w:hAnsi="宋体" w:eastAsia="宋体"/>
          <w:b/>
          <w:color w:val="auto"/>
          <w:sz w:val="24"/>
          <w:lang w:val="en-US" w:eastAsia="zh-CN"/>
        </w:rPr>
        <w:t>附件一：</w:t>
      </w:r>
    </w:p>
    <w:p w14:paraId="6604EB7E">
      <w:pPr>
        <w:pStyle w:val="2"/>
        <w:bidi w:val="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一、DIP运营分析系统</w:t>
      </w:r>
    </w:p>
    <w:tbl>
      <w:tblPr>
        <w:tblStyle w:val="12"/>
        <w:tblW w:w="8888"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259"/>
        <w:gridCol w:w="2600"/>
        <w:gridCol w:w="5029"/>
      </w:tblGrid>
      <w:tr w14:paraId="7FED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1259" w:type="dxa"/>
            <w:noWrap w:val="0"/>
            <w:vAlign w:val="center"/>
          </w:tcPr>
          <w:p w14:paraId="5B865AC7">
            <w:pPr>
              <w:shd w:val="clear" w:color="auto" w:fill="auto"/>
              <w:spacing w:before="0" w:after="0" w:line="300" w:lineRule="auto"/>
              <w:ind w:firstLine="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序号</w:t>
            </w:r>
          </w:p>
        </w:tc>
        <w:tc>
          <w:tcPr>
            <w:tcW w:w="2600" w:type="dxa"/>
            <w:noWrap w:val="0"/>
            <w:vAlign w:val="center"/>
          </w:tcPr>
          <w:p w14:paraId="209F486E">
            <w:pPr>
              <w:shd w:val="clear" w:color="auto" w:fill="auto"/>
              <w:spacing w:before="0" w:after="0" w:line="300" w:lineRule="auto"/>
              <w:ind w:firstLine="0"/>
              <w:jc w:val="cente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功能模块</w:t>
            </w:r>
          </w:p>
        </w:tc>
        <w:tc>
          <w:tcPr>
            <w:tcW w:w="5029" w:type="dxa"/>
            <w:noWrap w:val="0"/>
            <w:vAlign w:val="center"/>
          </w:tcPr>
          <w:p w14:paraId="4866F351">
            <w:pPr>
              <w:shd w:val="clear" w:color="auto" w:fill="auto"/>
              <w:spacing w:before="0" w:after="0" w:line="300" w:lineRule="auto"/>
              <w:ind w:firstLine="0"/>
              <w:jc w:val="cente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详细参数</w:t>
            </w:r>
          </w:p>
        </w:tc>
      </w:tr>
      <w:tr w14:paraId="0AFF0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98" w:hRule="atLeast"/>
        </w:trPr>
        <w:tc>
          <w:tcPr>
            <w:tcW w:w="1259" w:type="dxa"/>
            <w:noWrap w:val="0"/>
            <w:vAlign w:val="center"/>
          </w:tcPr>
          <w:p w14:paraId="03C0D38C">
            <w:pPr>
              <w:shd w:val="clear" w:color="auto" w:fill="auto"/>
              <w:spacing w:before="0" w:after="0" w:line="300" w:lineRule="auto"/>
              <w:ind w:firstLine="0"/>
              <w:jc w:val="center"/>
              <w:rPr>
                <w:rFonts w:hint="eastAsia" w:ascii="宋体" w:hAnsi="宋体" w:eastAsia="宋体" w:cs="宋体"/>
                <w:sz w:val="28"/>
                <w:szCs w:val="28"/>
              </w:rPr>
            </w:pPr>
            <w:r>
              <w:rPr>
                <w:rFonts w:hint="eastAsia" w:ascii="宋体" w:hAnsi="宋体" w:eastAsia="宋体" w:cs="宋体"/>
                <w:b w:val="0"/>
                <w:bCs w:val="0"/>
                <w:sz w:val="21"/>
                <w:szCs w:val="21"/>
                <w:lang w:val="en-US" w:eastAsia="zh-CN"/>
              </w:rPr>
              <w:t>1</w:t>
            </w:r>
          </w:p>
        </w:tc>
        <w:tc>
          <w:tcPr>
            <w:tcW w:w="2600" w:type="dxa"/>
            <w:noWrap w:val="0"/>
            <w:vAlign w:val="center"/>
          </w:tcPr>
          <w:p w14:paraId="24EF465D">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多分组及政策管理</w:t>
            </w:r>
          </w:p>
        </w:tc>
        <w:tc>
          <w:tcPr>
            <w:tcW w:w="5029" w:type="dxa"/>
            <w:noWrap w:val="0"/>
            <w:vAlign w:val="center"/>
          </w:tcPr>
          <w:p w14:paraId="338F4D5C">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1)支持根据统筹区及不同时间范围配置不同的DRG分组及政策；</w:t>
            </w:r>
          </w:p>
          <w:p w14:paraId="7435B55F">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2)支持查看不同统筹区、时间段内不同分组政策下的汇总数据；</w:t>
            </w:r>
          </w:p>
          <w:p w14:paraId="72E95119">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3）支持对比查看不同时间段、统筹区病组，并支持进行统一管理；</w:t>
            </w:r>
          </w:p>
        </w:tc>
      </w:tr>
      <w:tr w14:paraId="42458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54" w:hRule="atLeast"/>
        </w:trPr>
        <w:tc>
          <w:tcPr>
            <w:tcW w:w="1259" w:type="dxa"/>
            <w:noWrap w:val="0"/>
            <w:vAlign w:val="center"/>
          </w:tcPr>
          <w:p w14:paraId="4F92D2EA">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p>
        </w:tc>
        <w:tc>
          <w:tcPr>
            <w:tcW w:w="2600" w:type="dxa"/>
            <w:noWrap w:val="0"/>
            <w:vAlign w:val="center"/>
          </w:tcPr>
          <w:p w14:paraId="6BA7C158">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全局优化</w:t>
            </w:r>
          </w:p>
        </w:tc>
        <w:tc>
          <w:tcPr>
            <w:tcW w:w="5029" w:type="dxa"/>
            <w:noWrap w:val="0"/>
            <w:vAlign w:val="center"/>
          </w:tcPr>
          <w:p w14:paraId="464DEDB8">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1)辅助目录筛选优化为细分目录</w:t>
            </w:r>
          </w:p>
          <w:p w14:paraId="22CF0993">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2)支持辅助目录、基础分值与特殊项目分值、辅助目录系数、偏差系数导入、基层病种等字段由结算单导入系统，且优先展示结算单数据</w:t>
            </w:r>
          </w:p>
        </w:tc>
      </w:tr>
      <w:tr w14:paraId="6BB0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1259" w:type="dxa"/>
            <w:noWrap w:val="0"/>
            <w:vAlign w:val="center"/>
          </w:tcPr>
          <w:p w14:paraId="5A567DBF">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w:t>
            </w:r>
          </w:p>
        </w:tc>
        <w:tc>
          <w:tcPr>
            <w:tcW w:w="2600" w:type="dxa"/>
            <w:noWrap w:val="0"/>
            <w:vAlign w:val="center"/>
          </w:tcPr>
          <w:p w14:paraId="03506A46">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医生助手（在院DRG分组监测接口）服务</w:t>
            </w:r>
          </w:p>
        </w:tc>
        <w:tc>
          <w:tcPr>
            <w:tcW w:w="5029" w:type="dxa"/>
            <w:noWrap w:val="0"/>
            <w:vAlign w:val="center"/>
          </w:tcPr>
          <w:p w14:paraId="236EABA2">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1）支持根据分组结果重新进行病例质控；</w:t>
            </w:r>
          </w:p>
          <w:p w14:paraId="55C48C66">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2）支持在购买结算清单质控系统的前提下，事中环节调取清单（清单大数据/清单专家规则/清单本地医保审核规则）进行质控；</w:t>
            </w:r>
          </w:p>
          <w:p w14:paraId="2DF524F2">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3）支持中医优势、中医特色病种标识展示</w:t>
            </w:r>
          </w:p>
          <w:p w14:paraId="78076813">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4）增加定额结算类别，当患者满足定额结算条件时，区分定额结算tab，支持与病组结算进行对比查看</w:t>
            </w:r>
          </w:p>
          <w:p w14:paraId="66A10FFF">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5）支持患者360调阅</w:t>
            </w:r>
          </w:p>
        </w:tc>
      </w:tr>
      <w:tr w14:paraId="4ACBA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1259" w:type="dxa"/>
            <w:noWrap w:val="0"/>
            <w:vAlign w:val="center"/>
          </w:tcPr>
          <w:p w14:paraId="44131C3A">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w:t>
            </w:r>
          </w:p>
        </w:tc>
        <w:tc>
          <w:tcPr>
            <w:tcW w:w="2600" w:type="dxa"/>
            <w:noWrap w:val="0"/>
            <w:vAlign w:val="center"/>
          </w:tcPr>
          <w:p w14:paraId="132A64E3">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在院监测服务</w:t>
            </w:r>
          </w:p>
        </w:tc>
        <w:tc>
          <w:tcPr>
            <w:tcW w:w="5029" w:type="dxa"/>
            <w:noWrap w:val="0"/>
            <w:vAlign w:val="center"/>
          </w:tcPr>
          <w:p w14:paraId="627D6D57">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1）支持根据分组结果重新进行病例质控；</w:t>
            </w:r>
          </w:p>
          <w:p w14:paraId="6FF8A2E0">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2）支持在购买结算清单质控系统的前提下，事中环节调取清单（清单大数据/清单专家规则/清单本地医保审核规则）进行质控；</w:t>
            </w:r>
          </w:p>
          <w:p w14:paraId="44110B9C">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3）支持中医优势、中医特色病种标识展示</w:t>
            </w:r>
          </w:p>
          <w:p w14:paraId="24996704">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4）增加定额结算类别，当患者满足定额结算条件时，区分定额结算tab，支持与病组结算进行对比查看</w:t>
            </w:r>
          </w:p>
          <w:p w14:paraId="71A16E5A">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5）支持患者360调阅</w:t>
            </w:r>
          </w:p>
        </w:tc>
      </w:tr>
      <w:tr w14:paraId="6F5B7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1259" w:type="dxa"/>
            <w:noWrap w:val="0"/>
            <w:vAlign w:val="center"/>
          </w:tcPr>
          <w:p w14:paraId="7B9AD38D">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w:t>
            </w:r>
          </w:p>
        </w:tc>
        <w:tc>
          <w:tcPr>
            <w:tcW w:w="2600" w:type="dxa"/>
            <w:noWrap w:val="0"/>
            <w:vAlign w:val="center"/>
          </w:tcPr>
          <w:p w14:paraId="689DE017">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病种综合分析</w:t>
            </w:r>
          </w:p>
        </w:tc>
        <w:tc>
          <w:tcPr>
            <w:tcW w:w="5029" w:type="dxa"/>
            <w:noWrap w:val="0"/>
            <w:vAlign w:val="center"/>
          </w:tcPr>
          <w:p w14:paraId="0DCA8A7E">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1）支持根据医院实际管理情况配置病种综合分析列表以病种或以病种+辅助目录维度展示</w:t>
            </w:r>
          </w:p>
        </w:tc>
      </w:tr>
      <w:tr w14:paraId="001F0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1259" w:type="dxa"/>
            <w:noWrap w:val="0"/>
            <w:vAlign w:val="center"/>
          </w:tcPr>
          <w:p w14:paraId="3C45181D">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w:t>
            </w:r>
          </w:p>
        </w:tc>
        <w:tc>
          <w:tcPr>
            <w:tcW w:w="2600" w:type="dxa"/>
            <w:noWrap w:val="0"/>
            <w:vAlign w:val="center"/>
          </w:tcPr>
          <w:p w14:paraId="1FC64724">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病例数据综合查询与下载</w:t>
            </w:r>
          </w:p>
        </w:tc>
        <w:tc>
          <w:tcPr>
            <w:tcW w:w="5029" w:type="dxa"/>
            <w:noWrap w:val="0"/>
            <w:vAlign w:val="center"/>
          </w:tcPr>
          <w:p w14:paraId="72335DB0">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支持根据管理科室导出数据</w:t>
            </w:r>
          </w:p>
          <w:p w14:paraId="03B583BB">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首页顶部支持配置展示卡片顺序及卡片范围</w:t>
            </w:r>
          </w:p>
        </w:tc>
      </w:tr>
      <w:tr w14:paraId="569E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1259" w:type="dxa"/>
            <w:noWrap w:val="0"/>
            <w:vAlign w:val="center"/>
          </w:tcPr>
          <w:p w14:paraId="46C47018">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w:t>
            </w:r>
          </w:p>
        </w:tc>
        <w:tc>
          <w:tcPr>
            <w:tcW w:w="2600" w:type="dxa"/>
            <w:noWrap w:val="0"/>
            <w:vAlign w:val="center"/>
          </w:tcPr>
          <w:p w14:paraId="7CAAFEB2">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结算核对</w:t>
            </w:r>
          </w:p>
        </w:tc>
        <w:tc>
          <w:tcPr>
            <w:tcW w:w="5029" w:type="dxa"/>
            <w:noWrap w:val="0"/>
            <w:vAlign w:val="center"/>
          </w:tcPr>
          <w:p w14:paraId="0A2020C2">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支持将特病单议患者导入系统并进行标记，已标记为单议的患者可单独进行筛选</w:t>
            </w:r>
          </w:p>
        </w:tc>
      </w:tr>
    </w:tbl>
    <w:p w14:paraId="3FE766EC">
      <w:pPr>
        <w:pStyle w:val="3"/>
      </w:pPr>
    </w:p>
    <w:p w14:paraId="0783B15B">
      <w:pPr>
        <w:pStyle w:val="2"/>
        <w:keepNext w:val="0"/>
        <w:keepLines w:val="0"/>
        <w:pageBreakBefore w:val="0"/>
        <w:widowControl/>
        <w:shd w:val="clear" w:color="auto" w:fill="auto"/>
        <w:kinsoku/>
        <w:wordWrap/>
        <w:overflowPunct/>
        <w:topLinePunct w:val="0"/>
        <w:autoSpaceDE/>
        <w:autoSpaceDN/>
        <w:bidi w:val="0"/>
        <w:adjustRightInd/>
        <w:snapToGrid/>
        <w:spacing w:after="0" w:afterLines="1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二、病案首页质控系统</w:t>
      </w:r>
    </w:p>
    <w:tbl>
      <w:tblPr>
        <w:tblStyle w:val="12"/>
        <w:tblW w:w="52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1241"/>
        <w:gridCol w:w="6615"/>
      </w:tblGrid>
      <w:tr w14:paraId="0F539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575" w:type="pct"/>
            <w:noWrap w:val="0"/>
            <w:vAlign w:val="center"/>
          </w:tcPr>
          <w:p w14:paraId="09A9293B">
            <w:pPr>
              <w:widowControl/>
              <w:spacing w:line="276" w:lineRule="auto"/>
              <w:jc w:val="center"/>
              <w:rPr>
                <w:rFonts w:ascii="宋体" w:hAnsi="宋体" w:eastAsia="宋体" w:cs="宋体"/>
                <w:b/>
                <w:bCs/>
                <w:kern w:val="0"/>
                <w:sz w:val="28"/>
                <w:szCs w:val="28"/>
              </w:rPr>
            </w:pPr>
            <w:r>
              <w:rPr>
                <w:rFonts w:hint="eastAsia" w:ascii="宋体" w:hAnsi="宋体" w:eastAsia="宋体" w:cs="宋体"/>
                <w:b/>
                <w:bCs/>
                <w:kern w:val="0"/>
                <w:sz w:val="28"/>
                <w:szCs w:val="28"/>
              </w:rPr>
              <w:t>模块</w:t>
            </w:r>
          </w:p>
        </w:tc>
        <w:tc>
          <w:tcPr>
            <w:tcW w:w="699" w:type="pct"/>
            <w:noWrap w:val="0"/>
            <w:vAlign w:val="center"/>
          </w:tcPr>
          <w:p w14:paraId="19E80BE8">
            <w:pPr>
              <w:widowControl/>
              <w:spacing w:line="276" w:lineRule="auto"/>
              <w:jc w:val="center"/>
              <w:rPr>
                <w:rFonts w:ascii="宋体" w:hAnsi="宋体" w:eastAsia="宋体" w:cs="宋体"/>
                <w:b/>
                <w:bCs/>
                <w:kern w:val="0"/>
                <w:sz w:val="28"/>
                <w:szCs w:val="28"/>
              </w:rPr>
            </w:pPr>
            <w:r>
              <w:rPr>
                <w:rFonts w:hint="eastAsia" w:ascii="宋体" w:hAnsi="宋体" w:eastAsia="宋体" w:cs="宋体"/>
                <w:b/>
                <w:bCs/>
                <w:kern w:val="0"/>
                <w:sz w:val="28"/>
                <w:szCs w:val="28"/>
              </w:rPr>
              <w:t>功能点</w:t>
            </w:r>
          </w:p>
        </w:tc>
        <w:tc>
          <w:tcPr>
            <w:tcW w:w="3725" w:type="pct"/>
            <w:noWrap w:val="0"/>
            <w:vAlign w:val="center"/>
          </w:tcPr>
          <w:p w14:paraId="1C8D3FDB">
            <w:pPr>
              <w:widowControl/>
              <w:spacing w:line="276" w:lineRule="auto"/>
              <w:jc w:val="center"/>
              <w:rPr>
                <w:rFonts w:ascii="宋体" w:hAnsi="宋体" w:eastAsia="宋体" w:cs="宋体"/>
                <w:b/>
                <w:bCs/>
                <w:kern w:val="0"/>
                <w:sz w:val="28"/>
                <w:szCs w:val="28"/>
              </w:rPr>
            </w:pPr>
            <w:r>
              <w:rPr>
                <w:rFonts w:hint="eastAsia" w:ascii="宋体" w:hAnsi="宋体" w:eastAsia="宋体" w:cs="宋体"/>
                <w:b/>
                <w:bCs/>
                <w:kern w:val="0"/>
                <w:sz w:val="28"/>
                <w:szCs w:val="28"/>
              </w:rPr>
              <w:t>功能说明</w:t>
            </w:r>
          </w:p>
        </w:tc>
      </w:tr>
      <w:tr w14:paraId="06280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74" w:type="pct"/>
            <w:gridSpan w:val="2"/>
            <w:noWrap w:val="0"/>
            <w:vAlign w:val="center"/>
          </w:tcPr>
          <w:p w14:paraId="7302501B">
            <w:pPr>
              <w:widowControl/>
              <w:spacing w:line="276" w:lineRule="auto"/>
              <w:jc w:val="center"/>
              <w:rPr>
                <w:rFonts w:ascii="宋体" w:hAnsi="宋体" w:eastAsia="宋体" w:cs="宋体"/>
                <w:kern w:val="0"/>
                <w:sz w:val="21"/>
                <w:szCs w:val="21"/>
              </w:rPr>
            </w:pPr>
            <w:r>
              <w:rPr>
                <w:rFonts w:hint="eastAsia" w:ascii="宋体" w:hAnsi="宋体" w:eastAsia="宋体" w:cs="宋体"/>
                <w:kern w:val="0"/>
                <w:sz w:val="21"/>
                <w:szCs w:val="21"/>
              </w:rPr>
              <w:t>首页问题检测</w:t>
            </w:r>
          </w:p>
        </w:tc>
        <w:tc>
          <w:tcPr>
            <w:tcW w:w="3725" w:type="pct"/>
            <w:noWrap w:val="0"/>
            <w:vAlign w:val="center"/>
          </w:tcPr>
          <w:p w14:paraId="3DF6F362">
            <w:pPr>
              <w:widowControl/>
              <w:numPr>
                <w:ilvl w:val="0"/>
                <w:numId w:val="1"/>
              </w:numPr>
              <w:spacing w:line="276" w:lineRule="auto"/>
              <w:ind w:left="40" w:firstLine="0"/>
              <w:jc w:val="left"/>
              <w:rPr>
                <w:rFonts w:ascii="宋体" w:hAnsi="宋体" w:eastAsia="宋体" w:cs="宋体"/>
                <w:kern w:val="0"/>
                <w:sz w:val="21"/>
                <w:szCs w:val="21"/>
              </w:rPr>
            </w:pPr>
            <w:r>
              <w:rPr>
                <w:rFonts w:hint="eastAsia" w:ascii="宋体" w:hAnsi="宋体" w:eastAsia="宋体" w:cs="宋体"/>
                <w:kern w:val="0"/>
                <w:sz w:val="21"/>
                <w:szCs w:val="21"/>
              </w:rPr>
              <w:t>支持按重点问题病案、一般问题病案、优质病案、全部质检病案查看对应病例，包含每份病例的</w:t>
            </w:r>
            <w:r>
              <w:rPr>
                <w:rFonts w:ascii="宋体" w:hAnsi="宋体" w:eastAsia="宋体" w:cs="宋体"/>
                <w:kern w:val="0"/>
                <w:sz w:val="21"/>
                <w:szCs w:val="21"/>
              </w:rPr>
              <w:t>DIP</w:t>
            </w:r>
            <w:r>
              <w:rPr>
                <w:rFonts w:hint="eastAsia" w:ascii="宋体" w:hAnsi="宋体" w:eastAsia="宋体" w:cs="宋体"/>
                <w:kern w:val="0"/>
                <w:sz w:val="21"/>
                <w:szCs w:val="21"/>
              </w:rPr>
              <w:t>预测分组信息、费用信息、质控结果信息、诊断手术信息、批注信息等；支持对于入组异常患者展示入组解析；支持打开病案首页详情查看具体信息；支持按病案工作内容进行筛选，包含批注情况、质控结果处理情况、病案已读状态的维度</w:t>
            </w:r>
          </w:p>
          <w:p w14:paraId="3F8A84F0">
            <w:pPr>
              <w:widowControl/>
              <w:numPr>
                <w:ilvl w:val="0"/>
                <w:numId w:val="1"/>
              </w:numPr>
              <w:spacing w:line="276" w:lineRule="auto"/>
              <w:ind w:left="40" w:firstLine="0"/>
              <w:jc w:val="left"/>
              <w:rPr>
                <w:rFonts w:ascii="宋体" w:hAnsi="宋体" w:eastAsia="宋体" w:cs="宋体"/>
                <w:kern w:val="0"/>
                <w:sz w:val="21"/>
                <w:szCs w:val="21"/>
              </w:rPr>
            </w:pPr>
            <w:r>
              <w:rPr>
                <w:rFonts w:hint="eastAsia" w:ascii="宋体" w:hAnsi="宋体" w:eastAsia="宋体"/>
                <w:sz w:val="21"/>
                <w:szCs w:val="21"/>
              </w:rPr>
              <w:t>对于入组异常的患者展示入组解析，如未入组和歧义组的患者</w:t>
            </w:r>
          </w:p>
          <w:p w14:paraId="119892D9">
            <w:pPr>
              <w:pStyle w:val="18"/>
              <w:numPr>
                <w:ilvl w:val="0"/>
                <w:numId w:val="1"/>
              </w:numPr>
              <w:snapToGrid w:val="0"/>
              <w:spacing w:line="276" w:lineRule="auto"/>
              <w:ind w:left="40" w:firstLine="0" w:firstLineChars="0"/>
              <w:rPr>
                <w:rFonts w:ascii="宋体" w:hAnsi="宋体" w:eastAsia="宋体"/>
                <w:sz w:val="21"/>
                <w:szCs w:val="21"/>
              </w:rPr>
            </w:pPr>
            <w:r>
              <w:rPr>
                <w:rFonts w:ascii="宋体" w:hAnsi="宋体" w:eastAsia="宋体"/>
                <w:sz w:val="21"/>
                <w:szCs w:val="21"/>
              </w:rPr>
              <w:t>支持填写整改批注</w:t>
            </w:r>
            <w:r>
              <w:rPr>
                <w:rFonts w:hint="eastAsia" w:ascii="宋体" w:hAnsi="宋体" w:eastAsia="宋体"/>
                <w:sz w:val="21"/>
                <w:szCs w:val="21"/>
              </w:rPr>
              <w:t>并选择对应的批注类型</w:t>
            </w:r>
            <w:r>
              <w:rPr>
                <w:rFonts w:ascii="宋体" w:hAnsi="宋体" w:eastAsia="宋体"/>
                <w:sz w:val="21"/>
                <w:szCs w:val="21"/>
              </w:rPr>
              <w:t>，输入批注内容</w:t>
            </w:r>
            <w:r>
              <w:rPr>
                <w:rFonts w:hint="eastAsia" w:ascii="宋体" w:hAnsi="宋体" w:eastAsia="宋体"/>
                <w:sz w:val="21"/>
                <w:szCs w:val="21"/>
              </w:rPr>
              <w:t>并选择问题归属后，</w:t>
            </w:r>
            <w:r>
              <w:rPr>
                <w:rFonts w:ascii="宋体" w:hAnsi="宋体" w:eastAsia="宋体"/>
                <w:sz w:val="21"/>
                <w:szCs w:val="21"/>
              </w:rPr>
              <w:t>后可</w:t>
            </w:r>
            <w:r>
              <w:rPr>
                <w:rFonts w:hint="eastAsia" w:ascii="宋体" w:hAnsi="宋体" w:eastAsia="宋体"/>
                <w:sz w:val="21"/>
                <w:szCs w:val="21"/>
              </w:rPr>
              <w:t>指定</w:t>
            </w:r>
            <w:r>
              <w:rPr>
                <w:rFonts w:ascii="宋体" w:hAnsi="宋体" w:eastAsia="宋体"/>
                <w:sz w:val="21"/>
                <w:szCs w:val="21"/>
              </w:rPr>
              <w:t>发送至相关的医生和编码员，</w:t>
            </w:r>
            <w:r>
              <w:rPr>
                <w:rFonts w:hint="eastAsia" w:ascii="宋体" w:hAnsi="宋体" w:eastAsia="宋体"/>
                <w:sz w:val="21"/>
                <w:szCs w:val="21"/>
              </w:rPr>
              <w:t>支持暂不发送仅保存</w:t>
            </w:r>
            <w:r>
              <w:rPr>
                <w:rFonts w:ascii="宋体" w:hAnsi="宋体" w:eastAsia="宋体"/>
                <w:sz w:val="21"/>
                <w:szCs w:val="21"/>
              </w:rPr>
              <w:t>；</w:t>
            </w:r>
          </w:p>
          <w:p w14:paraId="04172562">
            <w:pPr>
              <w:widowControl/>
              <w:numPr>
                <w:ilvl w:val="0"/>
                <w:numId w:val="1"/>
              </w:numPr>
              <w:spacing w:line="276" w:lineRule="auto"/>
              <w:ind w:left="40" w:firstLine="0"/>
              <w:jc w:val="left"/>
              <w:rPr>
                <w:rFonts w:ascii="宋体" w:hAnsi="宋体" w:eastAsia="宋体" w:cs="宋体"/>
                <w:kern w:val="0"/>
                <w:sz w:val="21"/>
                <w:szCs w:val="21"/>
              </w:rPr>
            </w:pPr>
            <w:r>
              <w:rPr>
                <w:rFonts w:hint="eastAsia" w:ascii="宋体" w:hAnsi="宋体" w:eastAsia="宋体" w:cs="宋体"/>
                <w:kern w:val="0"/>
                <w:sz w:val="21"/>
                <w:szCs w:val="21"/>
              </w:rPr>
              <w:t>支持对质检结果进行操作，包括标识为已修改、不认同、待讨论；选择不认同时可选择无需修改或关闭规则，并填写关闭理由；选择待讨论时可输入待讨论内容；具体操作及操作人支持在操作记录中查看，并支持下载导出列表；</w:t>
            </w:r>
          </w:p>
          <w:p w14:paraId="75D4A66A">
            <w:pPr>
              <w:pStyle w:val="18"/>
              <w:widowControl/>
              <w:numPr>
                <w:ilvl w:val="0"/>
                <w:numId w:val="1"/>
              </w:numPr>
              <w:spacing w:line="276" w:lineRule="auto"/>
              <w:ind w:left="40" w:firstLine="0" w:firstLineChars="0"/>
              <w:jc w:val="left"/>
              <w:rPr>
                <w:rFonts w:ascii="宋体" w:hAnsi="宋体" w:eastAsia="宋体" w:cs="宋体"/>
                <w:kern w:val="0"/>
                <w:sz w:val="21"/>
                <w:szCs w:val="21"/>
              </w:rPr>
            </w:pPr>
            <w:r>
              <w:rPr>
                <w:rFonts w:hint="eastAsia" w:ascii="宋体" w:hAnsi="宋体" w:eastAsia="宋体"/>
                <w:sz w:val="21"/>
                <w:szCs w:val="21"/>
              </w:rPr>
              <w:t>支持下载当前列表、整改批注、操作记录</w:t>
            </w:r>
          </w:p>
        </w:tc>
      </w:tr>
      <w:tr w14:paraId="3171F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5" w:type="pct"/>
            <w:noWrap w:val="0"/>
            <w:vAlign w:val="center"/>
          </w:tcPr>
          <w:p w14:paraId="661F2C34">
            <w:pPr>
              <w:widowControl/>
              <w:spacing w:line="276"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系统</w:t>
            </w:r>
          </w:p>
          <w:p w14:paraId="1CBBF628">
            <w:pPr>
              <w:widowControl/>
              <w:spacing w:line="276" w:lineRule="auto"/>
              <w:jc w:val="center"/>
              <w:rPr>
                <w:rFonts w:ascii="宋体" w:hAnsi="宋体" w:eastAsia="宋体" w:cs="宋体"/>
                <w:kern w:val="0"/>
                <w:sz w:val="21"/>
                <w:szCs w:val="21"/>
              </w:rPr>
            </w:pPr>
            <w:r>
              <w:rPr>
                <w:rFonts w:hint="eastAsia" w:ascii="宋体" w:hAnsi="宋体" w:eastAsia="宋体" w:cs="宋体"/>
                <w:kern w:val="0"/>
                <w:sz w:val="21"/>
                <w:szCs w:val="21"/>
              </w:rPr>
              <w:t>设置</w:t>
            </w:r>
          </w:p>
        </w:tc>
        <w:tc>
          <w:tcPr>
            <w:tcW w:w="699" w:type="pct"/>
            <w:noWrap w:val="0"/>
            <w:vAlign w:val="center"/>
          </w:tcPr>
          <w:p w14:paraId="7861166C">
            <w:pPr>
              <w:widowControl/>
              <w:spacing w:line="276"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批注</w:t>
            </w:r>
          </w:p>
          <w:p w14:paraId="07BEADF2">
            <w:pPr>
              <w:widowControl/>
              <w:spacing w:line="276" w:lineRule="auto"/>
              <w:jc w:val="center"/>
              <w:rPr>
                <w:rFonts w:ascii="宋体" w:hAnsi="宋体" w:eastAsia="宋体" w:cs="宋体"/>
                <w:kern w:val="0"/>
                <w:sz w:val="21"/>
                <w:szCs w:val="21"/>
              </w:rPr>
            </w:pPr>
            <w:r>
              <w:rPr>
                <w:rFonts w:hint="eastAsia" w:ascii="宋体" w:hAnsi="宋体" w:eastAsia="宋体" w:cs="宋体"/>
                <w:kern w:val="0"/>
                <w:sz w:val="21"/>
                <w:szCs w:val="21"/>
              </w:rPr>
              <w:t>设置</w:t>
            </w:r>
          </w:p>
        </w:tc>
        <w:tc>
          <w:tcPr>
            <w:tcW w:w="3725" w:type="pct"/>
            <w:noWrap w:val="0"/>
            <w:vAlign w:val="center"/>
          </w:tcPr>
          <w:p w14:paraId="32D7118E">
            <w:pPr>
              <w:widowControl/>
              <w:spacing w:line="276" w:lineRule="auto"/>
              <w:jc w:val="left"/>
              <w:rPr>
                <w:rFonts w:ascii="宋体" w:hAnsi="宋体" w:eastAsia="宋体" w:cs="宋体"/>
                <w:kern w:val="0"/>
                <w:sz w:val="21"/>
                <w:szCs w:val="21"/>
              </w:rPr>
            </w:pPr>
            <w:r>
              <w:rPr>
                <w:rFonts w:hint="eastAsia" w:ascii="宋体" w:hAnsi="宋体" w:eastAsia="宋体" w:cs="宋体"/>
                <w:kern w:val="0"/>
                <w:sz w:val="21"/>
                <w:szCs w:val="21"/>
              </w:rPr>
              <w:t>支持自定义批注类型，在填写批注内容时快捷选择批注类型，并且支持下载导出；</w:t>
            </w:r>
          </w:p>
        </w:tc>
      </w:tr>
    </w:tbl>
    <w:p w14:paraId="567889FD">
      <w:pPr>
        <w:shd w:val="clear" w:color="auto" w:fill="auto"/>
        <w:spacing w:before="0" w:after="0" w:line="240" w:lineRule="auto"/>
        <w:ind w:firstLine="0"/>
        <w:jc w:val="left"/>
        <w:rPr>
          <w:rFonts w:hint="eastAsia" w:ascii="宋体" w:hAnsi="宋体" w:eastAsia="宋体" w:cs="宋体"/>
          <w:b/>
          <w:sz w:val="28"/>
          <w:szCs w:val="28"/>
        </w:rPr>
      </w:pPr>
    </w:p>
    <w:p w14:paraId="0DFE127D">
      <w:pPr>
        <w:keepNext w:val="0"/>
        <w:keepLines w:val="0"/>
        <w:pageBreakBefore w:val="0"/>
        <w:widowControl/>
        <w:shd w:val="clear" w:color="auto" w:fill="auto"/>
        <w:kinsoku/>
        <w:wordWrap/>
        <w:overflowPunct/>
        <w:topLinePunct w:val="0"/>
        <w:autoSpaceDE/>
        <w:autoSpaceDN/>
        <w:bidi w:val="0"/>
        <w:adjustRightInd/>
        <w:snapToGrid/>
        <w:spacing w:before="0" w:after="0" w:afterLines="100" w:line="240" w:lineRule="auto"/>
        <w:ind w:firstLine="0"/>
        <w:jc w:val="left"/>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三、DIP清单管理系统</w:t>
      </w:r>
    </w:p>
    <w:tbl>
      <w:tblPr>
        <w:tblStyle w:val="12"/>
        <w:tblW w:w="8887" w:type="dxa"/>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82"/>
        <w:gridCol w:w="2865"/>
        <w:gridCol w:w="5040"/>
      </w:tblGrid>
      <w:tr w14:paraId="57C1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5096270A">
            <w:pPr>
              <w:shd w:val="clear" w:color="auto" w:fill="auto"/>
              <w:spacing w:before="0" w:after="0" w:line="300" w:lineRule="auto"/>
              <w:ind w:firstLine="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序号</w:t>
            </w:r>
          </w:p>
        </w:tc>
        <w:tc>
          <w:tcPr>
            <w:tcW w:w="2865" w:type="dxa"/>
            <w:noWrap w:val="0"/>
            <w:vAlign w:val="center"/>
          </w:tcPr>
          <w:p w14:paraId="3EE15401">
            <w:pPr>
              <w:shd w:val="clear" w:color="auto" w:fill="auto"/>
              <w:spacing w:before="0" w:after="0" w:line="300" w:lineRule="auto"/>
              <w:ind w:firstLine="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服务模块</w:t>
            </w:r>
          </w:p>
        </w:tc>
        <w:tc>
          <w:tcPr>
            <w:tcW w:w="5040" w:type="dxa"/>
            <w:noWrap w:val="0"/>
            <w:vAlign w:val="center"/>
          </w:tcPr>
          <w:p w14:paraId="224B1239">
            <w:pPr>
              <w:shd w:val="clear" w:color="auto" w:fill="auto"/>
              <w:spacing w:before="0" w:after="0" w:line="300" w:lineRule="auto"/>
              <w:ind w:firstLine="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服务内容</w:t>
            </w:r>
          </w:p>
        </w:tc>
      </w:tr>
      <w:tr w14:paraId="6DC4D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090F1BAD">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2865" w:type="dxa"/>
            <w:noWrap w:val="0"/>
            <w:vAlign w:val="center"/>
          </w:tcPr>
          <w:p w14:paraId="2E44BE6A">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清单规则</w:t>
            </w:r>
          </w:p>
        </w:tc>
        <w:tc>
          <w:tcPr>
            <w:tcW w:w="5040" w:type="dxa"/>
            <w:noWrap w:val="0"/>
            <w:vAlign w:val="center"/>
          </w:tcPr>
          <w:p w14:paraId="68AC01AB">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支持根据医院需要，配置自定义规则</w:t>
            </w:r>
          </w:p>
          <w:p w14:paraId="6AA27156">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支持对部分规则进行置顶展示</w:t>
            </w:r>
          </w:p>
        </w:tc>
      </w:tr>
      <w:tr w14:paraId="44704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65AA9DD0">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p>
        </w:tc>
        <w:tc>
          <w:tcPr>
            <w:tcW w:w="2865" w:type="dxa"/>
            <w:noWrap w:val="0"/>
            <w:vAlign w:val="center"/>
          </w:tcPr>
          <w:p w14:paraId="62EDD1F9">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清单详情</w:t>
            </w:r>
          </w:p>
        </w:tc>
        <w:tc>
          <w:tcPr>
            <w:tcW w:w="5040" w:type="dxa"/>
            <w:noWrap w:val="0"/>
            <w:vAlign w:val="center"/>
          </w:tcPr>
          <w:p w14:paraId="5437D8E5">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清单第三方诊断手术支持实时刷新</w:t>
            </w:r>
          </w:p>
          <w:p w14:paraId="2002BA2B">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推荐组合时，更多组合支持按组聚类展示</w:t>
            </w:r>
          </w:p>
          <w:p w14:paraId="1B781392">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重症清单开放编辑，支持通过配置编辑权限，具备重症清单编辑权限的人员可对重症清单进行编辑</w:t>
            </w:r>
          </w:p>
        </w:tc>
      </w:tr>
      <w:tr w14:paraId="1183F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6198FEC1">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w:t>
            </w:r>
          </w:p>
        </w:tc>
        <w:tc>
          <w:tcPr>
            <w:tcW w:w="2865" w:type="dxa"/>
            <w:noWrap w:val="0"/>
            <w:vAlign w:val="center"/>
          </w:tcPr>
          <w:p w14:paraId="55FD2D8F">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上报前清单审核</w:t>
            </w:r>
          </w:p>
        </w:tc>
        <w:tc>
          <w:tcPr>
            <w:tcW w:w="5040" w:type="dxa"/>
            <w:noWrap w:val="0"/>
            <w:vAlign w:val="center"/>
          </w:tcPr>
          <w:p w14:paraId="46C83E2C">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增加权限功能，允许一键审核到上报</w:t>
            </w:r>
          </w:p>
          <w:p w14:paraId="66A9C29B">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清单复审时支持对选中清单进行批量退回</w:t>
            </w:r>
          </w:p>
        </w:tc>
      </w:tr>
      <w:tr w14:paraId="1E23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2CA3B9AF">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w:t>
            </w:r>
          </w:p>
        </w:tc>
        <w:tc>
          <w:tcPr>
            <w:tcW w:w="2865" w:type="dxa"/>
            <w:noWrap w:val="0"/>
            <w:vAlign w:val="center"/>
          </w:tcPr>
          <w:p w14:paraId="20787750">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清单上报</w:t>
            </w:r>
          </w:p>
        </w:tc>
        <w:tc>
          <w:tcPr>
            <w:tcW w:w="5040" w:type="dxa"/>
            <w:noWrap w:val="0"/>
            <w:vAlign w:val="center"/>
          </w:tcPr>
          <w:p w14:paraId="0EFBEBA3">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对重传病例有专门的状态区分，后续可以进行操作如编辑清单，重新上传等</w:t>
            </w:r>
          </w:p>
        </w:tc>
      </w:tr>
      <w:tr w14:paraId="028F0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5F21D645">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w:t>
            </w:r>
          </w:p>
        </w:tc>
        <w:tc>
          <w:tcPr>
            <w:tcW w:w="2865" w:type="dxa"/>
            <w:noWrap w:val="0"/>
            <w:vAlign w:val="center"/>
          </w:tcPr>
          <w:p w14:paraId="474901F1">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单议患者管理</w:t>
            </w:r>
          </w:p>
        </w:tc>
        <w:tc>
          <w:tcPr>
            <w:tcW w:w="5040" w:type="dxa"/>
            <w:noWrap w:val="0"/>
            <w:vAlign w:val="center"/>
          </w:tcPr>
          <w:p w14:paraId="2CAABACE">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支持在结算清单管理系统中通过批量导入或单个打标的方式筛选单议患者</w:t>
            </w:r>
          </w:p>
          <w:p w14:paraId="1120A8DC">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支持对单议患者进行申诉材料填写、查看、批量下载</w:t>
            </w:r>
          </w:p>
          <w:p w14:paraId="33A37F30">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支持根据医院管理流程配置对单议患者的审核流程，并配置审核人员权限</w:t>
            </w:r>
          </w:p>
          <w:p w14:paraId="3780DE4A">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支持对单议患者筛选至审核通过的全流程进行管理、留存日志</w:t>
            </w:r>
          </w:p>
        </w:tc>
      </w:tr>
      <w:tr w14:paraId="1050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0" w:hRule="atLeast"/>
        </w:trPr>
        <w:tc>
          <w:tcPr>
            <w:tcW w:w="982" w:type="dxa"/>
            <w:noWrap w:val="0"/>
            <w:vAlign w:val="center"/>
          </w:tcPr>
          <w:p w14:paraId="4FD61AF1">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w:t>
            </w:r>
          </w:p>
        </w:tc>
        <w:tc>
          <w:tcPr>
            <w:tcW w:w="2865" w:type="dxa"/>
            <w:noWrap w:val="0"/>
            <w:vAlign w:val="center"/>
          </w:tcPr>
          <w:p w14:paraId="286D65A9">
            <w:pPr>
              <w:shd w:val="clear" w:color="auto" w:fill="auto"/>
              <w:spacing w:before="0" w:after="0" w:line="300" w:lineRule="auto"/>
              <w:ind w:firstLine="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单议患者上报</w:t>
            </w:r>
          </w:p>
        </w:tc>
        <w:tc>
          <w:tcPr>
            <w:tcW w:w="5040" w:type="dxa"/>
            <w:noWrap w:val="0"/>
            <w:vAlign w:val="center"/>
          </w:tcPr>
          <w:p w14:paraId="7094FD01">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支持按照国家接口规范对单议患者进行接口上报</w:t>
            </w:r>
          </w:p>
          <w:p w14:paraId="1160A127">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支持对单议上报状态进行查询</w:t>
            </w:r>
          </w:p>
          <w:p w14:paraId="7922B4DF">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支持对单议患者上报进行撤销</w:t>
            </w:r>
          </w:p>
          <w:p w14:paraId="56CA62DE">
            <w:pPr>
              <w:shd w:val="clear" w:color="auto" w:fill="auto"/>
              <w:spacing w:before="0" w:after="0" w:line="300" w:lineRule="auto"/>
              <w:ind w:firstLine="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支持对上过程中的状态进行记录及问题反馈</w:t>
            </w:r>
          </w:p>
        </w:tc>
      </w:tr>
    </w:tbl>
    <w:p w14:paraId="2E5B0130">
      <w:pPr>
        <w:shd w:val="clear" w:color="auto" w:fill="auto"/>
        <w:spacing w:before="0" w:after="0" w:line="240" w:lineRule="auto"/>
        <w:ind w:firstLine="0"/>
        <w:jc w:val="left"/>
        <w:rPr>
          <w:rFonts w:hint="default" w:ascii="宋体" w:hAnsi="宋体" w:eastAsia="宋体" w:cs="宋体"/>
          <w:b/>
          <w:sz w:val="28"/>
          <w:szCs w:val="28"/>
          <w:lang w:val="en-US" w:eastAsia="zh-CN"/>
        </w:rPr>
      </w:pPr>
    </w:p>
    <w:p w14:paraId="52FECFD5"/>
    <w:p w14:paraId="11E440FA">
      <w:pPr>
        <w:spacing w:line="360" w:lineRule="exact"/>
        <w:rPr>
          <w:rFonts w:hint="default" w:ascii="宋体" w:hAnsi="宋体" w:eastAsia="宋体"/>
          <w:b/>
          <w:color w:val="auto"/>
          <w:sz w:val="24"/>
          <w:lang w:val="en-US" w:eastAsia="zh-CN"/>
        </w:rPr>
      </w:pPr>
    </w:p>
    <w:p w14:paraId="340F157A">
      <w:pPr>
        <w:keepNext w:val="0"/>
        <w:keepLines w:val="0"/>
        <w:pageBreakBefore w:val="0"/>
        <w:widowControl w:val="0"/>
        <w:kinsoku/>
        <w:wordWrap/>
        <w:overflowPunct/>
        <w:topLinePunct w:val="0"/>
        <w:autoSpaceDE/>
        <w:autoSpaceDN/>
        <w:bidi w:val="0"/>
        <w:adjustRightInd/>
        <w:snapToGrid/>
        <w:spacing w:beforeAutospacing="0" w:afterAutospacing="0" w:line="480" w:lineRule="exact"/>
        <w:textAlignment w:val="auto"/>
        <w:rPr>
          <w:rFonts w:hint="eastAsia" w:eastAsia="宋体"/>
          <w:lang w:val="en-US" w:eastAsia="zh-CN"/>
        </w:rPr>
      </w:pPr>
    </w:p>
    <w:p w14:paraId="145C663B">
      <w:pPr>
        <w:pStyle w:val="9"/>
        <w:keepNext w:val="0"/>
        <w:keepLines w:val="0"/>
        <w:pageBreakBefore w:val="0"/>
        <w:widowControl w:val="0"/>
        <w:kinsoku/>
        <w:wordWrap/>
        <w:overflowPunct/>
        <w:topLinePunct w:val="0"/>
        <w:autoSpaceDE/>
        <w:autoSpaceDN/>
        <w:bidi w:val="0"/>
        <w:adjustRightInd/>
        <w:snapToGrid/>
        <w:spacing w:beforeAutospacing="0" w:after="0" w:afterAutospacing="0" w:line="480" w:lineRule="exact"/>
        <w:textAlignment w:val="auto"/>
        <w:rPr>
          <w:b/>
          <w:bCs/>
        </w:rPr>
      </w:pPr>
    </w:p>
    <w:p w14:paraId="47FCCD64">
      <w:pPr>
        <w:keepNext w:val="0"/>
        <w:keepLines w:val="0"/>
        <w:pageBreakBefore w:val="0"/>
        <w:widowControl w:val="0"/>
        <w:kinsoku/>
        <w:wordWrap/>
        <w:overflowPunct/>
        <w:topLinePunct w:val="0"/>
        <w:autoSpaceDE/>
        <w:autoSpaceDN/>
        <w:bidi w:val="0"/>
        <w:adjustRightInd/>
        <w:snapToGrid/>
        <w:spacing w:beforeAutospacing="0" w:afterAutospacing="0" w:line="480" w:lineRule="exact"/>
        <w:textAlignment w:val="auto"/>
      </w:pPr>
    </w:p>
    <w:p w14:paraId="3AAEA64B">
      <w:pPr>
        <w:rPr>
          <w:rFonts w:hint="eastAsia"/>
          <w:bCs/>
          <w:color w:val="auto"/>
          <w:sz w:val="28"/>
          <w:szCs w:val="28"/>
          <w:lang w:val="en-US" w:eastAsia="zh-CN"/>
        </w:rPr>
      </w:pPr>
    </w:p>
    <w:p w14:paraId="13E9B742">
      <w:pPr>
        <w:pStyle w:val="2"/>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74E273B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47B25D8">
      <w:pPr>
        <w:rPr>
          <w:rFonts w:hint="eastAsia" w:ascii="宋体" w:hAnsi="宋体" w:cs="宋体"/>
          <w:color w:val="auto"/>
        </w:rPr>
      </w:pPr>
    </w:p>
    <w:bookmarkEnd w:id="3"/>
    <w:p w14:paraId="78962428">
      <w:pPr>
        <w:rPr>
          <w:rFonts w:hint="eastAsia"/>
          <w:color w:val="auto"/>
        </w:rPr>
      </w:pPr>
    </w:p>
    <w:p w14:paraId="36F42CE8">
      <w:pPr>
        <w:jc w:val="center"/>
        <w:rPr>
          <w:b/>
          <w:color w:val="auto"/>
          <w:sz w:val="24"/>
        </w:rPr>
      </w:pPr>
      <w:r>
        <w:rPr>
          <w:b/>
          <w:color w:val="auto"/>
          <w:sz w:val="28"/>
          <w:szCs w:val="28"/>
        </w:rPr>
        <w:t>第一部分、开标一览表</w:t>
      </w:r>
    </w:p>
    <w:p w14:paraId="7FB9E15C">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45EABF19">
      <w:pPr>
        <w:pStyle w:val="17"/>
        <w:rPr>
          <w:color w:val="auto"/>
        </w:rPr>
      </w:pPr>
    </w:p>
    <w:p w14:paraId="49F08D41">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829FCAE">
      <w:pPr>
        <w:pStyle w:val="16"/>
        <w:rPr>
          <w:rFonts w:hint="eastAsia"/>
          <w:color w:val="auto"/>
          <w:lang w:eastAsia="zh-CN"/>
        </w:rPr>
      </w:pPr>
    </w:p>
    <w:p w14:paraId="2636BBFE">
      <w:pPr>
        <w:adjustRightInd w:val="0"/>
        <w:snapToGrid w:val="0"/>
        <w:spacing w:line="360" w:lineRule="auto"/>
        <w:jc w:val="center"/>
        <w:rPr>
          <w:rFonts w:hint="eastAsia" w:ascii="宋体" w:hAnsi="宋体" w:cs="宋体"/>
          <w:b/>
          <w:color w:val="auto"/>
          <w:sz w:val="24"/>
          <w:szCs w:val="20"/>
        </w:rPr>
      </w:pPr>
    </w:p>
    <w:p w14:paraId="3E99178D">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BC0B43E">
      <w:pPr>
        <w:adjustRightInd w:val="0"/>
        <w:snapToGrid w:val="0"/>
        <w:spacing w:line="360" w:lineRule="auto"/>
        <w:rPr>
          <w:rFonts w:hint="eastAsia" w:ascii="宋体" w:hAnsi="宋体" w:cs="宋体"/>
          <w:b/>
          <w:color w:val="auto"/>
          <w:sz w:val="28"/>
          <w:szCs w:val="28"/>
        </w:rPr>
      </w:pPr>
    </w:p>
    <w:p w14:paraId="150B144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A3908B1">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46A0F90">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276CFC9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7C1575A2">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FD9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F5C465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1CB041A">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9C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7165B1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A1A1A83">
      <w:pPr>
        <w:adjustRightInd w:val="0"/>
        <w:snapToGrid w:val="0"/>
        <w:spacing w:line="360" w:lineRule="auto"/>
        <w:rPr>
          <w:rFonts w:hint="eastAsia" w:ascii="宋体" w:hAnsi="宋体" w:cs="宋体"/>
          <w:color w:val="auto"/>
          <w:sz w:val="24"/>
        </w:rPr>
      </w:pPr>
    </w:p>
    <w:p w14:paraId="7D319763">
      <w:pPr>
        <w:adjustRightInd w:val="0"/>
        <w:snapToGrid w:val="0"/>
        <w:spacing w:line="360" w:lineRule="auto"/>
        <w:rPr>
          <w:rFonts w:hint="eastAsia" w:ascii="宋体" w:hAnsi="宋体" w:cs="宋体"/>
          <w:color w:val="auto"/>
          <w:sz w:val="24"/>
        </w:rPr>
      </w:pPr>
    </w:p>
    <w:p w14:paraId="2360019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31A13AC5">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F579D2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6D9678C">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05E9C3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4" w:name="_Toc476514128"/>
      <w:bookmarkStart w:id="5" w:name="_Toc486424819"/>
    </w:p>
    <w:p w14:paraId="1EA6D6B5">
      <w:pPr>
        <w:pStyle w:val="16"/>
        <w:rPr>
          <w:rFonts w:hint="eastAsia"/>
          <w:color w:val="auto"/>
          <w:lang w:eastAsia="zh-CN"/>
        </w:rPr>
      </w:pPr>
    </w:p>
    <w:p w14:paraId="42B146CD">
      <w:pPr>
        <w:spacing w:before="120" w:beforeLines="50" w:after="120" w:afterLines="50" w:line="276" w:lineRule="auto"/>
        <w:jc w:val="center"/>
        <w:rPr>
          <w:b/>
          <w:color w:val="auto"/>
          <w:sz w:val="24"/>
        </w:rPr>
      </w:pPr>
      <w:r>
        <w:rPr>
          <w:b/>
          <w:color w:val="auto"/>
          <w:sz w:val="24"/>
        </w:rPr>
        <w:t>采购需求响应</w:t>
      </w:r>
    </w:p>
    <w:p w14:paraId="1BDCAEB2">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10D213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16CDC306">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2217E77F">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2672E11">
            <w:pPr>
              <w:adjustRightInd w:val="0"/>
              <w:snapToGrid w:val="0"/>
              <w:spacing w:before="50" w:line="360" w:lineRule="auto"/>
              <w:jc w:val="center"/>
              <w:rPr>
                <w:color w:val="auto"/>
              </w:rPr>
            </w:pPr>
            <w:r>
              <w:rPr>
                <w:color w:val="auto"/>
              </w:rPr>
              <w:t>招标文件要求</w:t>
            </w:r>
          </w:p>
        </w:tc>
        <w:tc>
          <w:tcPr>
            <w:tcW w:w="962" w:type="pct"/>
            <w:noWrap w:val="0"/>
            <w:vAlign w:val="top"/>
          </w:tcPr>
          <w:p w14:paraId="39C80CA9">
            <w:pPr>
              <w:adjustRightInd w:val="0"/>
              <w:snapToGrid w:val="0"/>
              <w:spacing w:before="50" w:line="360" w:lineRule="auto"/>
              <w:jc w:val="center"/>
              <w:rPr>
                <w:color w:val="auto"/>
              </w:rPr>
            </w:pPr>
            <w:r>
              <w:rPr>
                <w:color w:val="auto"/>
              </w:rPr>
              <w:t>投标文件应答</w:t>
            </w:r>
          </w:p>
        </w:tc>
        <w:tc>
          <w:tcPr>
            <w:tcW w:w="905" w:type="pct"/>
            <w:noWrap w:val="0"/>
            <w:vAlign w:val="center"/>
          </w:tcPr>
          <w:p w14:paraId="7AFACFBE">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5FCABC0B">
            <w:pPr>
              <w:adjustRightInd w:val="0"/>
              <w:snapToGrid w:val="0"/>
              <w:spacing w:before="50" w:line="360" w:lineRule="auto"/>
              <w:ind w:left="-88" w:leftChars="-42"/>
              <w:jc w:val="center"/>
              <w:rPr>
                <w:color w:val="auto"/>
                <w:szCs w:val="21"/>
              </w:rPr>
            </w:pPr>
            <w:r>
              <w:rPr>
                <w:color w:val="auto"/>
                <w:szCs w:val="21"/>
              </w:rPr>
              <w:t>偏离说明</w:t>
            </w:r>
          </w:p>
        </w:tc>
      </w:tr>
      <w:tr w14:paraId="6417D0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09306F2">
            <w:pPr>
              <w:adjustRightInd w:val="0"/>
              <w:snapToGrid w:val="0"/>
              <w:spacing w:before="50" w:line="360" w:lineRule="auto"/>
              <w:ind w:left="-88" w:leftChars="-42"/>
              <w:jc w:val="center"/>
              <w:rPr>
                <w:color w:val="auto"/>
                <w:szCs w:val="21"/>
              </w:rPr>
            </w:pPr>
          </w:p>
        </w:tc>
        <w:tc>
          <w:tcPr>
            <w:tcW w:w="1123" w:type="pct"/>
            <w:noWrap w:val="0"/>
            <w:vAlign w:val="center"/>
          </w:tcPr>
          <w:p w14:paraId="3768D484">
            <w:pPr>
              <w:adjustRightInd w:val="0"/>
              <w:snapToGrid w:val="0"/>
              <w:spacing w:before="50" w:line="360" w:lineRule="auto"/>
              <w:ind w:left="-88" w:leftChars="-42"/>
              <w:jc w:val="center"/>
              <w:rPr>
                <w:color w:val="auto"/>
                <w:szCs w:val="21"/>
              </w:rPr>
            </w:pPr>
          </w:p>
        </w:tc>
        <w:tc>
          <w:tcPr>
            <w:tcW w:w="1000" w:type="pct"/>
            <w:noWrap w:val="0"/>
            <w:vAlign w:val="center"/>
          </w:tcPr>
          <w:p w14:paraId="14278077">
            <w:pPr>
              <w:adjustRightInd w:val="0"/>
              <w:snapToGrid w:val="0"/>
              <w:spacing w:before="50" w:line="360" w:lineRule="auto"/>
              <w:ind w:left="-88" w:leftChars="-42"/>
              <w:jc w:val="center"/>
              <w:rPr>
                <w:color w:val="auto"/>
                <w:szCs w:val="21"/>
              </w:rPr>
            </w:pPr>
          </w:p>
        </w:tc>
        <w:tc>
          <w:tcPr>
            <w:tcW w:w="962" w:type="pct"/>
            <w:noWrap w:val="0"/>
            <w:vAlign w:val="center"/>
          </w:tcPr>
          <w:p w14:paraId="4012661F">
            <w:pPr>
              <w:adjustRightInd w:val="0"/>
              <w:snapToGrid w:val="0"/>
              <w:spacing w:before="50" w:line="360" w:lineRule="auto"/>
              <w:ind w:left="-88" w:leftChars="-42"/>
              <w:jc w:val="center"/>
              <w:rPr>
                <w:color w:val="auto"/>
                <w:szCs w:val="21"/>
              </w:rPr>
            </w:pPr>
          </w:p>
        </w:tc>
        <w:tc>
          <w:tcPr>
            <w:tcW w:w="905" w:type="pct"/>
            <w:noWrap w:val="0"/>
            <w:vAlign w:val="center"/>
          </w:tcPr>
          <w:p w14:paraId="1C1DD2B4">
            <w:pPr>
              <w:adjustRightInd w:val="0"/>
              <w:snapToGrid w:val="0"/>
              <w:spacing w:before="50" w:line="360" w:lineRule="auto"/>
              <w:ind w:left="-88" w:leftChars="-42"/>
              <w:jc w:val="center"/>
              <w:rPr>
                <w:color w:val="auto"/>
                <w:szCs w:val="21"/>
              </w:rPr>
            </w:pPr>
          </w:p>
        </w:tc>
        <w:tc>
          <w:tcPr>
            <w:tcW w:w="634" w:type="pct"/>
            <w:noWrap w:val="0"/>
            <w:vAlign w:val="center"/>
          </w:tcPr>
          <w:p w14:paraId="5799DB7C">
            <w:pPr>
              <w:adjustRightInd w:val="0"/>
              <w:snapToGrid w:val="0"/>
              <w:spacing w:before="50" w:line="360" w:lineRule="auto"/>
              <w:ind w:left="-88" w:leftChars="-42"/>
              <w:jc w:val="center"/>
              <w:rPr>
                <w:color w:val="auto"/>
                <w:szCs w:val="21"/>
              </w:rPr>
            </w:pPr>
          </w:p>
        </w:tc>
      </w:tr>
      <w:tr w14:paraId="035331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FA2DAD7">
            <w:pPr>
              <w:adjustRightInd w:val="0"/>
              <w:snapToGrid w:val="0"/>
              <w:spacing w:before="50" w:line="360" w:lineRule="auto"/>
              <w:ind w:left="-88" w:leftChars="-42"/>
              <w:jc w:val="center"/>
              <w:rPr>
                <w:color w:val="auto"/>
                <w:szCs w:val="21"/>
              </w:rPr>
            </w:pPr>
          </w:p>
        </w:tc>
        <w:tc>
          <w:tcPr>
            <w:tcW w:w="1123" w:type="pct"/>
            <w:noWrap w:val="0"/>
            <w:vAlign w:val="center"/>
          </w:tcPr>
          <w:p w14:paraId="0D1BF3EE">
            <w:pPr>
              <w:adjustRightInd w:val="0"/>
              <w:snapToGrid w:val="0"/>
              <w:spacing w:before="50" w:line="360" w:lineRule="auto"/>
              <w:ind w:left="-88" w:leftChars="-42"/>
              <w:jc w:val="center"/>
              <w:rPr>
                <w:color w:val="auto"/>
                <w:szCs w:val="21"/>
              </w:rPr>
            </w:pPr>
          </w:p>
        </w:tc>
        <w:tc>
          <w:tcPr>
            <w:tcW w:w="1000" w:type="pct"/>
            <w:noWrap w:val="0"/>
            <w:vAlign w:val="center"/>
          </w:tcPr>
          <w:p w14:paraId="7EEF9D6D">
            <w:pPr>
              <w:adjustRightInd w:val="0"/>
              <w:snapToGrid w:val="0"/>
              <w:spacing w:before="50" w:line="360" w:lineRule="auto"/>
              <w:ind w:left="-88" w:leftChars="-42"/>
              <w:jc w:val="center"/>
              <w:rPr>
                <w:color w:val="auto"/>
                <w:szCs w:val="21"/>
              </w:rPr>
            </w:pPr>
          </w:p>
        </w:tc>
        <w:tc>
          <w:tcPr>
            <w:tcW w:w="962" w:type="pct"/>
            <w:noWrap w:val="0"/>
            <w:vAlign w:val="center"/>
          </w:tcPr>
          <w:p w14:paraId="096C55E9">
            <w:pPr>
              <w:adjustRightInd w:val="0"/>
              <w:snapToGrid w:val="0"/>
              <w:spacing w:before="50" w:line="360" w:lineRule="auto"/>
              <w:ind w:left="-88" w:leftChars="-42"/>
              <w:jc w:val="center"/>
              <w:rPr>
                <w:color w:val="auto"/>
                <w:szCs w:val="21"/>
              </w:rPr>
            </w:pPr>
          </w:p>
        </w:tc>
        <w:tc>
          <w:tcPr>
            <w:tcW w:w="905" w:type="pct"/>
            <w:noWrap w:val="0"/>
            <w:vAlign w:val="center"/>
          </w:tcPr>
          <w:p w14:paraId="7D4D6F3B">
            <w:pPr>
              <w:adjustRightInd w:val="0"/>
              <w:snapToGrid w:val="0"/>
              <w:spacing w:before="50" w:line="360" w:lineRule="auto"/>
              <w:ind w:left="-88" w:leftChars="-42"/>
              <w:jc w:val="center"/>
              <w:rPr>
                <w:color w:val="auto"/>
                <w:szCs w:val="21"/>
              </w:rPr>
            </w:pPr>
          </w:p>
        </w:tc>
        <w:tc>
          <w:tcPr>
            <w:tcW w:w="634" w:type="pct"/>
            <w:noWrap w:val="0"/>
            <w:vAlign w:val="center"/>
          </w:tcPr>
          <w:p w14:paraId="2A291884">
            <w:pPr>
              <w:adjustRightInd w:val="0"/>
              <w:snapToGrid w:val="0"/>
              <w:spacing w:before="50" w:line="360" w:lineRule="auto"/>
              <w:ind w:left="-88" w:leftChars="-42"/>
              <w:jc w:val="center"/>
              <w:rPr>
                <w:color w:val="auto"/>
                <w:szCs w:val="21"/>
              </w:rPr>
            </w:pPr>
          </w:p>
        </w:tc>
      </w:tr>
      <w:tr w14:paraId="6DB671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C9C8D73">
            <w:pPr>
              <w:adjustRightInd w:val="0"/>
              <w:snapToGrid w:val="0"/>
              <w:spacing w:before="50" w:line="360" w:lineRule="auto"/>
              <w:ind w:left="-88" w:leftChars="-42"/>
              <w:jc w:val="center"/>
              <w:rPr>
                <w:color w:val="auto"/>
                <w:szCs w:val="21"/>
              </w:rPr>
            </w:pPr>
          </w:p>
        </w:tc>
        <w:tc>
          <w:tcPr>
            <w:tcW w:w="1123" w:type="pct"/>
            <w:noWrap w:val="0"/>
            <w:vAlign w:val="center"/>
          </w:tcPr>
          <w:p w14:paraId="6EBD485E">
            <w:pPr>
              <w:adjustRightInd w:val="0"/>
              <w:snapToGrid w:val="0"/>
              <w:spacing w:before="50" w:line="360" w:lineRule="auto"/>
              <w:ind w:left="-88" w:leftChars="-42"/>
              <w:jc w:val="center"/>
              <w:rPr>
                <w:color w:val="auto"/>
                <w:szCs w:val="21"/>
              </w:rPr>
            </w:pPr>
          </w:p>
        </w:tc>
        <w:tc>
          <w:tcPr>
            <w:tcW w:w="1000" w:type="pct"/>
            <w:noWrap w:val="0"/>
            <w:vAlign w:val="center"/>
          </w:tcPr>
          <w:p w14:paraId="425F73F0">
            <w:pPr>
              <w:adjustRightInd w:val="0"/>
              <w:snapToGrid w:val="0"/>
              <w:spacing w:before="50" w:line="360" w:lineRule="auto"/>
              <w:ind w:left="-88" w:leftChars="-42"/>
              <w:jc w:val="center"/>
              <w:rPr>
                <w:color w:val="auto"/>
                <w:szCs w:val="21"/>
              </w:rPr>
            </w:pPr>
          </w:p>
        </w:tc>
        <w:tc>
          <w:tcPr>
            <w:tcW w:w="962" w:type="pct"/>
            <w:noWrap w:val="0"/>
            <w:vAlign w:val="center"/>
          </w:tcPr>
          <w:p w14:paraId="0508E1C5">
            <w:pPr>
              <w:adjustRightInd w:val="0"/>
              <w:snapToGrid w:val="0"/>
              <w:spacing w:before="50" w:line="360" w:lineRule="auto"/>
              <w:ind w:left="-88" w:leftChars="-42"/>
              <w:jc w:val="center"/>
              <w:rPr>
                <w:color w:val="auto"/>
                <w:szCs w:val="21"/>
              </w:rPr>
            </w:pPr>
          </w:p>
        </w:tc>
        <w:tc>
          <w:tcPr>
            <w:tcW w:w="905" w:type="pct"/>
            <w:noWrap w:val="0"/>
            <w:vAlign w:val="center"/>
          </w:tcPr>
          <w:p w14:paraId="2F36D6C0">
            <w:pPr>
              <w:adjustRightInd w:val="0"/>
              <w:snapToGrid w:val="0"/>
              <w:spacing w:before="50" w:line="360" w:lineRule="auto"/>
              <w:ind w:left="-88" w:leftChars="-42"/>
              <w:jc w:val="center"/>
              <w:rPr>
                <w:color w:val="auto"/>
                <w:szCs w:val="21"/>
              </w:rPr>
            </w:pPr>
          </w:p>
        </w:tc>
        <w:tc>
          <w:tcPr>
            <w:tcW w:w="634" w:type="pct"/>
            <w:noWrap w:val="0"/>
            <w:vAlign w:val="center"/>
          </w:tcPr>
          <w:p w14:paraId="50EF528C">
            <w:pPr>
              <w:adjustRightInd w:val="0"/>
              <w:snapToGrid w:val="0"/>
              <w:spacing w:before="50" w:line="360" w:lineRule="auto"/>
              <w:ind w:left="-88" w:leftChars="-42"/>
              <w:jc w:val="center"/>
              <w:rPr>
                <w:color w:val="auto"/>
                <w:szCs w:val="21"/>
              </w:rPr>
            </w:pPr>
          </w:p>
        </w:tc>
      </w:tr>
      <w:tr w14:paraId="625F5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22DD2BDB">
            <w:pPr>
              <w:rPr>
                <w:b/>
                <w:color w:val="auto"/>
              </w:rPr>
            </w:pPr>
            <w:r>
              <w:rPr>
                <w:b/>
                <w:color w:val="auto"/>
              </w:rPr>
              <w:t>投标人保证：我单位对招标文件的其他采购需求条款完全响应，无偏离。</w:t>
            </w:r>
          </w:p>
        </w:tc>
      </w:tr>
    </w:tbl>
    <w:p w14:paraId="78571502">
      <w:pPr>
        <w:adjustRightInd w:val="0"/>
        <w:snapToGrid w:val="0"/>
        <w:spacing w:before="50" w:line="360" w:lineRule="auto"/>
        <w:ind w:left="-88" w:leftChars="-42"/>
        <w:rPr>
          <w:color w:val="auto"/>
          <w:sz w:val="24"/>
        </w:rPr>
      </w:pPr>
      <w:r>
        <w:rPr>
          <w:b/>
          <w:color w:val="auto"/>
          <w:sz w:val="24"/>
        </w:rPr>
        <w:t>备注</w:t>
      </w:r>
      <w:r>
        <w:rPr>
          <w:color w:val="auto"/>
          <w:sz w:val="24"/>
        </w:rPr>
        <w:t>：</w:t>
      </w:r>
    </w:p>
    <w:p w14:paraId="23BABA2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47026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6306EAB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4"/>
      <w:bookmarkEnd w:id="5"/>
    </w:p>
    <w:p w14:paraId="5D56B432">
      <w:pPr>
        <w:rPr>
          <w:color w:val="auto"/>
        </w:rPr>
      </w:pPr>
    </w:p>
    <w:p w14:paraId="4AD100B0"/>
    <w:p w14:paraId="2AECC303"/>
    <w:p w14:paraId="5A1BD17D"/>
    <w:p w14:paraId="02562EC9"/>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AA3BB">
    <w:pPr>
      <w:pStyle w:val="7"/>
      <w:rPr>
        <w:rFonts w:hint="eastAsia" w:ascii="仿宋_GB2312" w:eastAsia="仿宋_GB2312"/>
        <w:bCs/>
        <w:u w:val="single"/>
      </w:rPr>
    </w:pPr>
    <w:r>
      <w:rPr>
        <w:rFonts w:hint="eastAsia" w:ascii="仿宋_GB2312" w:eastAsia="仿宋_GB2312"/>
        <w:bCs/>
        <w:u w:val="single"/>
      </w:rPr>
      <w:t xml:space="preserve">                                                                                                 </w:t>
    </w:r>
  </w:p>
  <w:p w14:paraId="07C116A2">
    <w:pPr>
      <w:adjustRightInd w:val="0"/>
      <w:snapToGrid w:val="0"/>
      <w:spacing w:line="260" w:lineRule="atLeast"/>
      <w:ind w:left="482" w:hanging="482"/>
      <w:rPr>
        <w:rFonts w:hint="eastAsia" w:ascii="宋体" w:hAnsi="宋体"/>
        <w:kern w:val="0"/>
        <w:sz w:val="18"/>
        <w:szCs w:val="21"/>
      </w:rPr>
    </w:pPr>
  </w:p>
  <w:p w14:paraId="549C2307">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308FC">
    <w:pPr>
      <w:pStyle w:val="7"/>
      <w:rPr>
        <w:rFonts w:hint="eastAsia" w:ascii="仿宋_GB2312" w:eastAsia="仿宋_GB2312"/>
        <w:bCs/>
        <w:u w:val="single"/>
      </w:rPr>
    </w:pPr>
    <w:r>
      <w:rPr>
        <w:rFonts w:hint="eastAsia" w:ascii="仿宋_GB2312" w:eastAsia="仿宋_GB2312"/>
        <w:bCs/>
        <w:u w:val="single"/>
      </w:rPr>
      <w:t xml:space="preserve">                                                                                                 </w:t>
    </w:r>
  </w:p>
  <w:p w14:paraId="28428F63">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A693F">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126AB9"/>
    <w:multiLevelType w:val="multilevel"/>
    <w:tmpl w:val="37126AB9"/>
    <w:lvl w:ilvl="0" w:tentative="0">
      <w:start w:val="1"/>
      <w:numFmt w:val="decimal"/>
      <w:lvlText w:val="%1)"/>
      <w:lvlJc w:val="left"/>
      <w:pPr>
        <w:ind w:left="440" w:hanging="440"/>
      </w:pPr>
      <w:rPr>
        <w:color w:val="auto"/>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DF5A50"/>
    <w:rsid w:val="2C072194"/>
    <w:rsid w:val="2EDF5A50"/>
    <w:rsid w:val="74EC5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1"/>
    <w:qFormat/>
    <w:uiPriority w:val="0"/>
    <w:pPr>
      <w:spacing w:after="120" w:line="400" w:lineRule="exact"/>
      <w:ind w:left="420" w:leftChars="200"/>
    </w:pPr>
    <w:rPr>
      <w:rFonts w:ascii="Calibri" w:hAnsi="Calibri"/>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qFormat/>
    <w:uiPriority w:val="0"/>
    <w:pPr>
      <w:spacing w:after="120" w:line="480" w:lineRule="auto"/>
    </w:pPr>
  </w:style>
  <w:style w:type="paragraph" w:styleId="10">
    <w:name w:val="Normal (Web)"/>
    <w:basedOn w:val="1"/>
    <w:qFormat/>
    <w:uiPriority w:val="0"/>
    <w:rPr>
      <w:sz w:val="24"/>
    </w:rPr>
  </w:style>
  <w:style w:type="paragraph" w:styleId="11">
    <w:name w:val="Body Text First Indent 2"/>
    <w:basedOn w:val="6"/>
    <w:next w:val="4"/>
    <w:qFormat/>
    <w:uiPriority w:val="0"/>
    <w:pPr>
      <w:autoSpaceDE w:val="0"/>
      <w:autoSpaceDN w:val="0"/>
      <w:adjustRightInd w:val="0"/>
      <w:ind w:firstLine="420"/>
      <w:jc w:val="left"/>
    </w:pPr>
    <w:rPr>
      <w:kern w:val="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qFormat/>
    <w:uiPriority w:val="0"/>
    <w:rPr>
      <w:color w:val="0000FF"/>
      <w:u w:val="single"/>
    </w:rPr>
  </w:style>
  <w:style w:type="paragraph" w:customStyle="1" w:styleId="16">
    <w:name w:val="列出段落1"/>
    <w:basedOn w:val="1"/>
    <w:qFormat/>
    <w:uiPriority w:val="99"/>
    <w:pPr>
      <w:ind w:firstLine="420" w:firstLineChars="200"/>
    </w:p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style>
  <w:style w:type="paragraph" w:customStyle="1" w:styleId="19">
    <w:name w:val="列表段落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10119</Words>
  <Characters>10822</Characters>
  <Lines>0</Lines>
  <Paragraphs>0</Paragraphs>
  <TotalTime>2</TotalTime>
  <ScaleCrop>false</ScaleCrop>
  <LinksUpToDate>false</LinksUpToDate>
  <CharactersWithSpaces>11046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2026-01-15T03:10:00Z</dcterms:created>
  <dc:creator>是小豹子</dc:creator>
  <cp:lastModifiedBy>是小豹子</cp:lastModifiedBy>
  <dcterms:modified xsi:type="dcterms:W3CDTF">2026-01-26T08:56:28Z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226C66D3F88C4378B57BAE7504F24AF3_11</vt:lpwstr>
  </property>
  <property fmtid="{D5CDD505-2E9C-101B-9397-08002B2CF9AE}" pid="4" name="KSOTemplateDocerSaveRecord">
    <vt:lpwstr>eyJoZGlkIjoiMjI0YzkyZjA4NDE5ZWViZGEyZTVjOTNhYTg4ZmYzYTciLCJ1c2VySWQiOiIzMDQ3NTQ4MDUifQ==</vt:lpwstr>
  </property>
</Properties>
</file>