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021B76">
      <w:pPr>
        <w:pStyle w:val="15"/>
        <w:snapToGrid w:val="0"/>
        <w:jc w:val="center"/>
        <w:rPr>
          <w:rFonts w:hint="eastAsia" w:ascii="Arial" w:hAnsi="Arial" w:eastAsia="方正小标宋简体" w:cs="Arial"/>
          <w:sz w:val="72"/>
          <w:szCs w:val="72"/>
        </w:rPr>
      </w:pPr>
      <w:bookmarkStart w:id="0" w:name="_Toc16523570"/>
    </w:p>
    <w:p w14:paraId="36822329">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735A3AC2">
      <w:pPr>
        <w:pStyle w:val="15"/>
        <w:snapToGrid w:val="0"/>
        <w:jc w:val="center"/>
        <w:rPr>
          <w:rFonts w:hint="eastAsia" w:ascii="Arial" w:hAnsi="Arial" w:eastAsia="方正小标宋简体" w:cs="Arial"/>
          <w:sz w:val="72"/>
          <w:szCs w:val="72"/>
        </w:rPr>
      </w:pPr>
    </w:p>
    <w:p w14:paraId="3A869CB6">
      <w:pPr>
        <w:pStyle w:val="15"/>
        <w:snapToGrid w:val="0"/>
        <w:jc w:val="center"/>
        <w:rPr>
          <w:rFonts w:hint="eastAsia" w:ascii="Arial" w:hAnsi="Arial" w:eastAsia="方正小标宋简体" w:cs="Arial"/>
          <w:sz w:val="72"/>
          <w:szCs w:val="72"/>
        </w:rPr>
      </w:pPr>
    </w:p>
    <w:p w14:paraId="6308C621">
      <w:pPr>
        <w:pStyle w:val="15"/>
        <w:snapToGrid w:val="0"/>
        <w:jc w:val="center"/>
        <w:rPr>
          <w:rFonts w:hint="eastAsia" w:ascii="Arial" w:hAnsi="Arial" w:eastAsia="方正小标宋简体" w:cs="Arial"/>
          <w:sz w:val="72"/>
          <w:szCs w:val="72"/>
        </w:rPr>
      </w:pPr>
    </w:p>
    <w:p w14:paraId="77BAE459">
      <w:pPr>
        <w:pStyle w:val="15"/>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47B5448">
      <w:pPr>
        <w:pStyle w:val="15"/>
        <w:snapToGrid w:val="0"/>
        <w:jc w:val="center"/>
        <w:rPr>
          <w:rFonts w:ascii="Arial" w:hAnsi="Arial" w:cs="Arial"/>
          <w:sz w:val="32"/>
          <w:szCs w:val="32"/>
        </w:rPr>
      </w:pPr>
    </w:p>
    <w:p w14:paraId="2131F55F">
      <w:pPr>
        <w:pStyle w:val="16"/>
        <w:rPr>
          <w:rFonts w:ascii="Arial" w:hAnsi="Arial" w:cs="Arial"/>
          <w:sz w:val="32"/>
          <w:szCs w:val="32"/>
        </w:rPr>
      </w:pPr>
    </w:p>
    <w:p w14:paraId="172E63A8">
      <w:pPr>
        <w:pStyle w:val="9"/>
        <w:rPr>
          <w:rFonts w:ascii="Arial" w:hAnsi="Arial" w:cs="Arial"/>
          <w:sz w:val="32"/>
          <w:szCs w:val="32"/>
        </w:rPr>
      </w:pPr>
    </w:p>
    <w:p w14:paraId="36F01534">
      <w:pPr>
        <w:pStyle w:val="9"/>
        <w:rPr>
          <w:rFonts w:ascii="Arial" w:hAnsi="Arial" w:cs="Arial"/>
          <w:sz w:val="32"/>
          <w:szCs w:val="32"/>
        </w:rPr>
      </w:pPr>
    </w:p>
    <w:p w14:paraId="4BCE7A98">
      <w:pPr>
        <w:pStyle w:val="9"/>
        <w:rPr>
          <w:rFonts w:ascii="Arial" w:hAnsi="Arial" w:cs="Arial"/>
          <w:sz w:val="32"/>
          <w:szCs w:val="32"/>
        </w:rPr>
      </w:pPr>
    </w:p>
    <w:p w14:paraId="6C8100B0">
      <w:pPr>
        <w:pStyle w:val="9"/>
        <w:rPr>
          <w:rFonts w:ascii="Arial" w:hAnsi="Arial" w:cs="Arial"/>
          <w:sz w:val="32"/>
          <w:szCs w:val="32"/>
        </w:rPr>
      </w:pPr>
    </w:p>
    <w:p w14:paraId="37C2D5A4">
      <w:pPr>
        <w:pStyle w:val="9"/>
        <w:rPr>
          <w:rFonts w:ascii="Arial" w:hAnsi="Arial" w:cs="Arial"/>
          <w:sz w:val="32"/>
          <w:szCs w:val="32"/>
        </w:rPr>
      </w:pPr>
    </w:p>
    <w:p w14:paraId="7E1F68C4">
      <w:pPr>
        <w:pStyle w:val="9"/>
        <w:rPr>
          <w:rFonts w:ascii="Arial" w:hAnsi="Arial" w:cs="Arial"/>
          <w:sz w:val="32"/>
          <w:szCs w:val="32"/>
        </w:rPr>
      </w:pPr>
    </w:p>
    <w:p w14:paraId="666BCD9A">
      <w:pPr>
        <w:pStyle w:val="9"/>
        <w:rPr>
          <w:rFonts w:ascii="Arial" w:hAnsi="Arial" w:cs="Arial"/>
          <w:sz w:val="32"/>
          <w:szCs w:val="32"/>
        </w:rPr>
      </w:pPr>
    </w:p>
    <w:p w14:paraId="6CB66431">
      <w:pPr>
        <w:pStyle w:val="15"/>
        <w:snapToGrid w:val="0"/>
        <w:jc w:val="center"/>
        <w:rPr>
          <w:rFonts w:ascii="Arial" w:hAnsi="Arial" w:cs="Arial"/>
          <w:sz w:val="32"/>
          <w:szCs w:val="32"/>
        </w:rPr>
      </w:pPr>
    </w:p>
    <w:p w14:paraId="2E420D01">
      <w:pPr>
        <w:pStyle w:val="15"/>
        <w:snapToGrid w:val="0"/>
        <w:jc w:val="center"/>
        <w:rPr>
          <w:rFonts w:ascii="Arial" w:hAnsi="Arial" w:cs="Arial"/>
          <w:sz w:val="32"/>
          <w:szCs w:val="32"/>
        </w:rPr>
      </w:pPr>
    </w:p>
    <w:p w14:paraId="331534E3">
      <w:pPr>
        <w:spacing w:line="360" w:lineRule="auto"/>
        <w:rPr>
          <w:rFonts w:hint="eastAsia"/>
          <w:bCs/>
          <w:sz w:val="32"/>
          <w:szCs w:val="32"/>
        </w:rPr>
      </w:pPr>
    </w:p>
    <w:p w14:paraId="77CDE0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414399B7">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（气道管理模型等一批医院公开挂网</w:t>
      </w:r>
      <w:r>
        <w:rPr>
          <w:rFonts w:hint="eastAsia" w:ascii="Times New Roman" w:hAnsi="Times New Roman" w:eastAsia="宋体" w:cs="Times New Roman"/>
          <w:b/>
          <w:bCs/>
          <w:kern w:val="44"/>
          <w:sz w:val="32"/>
          <w:szCs w:val="32"/>
          <w:lang w:val="en-US" w:eastAsia="zh-CN" w:bidi="ar-SA"/>
        </w:rPr>
        <w:t>）</w:t>
      </w:r>
    </w:p>
    <w:p w14:paraId="01899626">
      <w:pPr>
        <w:spacing w:line="320" w:lineRule="exact"/>
        <w:jc w:val="left"/>
        <w:rPr>
          <w:sz w:val="24"/>
        </w:rPr>
      </w:pPr>
    </w:p>
    <w:p w14:paraId="4C8F14D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一</w:t>
      </w:r>
      <w:r>
        <w:rPr>
          <w:rFonts w:hint="eastAsia" w:ascii="宋体" w:hAnsi="宋体" w:cs="宋体"/>
          <w:bCs/>
          <w:sz w:val="32"/>
          <w:szCs w:val="32"/>
        </w:rPr>
        <w:t>月</w:t>
      </w:r>
    </w:p>
    <w:p w14:paraId="78D850E4">
      <w:pPr>
        <w:pStyle w:val="2"/>
        <w:numPr>
          <w:ilvl w:val="0"/>
          <w:numId w:val="0"/>
        </w:numPr>
        <w:spacing w:line="240" w:lineRule="auto"/>
        <w:ind w:leftChars="0"/>
        <w:jc w:val="center"/>
        <w:rPr>
          <w:rFonts w:hint="eastAsia" w:ascii="宋体" w:hAnsi="宋体" w:cs="宋体"/>
          <w:color w:val="auto"/>
          <w:sz w:val="44"/>
          <w:szCs w:val="44"/>
          <w:lang w:val="en-US" w:eastAsia="zh-CN"/>
        </w:rPr>
      </w:pPr>
    </w:p>
    <w:p w14:paraId="4A66A5A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CDE226E">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气道管理模型等一批</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2D313CFA">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2C9F3A4C">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气道管理模型等一批</w:t>
      </w:r>
      <w:r>
        <w:rPr>
          <w:rFonts w:hint="eastAsia" w:asciiTheme="minorEastAsia" w:hAnsiTheme="minorEastAsia" w:eastAsiaTheme="minorEastAsia" w:cstheme="minorEastAsia"/>
          <w:b w:val="0"/>
          <w:bCs/>
          <w:color w:val="auto"/>
          <w:sz w:val="24"/>
          <w:szCs w:val="24"/>
          <w:lang w:val="en-US" w:eastAsia="zh-CN"/>
        </w:rPr>
        <w:t>项目</w:t>
      </w:r>
    </w:p>
    <w:p w14:paraId="6554C114">
      <w:pPr>
        <w:pStyle w:val="1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76DBA799">
      <w:pPr>
        <w:pStyle w:val="15"/>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w:t>
      </w:r>
      <w:bookmarkEnd w:id="0"/>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531BA1C2">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0C8C153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07BECD4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407CE77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3E7ECD3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3D81FDE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51D9126E">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26A80EA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344F8C32">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16FA902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018C76B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5EA333D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6E32FE2A">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6FD0A4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696388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E4150F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255E30D">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35A3C40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26E2E9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4FF1BF0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25A4E0DA">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099E6E4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2AA70BFE">
      <w:pPr>
        <w:pStyle w:val="16"/>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b w:val="0"/>
          <w:bCs/>
          <w:color w:val="auto"/>
          <w:sz w:val="24"/>
          <w:szCs w:val="24"/>
          <w:lang w:val="en-US" w:eastAsia="zh-CN" w:bidi="ar-SA"/>
        </w:rPr>
      </w:pPr>
      <w:r>
        <w:rPr>
          <w:rFonts w:hint="eastAsia" w:asciiTheme="minorEastAsia" w:hAnsiTheme="minorEastAsia" w:eastAsiaTheme="minorEastAsia" w:cstheme="minorEastAsia"/>
          <w:b w:val="0"/>
          <w:bCs/>
          <w:color w:val="auto"/>
          <w:sz w:val="24"/>
          <w:szCs w:val="24"/>
          <w:lang w:val="en-US" w:eastAsia="zh-CN" w:bidi="ar-SA"/>
        </w:rPr>
        <w:t>1.7、技术参数负偏离大于5条的。</w:t>
      </w:r>
    </w:p>
    <w:p w14:paraId="0857D07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6231D96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6A165D4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2AAB7406">
      <w:pPr>
        <w:pStyle w:val="16"/>
        <w:rPr>
          <w:rFonts w:hint="eastAsia"/>
          <w:lang w:val="en-US" w:eastAsia="zh-CN"/>
        </w:rPr>
      </w:pPr>
    </w:p>
    <w:p w14:paraId="587974DF">
      <w:pPr>
        <w:pStyle w:val="16"/>
        <w:jc w:val="both"/>
        <w:rPr>
          <w:rFonts w:hint="default"/>
          <w:lang w:val="en-US" w:eastAsia="zh-CN"/>
        </w:rPr>
      </w:pPr>
    </w:p>
    <w:p w14:paraId="7ADDD541">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7F192C5">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3A8E88B">
      <w:pPr>
        <w:pStyle w:val="16"/>
        <w:rPr>
          <w:rFonts w:hint="eastAsia" w:ascii="宋体" w:hAnsi="宋体" w:cs="宋体"/>
          <w:b/>
          <w:bCs/>
          <w:color w:val="auto"/>
          <w:sz w:val="44"/>
          <w:szCs w:val="44"/>
          <w:lang w:val="en-US" w:eastAsia="zh-CN"/>
        </w:rPr>
      </w:pPr>
    </w:p>
    <w:p w14:paraId="4475D31F">
      <w:pPr>
        <w:pStyle w:val="9"/>
        <w:rPr>
          <w:rFonts w:hint="eastAsia" w:ascii="宋体" w:hAnsi="宋体" w:cs="宋体"/>
          <w:b/>
          <w:bCs/>
          <w:color w:val="auto"/>
          <w:sz w:val="44"/>
          <w:szCs w:val="44"/>
          <w:lang w:val="en-US" w:eastAsia="zh-CN"/>
        </w:rPr>
      </w:pPr>
    </w:p>
    <w:p w14:paraId="6B2EF577">
      <w:pPr>
        <w:rPr>
          <w:rFonts w:hint="eastAsia" w:ascii="宋体" w:hAnsi="宋体" w:cs="宋体"/>
          <w:b/>
          <w:bCs/>
          <w:color w:val="auto"/>
          <w:sz w:val="44"/>
          <w:szCs w:val="44"/>
          <w:lang w:val="en-US" w:eastAsia="zh-CN"/>
        </w:rPr>
      </w:pPr>
    </w:p>
    <w:p w14:paraId="7AB7ED69">
      <w:pPr>
        <w:pStyle w:val="14"/>
        <w:rPr>
          <w:rFonts w:hint="eastAsia"/>
          <w:lang w:val="en-US" w:eastAsia="zh-CN"/>
        </w:rPr>
      </w:pPr>
    </w:p>
    <w:p w14:paraId="7DFCC22E">
      <w:pPr>
        <w:rPr>
          <w:rFonts w:hint="eastAsia"/>
          <w:lang w:val="en-US" w:eastAsia="zh-CN"/>
        </w:rPr>
      </w:pPr>
      <w:r>
        <w:rPr>
          <w:rFonts w:hint="eastAsia"/>
          <w:lang w:val="en-US" w:eastAsia="zh-CN"/>
        </w:rPr>
        <w:br w:type="page"/>
      </w:r>
    </w:p>
    <w:p w14:paraId="0DFAAEDB">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AA5E9DD">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1C623E8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61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665"/>
        <w:gridCol w:w="2310"/>
        <w:gridCol w:w="2310"/>
      </w:tblGrid>
      <w:tr w14:paraId="558A813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AF1150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ED47D2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设备</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73323C2">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EE173AA">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3C23769">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是否允许进口产品</w:t>
            </w:r>
          </w:p>
        </w:tc>
      </w:tr>
      <w:tr w14:paraId="314AB45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4E8233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2161097">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气道管理模型</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C3FF2D">
            <w:pPr>
              <w:jc w:val="center"/>
              <w:rPr>
                <w:rFonts w:hint="eastAsia" w:asciiTheme="minorEastAsia" w:hAnsiTheme="minorEastAsia" w:eastAsiaTheme="minorEastAsia" w:cstheme="minorEastAsia"/>
                <w:kern w:val="2"/>
                <w:sz w:val="24"/>
                <w:szCs w:val="24"/>
                <w:lang w:val="en-US" w:eastAsia="zh-CN"/>
              </w:rPr>
            </w:pPr>
            <w:r>
              <w:rPr>
                <w:rFonts w:hint="eastAsia"/>
                <w:lang w:val="en-US" w:eastAsia="zh-CN"/>
              </w:rPr>
              <w:t>1台</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ECDFF9D">
            <w:pPr>
              <w:spacing w:beforeLines="0" w:afterLines="0"/>
              <w:jc w:val="center"/>
              <w:rPr>
                <w:rFonts w:hint="default" w:asciiTheme="minorEastAsia" w:hAnsiTheme="minorEastAsia" w:eastAsiaTheme="minorEastAsia" w:cstheme="minorEastAsia"/>
                <w:kern w:val="2"/>
                <w:sz w:val="24"/>
                <w:szCs w:val="24"/>
                <w:lang w:val="en-US" w:eastAsia="zh-CN"/>
              </w:rPr>
            </w:pPr>
            <w:r>
              <w:rPr>
                <w:rFonts w:hint="eastAsia" w:ascii="宋体" w:hAnsi="宋体"/>
                <w:color w:val="000000"/>
                <w:sz w:val="24"/>
                <w:szCs w:val="24"/>
                <w:lang w:val="en-US" w:eastAsia="zh-CN"/>
              </w:rPr>
              <w:t>2.5</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642342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r w14:paraId="5863F5B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56D8BA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CD02B20">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超声支气管介入培训模型</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062D10C">
            <w:pPr>
              <w:jc w:val="center"/>
              <w:rPr>
                <w:rFonts w:hint="eastAsia"/>
                <w:lang w:val="en-US" w:eastAsia="zh-CN"/>
              </w:rPr>
            </w:pPr>
            <w:r>
              <w:rPr>
                <w:rFonts w:hint="eastAsia"/>
                <w:lang w:val="en-US" w:eastAsia="zh-CN"/>
              </w:rPr>
              <w:t>1台</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1A9F90F4">
            <w:pPr>
              <w:spacing w:beforeLines="0" w:afterLines="0"/>
              <w:jc w:val="center"/>
              <w:rPr>
                <w:rFonts w:hint="eastAsia"/>
                <w:lang w:val="en-US" w:eastAsia="zh-CN"/>
              </w:rPr>
            </w:pPr>
            <w:r>
              <w:rPr>
                <w:rFonts w:hint="eastAsia" w:ascii="宋体" w:hAnsi="宋体"/>
                <w:color w:val="000000"/>
                <w:sz w:val="24"/>
                <w:szCs w:val="24"/>
              </w:rPr>
              <w:t>5.5</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4AD003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r w14:paraId="6477011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312779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9D2CC9">
            <w:pPr>
              <w:jc w:val="center"/>
              <w:rPr>
                <w:rFonts w:hint="default" w:eastAsiaTheme="minorEastAsia"/>
                <w:lang w:val="en-US" w:eastAsia="zh-CN"/>
              </w:rPr>
            </w:pPr>
            <w:r>
              <w:rPr>
                <w:rFonts w:hint="default" w:eastAsiaTheme="minorEastAsia"/>
                <w:lang w:val="en-US" w:eastAsia="zh-CN"/>
              </w:rPr>
              <w:t>可视化静脉穿刺置管综合模型</w:t>
            </w:r>
          </w:p>
          <w:p w14:paraId="5113A351">
            <w:pPr>
              <w:jc w:val="center"/>
              <w:rPr>
                <w:rFonts w:hint="eastAsia" w:asciiTheme="minorEastAsia" w:hAnsiTheme="minorEastAsia" w:eastAsiaTheme="minorEastAsia" w:cstheme="minorEastAsia"/>
                <w:kern w:val="2"/>
                <w:sz w:val="24"/>
                <w:szCs w:val="24"/>
                <w:lang w:val="en-US" w:eastAsia="zh-CN" w:bidi="ar-SA"/>
              </w:rPr>
            </w:pPr>
            <w:r>
              <w:rPr>
                <w:rFonts w:hint="default" w:eastAsiaTheme="minorEastAsia"/>
                <w:lang w:val="en-US" w:eastAsia="zh-CN"/>
              </w:rPr>
              <w:t>（自动循环，透明）</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82ABB5A">
            <w:pPr>
              <w:jc w:val="center"/>
              <w:rPr>
                <w:rFonts w:hint="eastAsia"/>
                <w:lang w:val="en-US" w:eastAsia="zh-CN"/>
              </w:rPr>
            </w:pPr>
            <w:r>
              <w:rPr>
                <w:rFonts w:hint="eastAsia"/>
                <w:lang w:val="en-US" w:eastAsia="zh-CN"/>
              </w:rPr>
              <w:t>1台</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B9621F9">
            <w:pPr>
              <w:spacing w:beforeLines="0" w:afterLines="0"/>
              <w:jc w:val="center"/>
              <w:rPr>
                <w:rFonts w:hint="eastAsia"/>
                <w:lang w:val="en-US" w:eastAsia="zh-CN"/>
              </w:rPr>
            </w:pPr>
            <w:r>
              <w:rPr>
                <w:rFonts w:hint="eastAsia" w:ascii="宋体" w:hAnsi="宋体"/>
                <w:color w:val="000000"/>
                <w:sz w:val="24"/>
                <w:szCs w:val="24"/>
                <w:lang w:val="en-US" w:eastAsia="zh-CN"/>
              </w:rPr>
              <w:t>5.5</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C2B856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r w14:paraId="13F4569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4993" w:type="dxa"/>
            <w:gridSpan w:val="3"/>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AD06A82">
            <w:pPr>
              <w:jc w:val="center"/>
              <w:rPr>
                <w:rFonts w:hint="eastAsia"/>
                <w:lang w:val="en-US" w:eastAsia="zh-CN"/>
              </w:rPr>
            </w:pPr>
            <w:r>
              <w:rPr>
                <w:rFonts w:hint="eastAsia" w:asciiTheme="minorEastAsia" w:hAnsiTheme="minorEastAsia" w:eastAsiaTheme="minorEastAsia" w:cstheme="minorEastAsia"/>
                <w:kern w:val="2"/>
                <w:sz w:val="24"/>
                <w:szCs w:val="24"/>
                <w:lang w:val="en-US" w:eastAsia="zh-CN" w:bidi="ar-SA"/>
              </w:rPr>
              <w:t>合计</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E9DF487">
            <w:pPr>
              <w:jc w:val="center"/>
              <w:rPr>
                <w:rFonts w:hint="default"/>
                <w:lang w:val="en-US" w:eastAsia="zh-CN"/>
              </w:rPr>
            </w:pPr>
            <w:r>
              <w:rPr>
                <w:rFonts w:hint="eastAsia"/>
                <w:lang w:val="en-US" w:eastAsia="zh-CN"/>
              </w:rPr>
              <w:t>13.5</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AFA7BD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r>
    </w:tbl>
    <w:p w14:paraId="64027A1A">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455C2257">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015AD78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434A8AA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w:t>
      </w:r>
    </w:p>
    <w:tbl>
      <w:tblPr>
        <w:tblStyle w:val="11"/>
        <w:tblpPr w:leftFromText="180" w:rightFromText="180" w:vertAnchor="text" w:horzAnchor="page" w:tblpX="1147" w:tblpY="464"/>
        <w:tblOverlap w:val="never"/>
        <w:tblW w:w="101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5"/>
        <w:gridCol w:w="735"/>
        <w:gridCol w:w="751"/>
        <w:gridCol w:w="7080"/>
      </w:tblGrid>
      <w:tr w14:paraId="7A77B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535" w:type="dxa"/>
            <w:vAlign w:val="center"/>
          </w:tcPr>
          <w:p w14:paraId="488390E4">
            <w:pPr>
              <w:jc w:val="center"/>
              <w:rPr>
                <w:rFonts w:hint="default"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产品名称</w:t>
            </w:r>
          </w:p>
        </w:tc>
        <w:tc>
          <w:tcPr>
            <w:tcW w:w="735" w:type="dxa"/>
            <w:vAlign w:val="center"/>
          </w:tcPr>
          <w:p w14:paraId="6869FFCF">
            <w:p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数量</w:t>
            </w:r>
          </w:p>
        </w:tc>
        <w:tc>
          <w:tcPr>
            <w:tcW w:w="751" w:type="dxa"/>
            <w:vAlign w:val="center"/>
          </w:tcPr>
          <w:p w14:paraId="3F9A9B90">
            <w:p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单位</w:t>
            </w:r>
          </w:p>
        </w:tc>
        <w:tc>
          <w:tcPr>
            <w:tcW w:w="7080" w:type="dxa"/>
          </w:tcPr>
          <w:p w14:paraId="6BE3D1ED">
            <w:p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参数</w:t>
            </w:r>
          </w:p>
        </w:tc>
      </w:tr>
      <w:tr w14:paraId="0FD30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535" w:type="dxa"/>
            <w:vAlign w:val="center"/>
          </w:tcPr>
          <w:p w14:paraId="5CFFA6EA">
            <w:pPr>
              <w:jc w:val="center"/>
              <w:rPr>
                <w:rFonts w:hint="eastAsia" w:ascii="宋体" w:hAnsi="宋体" w:cs="宋体"/>
                <w:sz w:val="22"/>
                <w:szCs w:val="22"/>
                <w:vertAlign w:val="baseline"/>
              </w:rPr>
            </w:pP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一</w:t>
            </w:r>
            <w:r>
              <w:rPr>
                <w:rFonts w:hint="eastAsia" w:ascii="宋体" w:hAnsi="宋体" w:eastAsia="宋体" w:cs="宋体"/>
                <w:sz w:val="22"/>
                <w:szCs w:val="22"/>
                <w:lang w:eastAsia="zh-CN"/>
              </w:rPr>
              <w:t>）气道管理模型</w:t>
            </w:r>
          </w:p>
        </w:tc>
        <w:tc>
          <w:tcPr>
            <w:tcW w:w="735" w:type="dxa"/>
            <w:vAlign w:val="center"/>
          </w:tcPr>
          <w:p w14:paraId="63311459">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w:t>
            </w:r>
          </w:p>
        </w:tc>
        <w:tc>
          <w:tcPr>
            <w:tcW w:w="751" w:type="dxa"/>
            <w:vAlign w:val="center"/>
          </w:tcPr>
          <w:p w14:paraId="72CE45FA">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台</w:t>
            </w:r>
          </w:p>
        </w:tc>
        <w:tc>
          <w:tcPr>
            <w:tcW w:w="7080" w:type="dxa"/>
          </w:tcPr>
          <w:p w14:paraId="0FC98F71">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产品说明：真实的训练及实践是掌握气道管理技术的关键。当进行困难气管插管、人工呼吸、吸引和支气管检查训练时，Laerdal气道管理模型可以真实地模仿多种生理情况，帮助相关医学院学生或麻醉、急诊等医护人员培养气道管理技能直至精进。</w:t>
            </w:r>
          </w:p>
          <w:p w14:paraId="55366177">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1. 真实的气道解剖结构和特征</w:t>
            </w:r>
          </w:p>
          <w:p w14:paraId="01A95F94">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2. 可经口、鼻气管插管练习</w:t>
            </w:r>
          </w:p>
          <w:p w14:paraId="482BD46C">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3. 可以进行光导气管插管的使用练习</w:t>
            </w:r>
          </w:p>
          <w:p w14:paraId="1BAA6D29">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4. 可使用支气管镜练习插管</w:t>
            </w:r>
          </w:p>
          <w:p w14:paraId="1CBEFC42">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5. 可以插入喉罩(LMA)和复合插管</w:t>
            </w:r>
          </w:p>
          <w:p w14:paraId="02405061">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6. 可进行复苏球囊通气练习</w:t>
            </w:r>
          </w:p>
          <w:p w14:paraId="160C2BA2">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7. 可以进行Sellick手法的操作练习，气管痉挛的练习</w:t>
            </w:r>
          </w:p>
          <w:p w14:paraId="45A7EF87">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8.  可以进行清除呼吸道异物和分泌物阻塞的练习，液体异物吸引的操作练习</w:t>
            </w:r>
          </w:p>
          <w:p w14:paraId="07945957">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9.  人工通气时可见肺部胀缩进行呼吸音听诊</w:t>
            </w:r>
          </w:p>
          <w:p w14:paraId="13562FF7">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10.  可以模拟胃胀气和呕吐情况，插管过深可引起右侧肺扩展。</w:t>
            </w:r>
          </w:p>
          <w:p w14:paraId="53EF22E6">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▲11.  插管错误会发生报警声（模拟牙齿断裂）；</w:t>
            </w:r>
          </w:p>
          <w:p w14:paraId="2E502DAE">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12.  可模拟喉痉挛，模拟各种插管的并发症，增加插管难度；</w:t>
            </w:r>
          </w:p>
          <w:p w14:paraId="7329AA93">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13.  通过对环甲软骨加压，改变气道位置，关闭食道；</w:t>
            </w:r>
          </w:p>
          <w:p w14:paraId="60FDECEA">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14.  配有单独的气道解剖模型，可示教讲解气道解剖结构</w:t>
            </w:r>
          </w:p>
          <w:p w14:paraId="0BEA0775">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15. 可做双腔支气管插管</w:t>
            </w:r>
          </w:p>
          <w:p w14:paraId="7570B243">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1</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val="zh-CN" w:eastAsia="zh-CN"/>
              </w:rPr>
              <w:t>.  复合材料，超长的使用寿命和真实的手感</w:t>
            </w:r>
          </w:p>
          <w:p w14:paraId="1C53C930">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1</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lang w:val="zh-CN" w:eastAsia="zh-CN"/>
              </w:rPr>
              <w:t>.  模型可固定在训练板上,容易使用，同时配有高级手提箱並有清洁用具及润滑剂。</w:t>
            </w:r>
          </w:p>
          <w:p w14:paraId="04B2E11D">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p>
          <w:p w14:paraId="444246E0">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p>
        </w:tc>
      </w:tr>
      <w:tr w14:paraId="4EA28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1535" w:type="dxa"/>
            <w:vAlign w:val="center"/>
          </w:tcPr>
          <w:p w14:paraId="1D259FF7">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二</w:t>
            </w:r>
            <w:r>
              <w:rPr>
                <w:rFonts w:hint="eastAsia" w:ascii="宋体" w:hAnsi="宋体" w:eastAsia="宋体" w:cs="宋体"/>
                <w:sz w:val="22"/>
                <w:szCs w:val="22"/>
                <w:lang w:eastAsia="zh-CN"/>
              </w:rPr>
              <w:t>）</w:t>
            </w:r>
            <w:r>
              <w:rPr>
                <w:rFonts w:hint="eastAsia" w:ascii="宋体" w:hAnsi="宋体" w:cs="宋体"/>
                <w:sz w:val="22"/>
                <w:szCs w:val="22"/>
              </w:rPr>
              <w:t>超声支气管介入培训模型</w:t>
            </w:r>
          </w:p>
        </w:tc>
        <w:tc>
          <w:tcPr>
            <w:tcW w:w="735" w:type="dxa"/>
            <w:vAlign w:val="center"/>
          </w:tcPr>
          <w:p w14:paraId="39D92109">
            <w:pPr>
              <w:jc w:val="center"/>
              <w:rPr>
                <w:rFonts w:hint="eastAsia" w:ascii="宋体" w:hAnsi="宋体" w:eastAsia="宋体" w:cs="宋体"/>
                <w:sz w:val="22"/>
                <w:szCs w:val="22"/>
                <w:vertAlign w:val="baseline"/>
                <w:lang w:eastAsia="zh-CN"/>
              </w:rPr>
            </w:pPr>
            <w:r>
              <w:rPr>
                <w:rFonts w:hint="eastAsia" w:ascii="宋体" w:hAnsi="宋体" w:eastAsia="宋体" w:cs="宋体"/>
                <w:sz w:val="22"/>
                <w:szCs w:val="22"/>
                <w:vertAlign w:val="baseline"/>
                <w:lang w:val="en-US" w:eastAsia="zh-CN"/>
              </w:rPr>
              <w:t>1</w:t>
            </w:r>
          </w:p>
        </w:tc>
        <w:tc>
          <w:tcPr>
            <w:tcW w:w="751" w:type="dxa"/>
            <w:vAlign w:val="center"/>
          </w:tcPr>
          <w:p w14:paraId="670F7127">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台</w:t>
            </w:r>
          </w:p>
        </w:tc>
        <w:tc>
          <w:tcPr>
            <w:tcW w:w="7080" w:type="dxa"/>
          </w:tcPr>
          <w:p w14:paraId="5DF41479">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1.</w:t>
            </w:r>
            <w:r>
              <w:rPr>
                <w:rFonts w:hint="eastAsia" w:asciiTheme="minorEastAsia" w:hAnsiTheme="minorEastAsia" w:eastAsiaTheme="minorEastAsia" w:cstheme="minorEastAsia"/>
                <w:sz w:val="24"/>
                <w:szCs w:val="24"/>
                <w:lang w:val="zh-CN" w:eastAsia="zh-CN"/>
              </w:rPr>
              <w:tab/>
            </w:r>
            <w:r>
              <w:rPr>
                <w:rFonts w:hint="eastAsia" w:asciiTheme="minorEastAsia" w:hAnsiTheme="minorEastAsia" w:eastAsiaTheme="minorEastAsia" w:cstheme="minorEastAsia"/>
                <w:sz w:val="24"/>
                <w:szCs w:val="24"/>
                <w:lang w:val="zh-CN" w:eastAsia="zh-CN"/>
              </w:rPr>
              <w:t>产品简介：</w:t>
            </w:r>
            <w:r>
              <w:rPr>
                <w:rFonts w:hint="eastAsia" w:asciiTheme="minorEastAsia" w:hAnsiTheme="minorEastAsia" w:eastAsiaTheme="minorEastAsia" w:cstheme="minorEastAsia"/>
                <w:sz w:val="24"/>
                <w:szCs w:val="24"/>
                <w:lang w:val="en-US" w:eastAsia="zh-CN"/>
              </w:rPr>
              <w:t>基于</w:t>
            </w:r>
            <w:r>
              <w:rPr>
                <w:rFonts w:hint="eastAsia" w:asciiTheme="minorEastAsia" w:hAnsiTheme="minorEastAsia" w:eastAsiaTheme="minorEastAsia" w:cstheme="minorEastAsia"/>
                <w:sz w:val="24"/>
                <w:szCs w:val="24"/>
                <w:lang w:val="zh-CN" w:eastAsia="zh-CN"/>
              </w:rPr>
              <w:t xml:space="preserve">标准成年人CT设计，采用硅胶1:1制作，采用超声显影材料制作淋巴组及周边组织，确保内镜下气道及支气管解剖特征准确，镜下视野高度接近真实人体，可用于支气管镜检查、取活检、超声支气管镜检查及EBUS-TBNA等操作培训。          </w:t>
            </w:r>
          </w:p>
          <w:p w14:paraId="7AF1E191">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2.</w:t>
            </w:r>
            <w:r>
              <w:rPr>
                <w:rFonts w:hint="eastAsia" w:asciiTheme="minorEastAsia" w:hAnsiTheme="minorEastAsia" w:eastAsiaTheme="minorEastAsia" w:cstheme="minorEastAsia"/>
                <w:sz w:val="24"/>
                <w:szCs w:val="24"/>
                <w:lang w:val="zh-CN" w:eastAsia="zh-CN"/>
              </w:rPr>
              <w:tab/>
            </w:r>
            <w:r>
              <w:rPr>
                <w:rFonts w:hint="eastAsia" w:asciiTheme="minorEastAsia" w:hAnsiTheme="minorEastAsia" w:eastAsiaTheme="minorEastAsia" w:cstheme="minorEastAsia"/>
                <w:sz w:val="24"/>
                <w:szCs w:val="24"/>
                <w:lang w:val="zh-CN" w:eastAsia="zh-CN"/>
              </w:rPr>
              <w:t xml:space="preserve">支持的手术训练项目：      </w:t>
            </w:r>
          </w:p>
          <w:p w14:paraId="4E368A2D">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 xml:space="preserve">2.1支气管镜下气管及支气管解剖识别训练；   </w:t>
            </w:r>
          </w:p>
          <w:p w14:paraId="4250A56A">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2.2纤维支气管镜及电子支气管镜的检查、异物查找、吸痰及灌洗操作训练；</w:t>
            </w:r>
          </w:p>
          <w:p w14:paraId="1F2F727C">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2.3支气管镜进镜、推进、支气管镜内旋转操作训练，控制支气管镜末端的居中操作训练。</w:t>
            </w:r>
          </w:p>
          <w:p w14:paraId="363A1087">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2.4 超声支气管镜对常规淋巴组的识别训练；</w:t>
            </w:r>
          </w:p>
          <w:p w14:paraId="14C983E0">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 xml:space="preserve">2.5 EBUS-TBNA穿刺的手感及准确性。   </w:t>
            </w:r>
          </w:p>
          <w:p w14:paraId="5A792B5E">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 xml:space="preserve">3.产品结构特征及外观       </w:t>
            </w:r>
          </w:p>
          <w:p w14:paraId="3C129A00">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▲3.</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lang w:val="zh-CN" w:eastAsia="zh-CN"/>
              </w:rPr>
              <w:t xml:space="preserve"> 包含可用于穿刺的主气管、左/右主支气管以及2L、2R、4L、4R、7、10L、10R常规穿刺的淋巴组。 </w:t>
            </w:r>
          </w:p>
          <w:p w14:paraId="5BDC124D">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3.</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val="zh-CN" w:eastAsia="zh-CN"/>
              </w:rPr>
              <w:t xml:space="preserve"> 包含左/右主支气管，气管软骨环、隆突，左/右段支气管可达5级支气管</w:t>
            </w:r>
          </w:p>
          <w:p w14:paraId="0ED8C819">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lang w:val="zh-CN" w:eastAsia="zh-CN"/>
              </w:rPr>
              <w:t>、包装箱主体材质：铝合金、高性能密度板；内衬上盖采用蛋壳海绵</w:t>
            </w:r>
          </w:p>
          <w:p w14:paraId="0BA89487">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箱体，内衬采用EVA海绵  。</w:t>
            </w:r>
          </w:p>
        </w:tc>
      </w:tr>
      <w:tr w14:paraId="14E51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1535" w:type="dxa"/>
            <w:vAlign w:val="center"/>
          </w:tcPr>
          <w:p w14:paraId="7CA8114C">
            <w:pPr>
              <w:jc w:val="center"/>
              <w:rPr>
                <w:rFonts w:hint="eastAsia" w:ascii="宋体" w:hAnsi="宋体" w:eastAsia="宋体" w:cs="宋体"/>
                <w:sz w:val="22"/>
                <w:szCs w:val="22"/>
                <w:lang w:eastAsia="zh-CN"/>
              </w:rPr>
            </w:pPr>
            <w:r>
              <w:rPr>
                <w:rFonts w:hint="eastAsia" w:ascii="宋体" w:hAnsi="宋体" w:eastAsia="宋体" w:cs="宋体"/>
                <w:sz w:val="22"/>
                <w:szCs w:val="22"/>
                <w:lang w:val="en-US" w:eastAsia="zh-CN"/>
              </w:rPr>
              <w:t>（三）可视化静脉穿刺置管综合模型（自动循环，透明）</w:t>
            </w:r>
          </w:p>
        </w:tc>
        <w:tc>
          <w:tcPr>
            <w:tcW w:w="735" w:type="dxa"/>
            <w:vAlign w:val="center"/>
          </w:tcPr>
          <w:p w14:paraId="50FE2CA8">
            <w:pPr>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w:t>
            </w:r>
          </w:p>
        </w:tc>
        <w:tc>
          <w:tcPr>
            <w:tcW w:w="751" w:type="dxa"/>
            <w:vAlign w:val="center"/>
          </w:tcPr>
          <w:p w14:paraId="6C63A02B">
            <w:pPr>
              <w:jc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台</w:t>
            </w:r>
          </w:p>
        </w:tc>
        <w:tc>
          <w:tcPr>
            <w:tcW w:w="7080" w:type="dxa"/>
          </w:tcPr>
          <w:p w14:paraId="4F2E6D3C">
            <w:pPr>
              <w:pStyle w:val="22"/>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eastAsia" w:asciiTheme="minorEastAsia" w:hAnsiTheme="minorEastAsia" w:eastAsiaTheme="minorEastAsia" w:cstheme="minorEastAsia"/>
                <w:b/>
                <w:bCs/>
                <w:position w:val="1"/>
                <w:sz w:val="24"/>
                <w:szCs w:val="24"/>
                <w:lang w:val="en-US" w:eastAsia="zh-CN"/>
              </w:rPr>
            </w:pPr>
          </w:p>
          <w:p w14:paraId="51702003">
            <w:pPr>
              <w:pStyle w:val="22"/>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eastAsia" w:asciiTheme="minorEastAsia" w:hAnsiTheme="minorEastAsia" w:eastAsiaTheme="minorEastAsia" w:cstheme="minorEastAsia"/>
                <w:b/>
                <w:bCs/>
                <w:position w:val="1"/>
                <w:sz w:val="24"/>
                <w:szCs w:val="24"/>
                <w:lang w:val="en-US" w:eastAsia="zh-CN"/>
              </w:rPr>
            </w:pPr>
          </w:p>
          <w:p w14:paraId="2E211E19">
            <w:pPr>
              <w:pStyle w:val="22"/>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eastAsia" w:asciiTheme="minorEastAsia" w:hAnsiTheme="minorEastAsia" w:eastAsiaTheme="minorEastAsia" w:cstheme="minorEastAsia"/>
                <w:b/>
                <w:bCs/>
                <w:position w:val="1"/>
                <w:sz w:val="24"/>
                <w:szCs w:val="24"/>
                <w:lang w:val="en-US" w:eastAsia="zh-CN"/>
              </w:rPr>
            </w:pPr>
          </w:p>
          <w:p w14:paraId="0A753992">
            <w:pPr>
              <w:pStyle w:val="22"/>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eastAsia" w:asciiTheme="minorEastAsia" w:hAnsiTheme="minorEastAsia" w:eastAsiaTheme="minorEastAsia" w:cstheme="minorEastAsia"/>
                <w:b/>
                <w:bCs/>
                <w:position w:val="1"/>
                <w:sz w:val="24"/>
                <w:szCs w:val="24"/>
                <w:lang w:val="en-US" w:eastAsia="zh-CN"/>
              </w:rPr>
            </w:pPr>
            <w:r>
              <w:rPr>
                <w:rFonts w:hint="eastAsia" w:asciiTheme="minorEastAsia" w:hAnsiTheme="minorEastAsia" w:eastAsiaTheme="minorEastAsia" w:cstheme="minorEastAsia"/>
                <w:sz w:val="24"/>
                <w:szCs w:val="24"/>
                <w:lang w:eastAsia="zh-CN"/>
              </w:rPr>
              <w:drawing>
                <wp:anchor distT="0" distB="0" distL="114300" distR="114300" simplePos="0" relativeHeight="251659264" behindDoc="0" locked="0" layoutInCell="1" allowOverlap="1">
                  <wp:simplePos x="0" y="0"/>
                  <wp:positionH relativeFrom="column">
                    <wp:posOffset>-773430</wp:posOffset>
                  </wp:positionH>
                  <wp:positionV relativeFrom="paragraph">
                    <wp:posOffset>-4863465</wp:posOffset>
                  </wp:positionV>
                  <wp:extent cx="3209290" cy="1450975"/>
                  <wp:effectExtent l="0" t="0" r="10160" b="15875"/>
                  <wp:wrapSquare wrapText="bothSides"/>
                  <wp:docPr id="1" name="图片 1" descr="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23"/>
                          <pic:cNvPicPr>
                            <a:picLocks noChangeAspect="1"/>
                          </pic:cNvPicPr>
                        </pic:nvPicPr>
                        <pic:blipFill>
                          <a:blip r:embed="rId7"/>
                          <a:stretch>
                            <a:fillRect/>
                          </a:stretch>
                        </pic:blipFill>
                        <pic:spPr>
                          <a:xfrm>
                            <a:off x="0" y="0"/>
                            <a:ext cx="3209290" cy="1450975"/>
                          </a:xfrm>
                          <a:prstGeom prst="rect">
                            <a:avLst/>
                          </a:prstGeom>
                        </pic:spPr>
                      </pic:pic>
                    </a:graphicData>
                  </a:graphic>
                </wp:anchor>
              </w:drawing>
            </w:r>
          </w:p>
          <w:p w14:paraId="1E59416C">
            <w:pPr>
              <w:pStyle w:val="22"/>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eastAsia" w:asciiTheme="minorEastAsia" w:hAnsiTheme="minorEastAsia" w:eastAsiaTheme="minorEastAsia" w:cstheme="minorEastAsia"/>
                <w:b/>
                <w:bCs/>
                <w:position w:val="1"/>
                <w:sz w:val="24"/>
                <w:szCs w:val="24"/>
                <w:lang w:val="en-US" w:eastAsia="zh-CN"/>
              </w:rPr>
            </w:pPr>
          </w:p>
          <w:p w14:paraId="5063823F">
            <w:pPr>
              <w:pStyle w:val="22"/>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eastAsia" w:asciiTheme="minorEastAsia" w:hAnsiTheme="minorEastAsia" w:eastAsiaTheme="minorEastAsia" w:cstheme="minorEastAsia"/>
                <w:b/>
                <w:bCs/>
                <w:position w:val="1"/>
                <w:sz w:val="24"/>
                <w:szCs w:val="24"/>
                <w:lang w:val="en-US" w:eastAsia="zh-CN"/>
              </w:rPr>
            </w:pPr>
          </w:p>
          <w:p w14:paraId="3C1F25BD">
            <w:pPr>
              <w:pStyle w:val="22"/>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eastAsia" w:asciiTheme="minorEastAsia" w:hAnsiTheme="minorEastAsia" w:eastAsiaTheme="minorEastAsia" w:cstheme="minorEastAsia"/>
                <w:b/>
                <w:bCs/>
                <w:position w:val="1"/>
                <w:sz w:val="24"/>
                <w:szCs w:val="24"/>
                <w:lang w:val="en-US" w:eastAsia="zh-CN"/>
              </w:rPr>
            </w:pPr>
          </w:p>
          <w:p w14:paraId="512491D8">
            <w:pPr>
              <w:pStyle w:val="22"/>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eastAsia" w:asciiTheme="minorEastAsia" w:hAnsiTheme="minorEastAsia" w:eastAsiaTheme="minorEastAsia" w:cstheme="minorEastAsia"/>
                <w:b/>
                <w:bCs/>
                <w:position w:val="1"/>
                <w:sz w:val="24"/>
                <w:szCs w:val="24"/>
                <w:lang w:val="en-US" w:eastAsia="zh-CN"/>
              </w:rPr>
            </w:pPr>
          </w:p>
          <w:p w14:paraId="601C4008">
            <w:pPr>
              <w:pStyle w:val="22"/>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position w:val="1"/>
                <w:sz w:val="24"/>
                <w:szCs w:val="24"/>
                <w:lang w:val="en-US" w:eastAsia="zh-CN"/>
              </w:rPr>
              <w:t>1、产品特点</w:t>
            </w:r>
            <w:r>
              <w:rPr>
                <w:rFonts w:hint="eastAsia" w:asciiTheme="minorEastAsia" w:hAnsiTheme="minorEastAsia" w:eastAsiaTheme="minorEastAsia" w:cstheme="minorEastAsia"/>
                <w:b/>
                <w:bCs/>
                <w:position w:val="1"/>
                <w:sz w:val="24"/>
                <w:szCs w:val="24"/>
                <w:lang w:eastAsia="zh-CN"/>
              </w:rPr>
              <w:t>：</w:t>
            </w:r>
            <w:r>
              <w:rPr>
                <w:rFonts w:hint="eastAsia" w:asciiTheme="minorEastAsia" w:hAnsiTheme="minorEastAsia" w:eastAsiaTheme="minorEastAsia" w:cstheme="minorEastAsia"/>
                <w:b w:val="0"/>
                <w:bCs w:val="0"/>
                <w:sz w:val="24"/>
                <w:szCs w:val="24"/>
                <w:lang w:val="en-US" w:eastAsia="zh-CN"/>
              </w:rPr>
              <w:t>临床</w:t>
            </w:r>
            <w:r>
              <w:rPr>
                <w:rFonts w:hint="eastAsia" w:asciiTheme="minorEastAsia" w:hAnsiTheme="minorEastAsia" w:eastAsiaTheme="minorEastAsia" w:cstheme="minorEastAsia"/>
                <w:b w:val="0"/>
                <w:bCs w:val="0"/>
                <w:sz w:val="24"/>
                <w:szCs w:val="24"/>
                <w:lang w:val="zh-CN" w:eastAsia="zh-CN"/>
              </w:rPr>
              <w:t>超声引导下PICC穿刺置管术、植入式静脉输液港（PORT）植入术等静脉穿刺置管</w:t>
            </w:r>
            <w:r>
              <w:rPr>
                <w:rFonts w:hint="eastAsia" w:asciiTheme="minorEastAsia" w:hAnsiTheme="minorEastAsia" w:eastAsiaTheme="minorEastAsia" w:cstheme="minorEastAsia"/>
                <w:b w:val="0"/>
                <w:bCs w:val="0"/>
                <w:sz w:val="24"/>
                <w:szCs w:val="24"/>
                <w:lang w:val="en-US" w:eastAsia="zh-CN"/>
              </w:rPr>
              <w:t>等</w:t>
            </w:r>
            <w:r>
              <w:rPr>
                <w:rFonts w:hint="eastAsia" w:asciiTheme="minorEastAsia" w:hAnsiTheme="minorEastAsia" w:eastAsiaTheme="minorEastAsia" w:cstheme="minorEastAsia"/>
                <w:b w:val="0"/>
                <w:bCs w:val="0"/>
                <w:sz w:val="24"/>
                <w:szCs w:val="24"/>
                <w:lang w:val="zh-CN" w:eastAsia="zh-CN"/>
              </w:rPr>
              <w:t>技能培训</w:t>
            </w:r>
            <w:r>
              <w:rPr>
                <w:rFonts w:hint="eastAsia" w:asciiTheme="minorEastAsia" w:hAnsiTheme="minorEastAsia" w:eastAsiaTheme="minorEastAsia" w:cstheme="minorEastAsia"/>
                <w:b w:val="0"/>
                <w:bCs w:val="0"/>
                <w:sz w:val="24"/>
                <w:szCs w:val="24"/>
                <w:lang w:val="en-US" w:eastAsia="zh-CN"/>
              </w:rPr>
              <w:t>已成为常用的必须培训项目，增加</w:t>
            </w:r>
            <w:r>
              <w:rPr>
                <w:rFonts w:hint="eastAsia" w:asciiTheme="minorEastAsia" w:hAnsiTheme="minorEastAsia" w:eastAsiaTheme="minorEastAsia" w:cstheme="minorEastAsia"/>
                <w:b w:val="0"/>
                <w:bCs w:val="0"/>
                <w:sz w:val="24"/>
                <w:szCs w:val="24"/>
                <w:lang w:eastAsia="zh-CN"/>
              </w:rPr>
              <w:t>可视化静脉穿刺置管综合模型，</w:t>
            </w:r>
            <w:r>
              <w:rPr>
                <w:rFonts w:hint="eastAsia" w:asciiTheme="minorEastAsia" w:hAnsiTheme="minorEastAsia" w:eastAsiaTheme="minorEastAsia" w:cstheme="minorEastAsia"/>
                <w:b w:val="0"/>
                <w:bCs w:val="0"/>
                <w:sz w:val="24"/>
                <w:szCs w:val="24"/>
                <w:lang w:val="en-US" w:eastAsia="zh-CN"/>
              </w:rPr>
              <w:t>可形成一套完善的危重病人救治培训体系。</w:t>
            </w:r>
          </w:p>
          <w:p w14:paraId="61989FBB">
            <w:pPr>
              <w:keepNext w:val="0"/>
              <w:keepLines w:val="0"/>
              <w:pageBreakBefore w:val="0"/>
              <w:kinsoku/>
              <w:wordWrap/>
              <w:overflowPunct/>
              <w:topLinePunct w:val="0"/>
              <w:autoSpaceDE/>
              <w:autoSpaceDN/>
              <w:bidi w:val="0"/>
              <w:adjustRightInd/>
              <w:snapToGrid/>
              <w:spacing w:line="240" w:lineRule="auto"/>
              <w:ind w:right="-20"/>
              <w:jc w:val="both"/>
              <w:textAlignment w:val="auto"/>
              <w:rPr>
                <w:rFonts w:hint="eastAsia" w:asciiTheme="minorEastAsia" w:hAnsiTheme="minorEastAsia" w:eastAsiaTheme="minorEastAsia" w:cstheme="minorEastAsia"/>
                <w:b/>
                <w:bCs/>
                <w:kern w:val="2"/>
                <w:position w:val="1"/>
                <w:sz w:val="24"/>
                <w:szCs w:val="24"/>
                <w:lang w:val="zh-CN" w:eastAsia="zh-CN" w:bidi="ar-SA"/>
              </w:rPr>
            </w:pPr>
            <w:r>
              <w:rPr>
                <w:rFonts w:hint="eastAsia" w:asciiTheme="minorEastAsia" w:hAnsiTheme="minorEastAsia" w:eastAsiaTheme="minorEastAsia" w:cstheme="minorEastAsia"/>
                <w:b/>
                <w:bCs/>
                <w:kern w:val="2"/>
                <w:position w:val="1"/>
                <w:sz w:val="24"/>
                <w:szCs w:val="24"/>
                <w:lang w:val="en-US" w:eastAsia="zh-CN" w:bidi="ar-SA"/>
              </w:rPr>
              <w:t>2、</w:t>
            </w:r>
            <w:r>
              <w:rPr>
                <w:rFonts w:hint="eastAsia" w:asciiTheme="minorEastAsia" w:hAnsiTheme="minorEastAsia" w:eastAsiaTheme="minorEastAsia" w:cstheme="minorEastAsia"/>
                <w:b/>
                <w:bCs/>
                <w:kern w:val="2"/>
                <w:position w:val="1"/>
                <w:sz w:val="24"/>
                <w:szCs w:val="24"/>
                <w:lang w:val="zh-CN" w:eastAsia="zh-CN" w:bidi="ar-SA"/>
              </w:rPr>
              <w:t>总体要求：</w:t>
            </w:r>
          </w:p>
          <w:p w14:paraId="0D64931D">
            <w:pPr>
              <w:keepNext w:val="0"/>
              <w:keepLines w:val="0"/>
              <w:pageBreakBefore w:val="0"/>
              <w:kinsoku/>
              <w:wordWrap/>
              <w:overflowPunct/>
              <w:topLinePunct w:val="0"/>
              <w:autoSpaceDE/>
              <w:autoSpaceDN/>
              <w:bidi w:val="0"/>
              <w:adjustRightInd/>
              <w:snapToGrid/>
              <w:spacing w:line="240" w:lineRule="auto"/>
              <w:ind w:right="-20"/>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模型具有成人右侧胸部、肩部及外展90°的右侧手臂，内含解剖走行精准的上肢动静脉，模型材质与人体组织类似，可在超声设备及X光机下成像，支持超声引导下PICC穿刺置管术、植入式静脉输液港（PORT）植入术等静脉穿刺置管技能培训。透明外观支持可以观察到血管和毗邻解剖情况，满足超声解剖示教训练。</w:t>
            </w:r>
          </w:p>
          <w:p w14:paraId="52938533">
            <w:pPr>
              <w:keepNext w:val="0"/>
              <w:keepLines w:val="0"/>
              <w:pageBreakBefore w:val="0"/>
              <w:kinsoku/>
              <w:wordWrap/>
              <w:overflowPunct/>
              <w:topLinePunct w:val="0"/>
              <w:autoSpaceDE/>
              <w:autoSpaceDN/>
              <w:bidi w:val="0"/>
              <w:adjustRightInd/>
              <w:snapToGrid/>
              <w:spacing w:line="240" w:lineRule="auto"/>
              <w:ind w:right="-20"/>
              <w:jc w:val="both"/>
              <w:textAlignment w:val="auto"/>
              <w:rPr>
                <w:rFonts w:hint="eastAsia" w:asciiTheme="minorEastAsia" w:hAnsiTheme="minorEastAsia" w:eastAsiaTheme="minorEastAsia" w:cstheme="minorEastAsia"/>
                <w:b/>
                <w:bCs/>
                <w:kern w:val="2"/>
                <w:position w:val="1"/>
                <w:sz w:val="24"/>
                <w:szCs w:val="24"/>
                <w:lang w:val="zh-CN" w:eastAsia="zh-CN" w:bidi="ar-SA"/>
              </w:rPr>
            </w:pPr>
            <w:r>
              <w:rPr>
                <w:rFonts w:hint="eastAsia" w:asciiTheme="minorEastAsia" w:hAnsiTheme="minorEastAsia" w:eastAsiaTheme="minorEastAsia" w:cstheme="minorEastAsia"/>
                <w:b/>
                <w:bCs/>
                <w:kern w:val="2"/>
                <w:position w:val="1"/>
                <w:sz w:val="24"/>
                <w:szCs w:val="24"/>
                <w:lang w:val="en-US" w:eastAsia="zh-CN" w:bidi="ar-SA"/>
              </w:rPr>
              <w:t>3、</w:t>
            </w:r>
            <w:r>
              <w:rPr>
                <w:rFonts w:hint="eastAsia" w:asciiTheme="minorEastAsia" w:hAnsiTheme="minorEastAsia" w:eastAsiaTheme="minorEastAsia" w:cstheme="minorEastAsia"/>
                <w:b/>
                <w:bCs/>
                <w:kern w:val="2"/>
                <w:position w:val="1"/>
                <w:sz w:val="24"/>
                <w:szCs w:val="24"/>
                <w:lang w:val="zh-CN" w:eastAsia="zh-CN" w:bidi="ar-SA"/>
              </w:rPr>
              <w:t>详细功能：</w:t>
            </w:r>
          </w:p>
          <w:p w14:paraId="5F1A4BA6">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en-US" w:eastAsia="zh-CN"/>
              </w:rPr>
              <w:t>3.1</w:t>
            </w:r>
            <w:r>
              <w:rPr>
                <w:rFonts w:hint="eastAsia" w:asciiTheme="minorEastAsia" w:hAnsiTheme="minorEastAsia" w:eastAsiaTheme="minorEastAsia" w:cstheme="minorEastAsia"/>
                <w:sz w:val="24"/>
                <w:szCs w:val="24"/>
                <w:lang w:val="zh-CN" w:eastAsia="zh-CN"/>
              </w:rPr>
              <w:t>、模型模拟成人右侧手臂、肩部、胸部外形，呈一体化设计，具有准确的内外解剖结构。</w:t>
            </w:r>
          </w:p>
          <w:p w14:paraId="2C1D403E">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en-US" w:eastAsia="zh-CN"/>
              </w:rPr>
              <w:t>3.1.1</w:t>
            </w:r>
            <w:r>
              <w:rPr>
                <w:rFonts w:hint="eastAsia" w:asciiTheme="minorEastAsia" w:hAnsiTheme="minorEastAsia" w:eastAsiaTheme="minorEastAsia" w:cstheme="minorEastAsia"/>
                <w:sz w:val="24"/>
                <w:szCs w:val="24"/>
                <w:lang w:val="zh-CN" w:eastAsia="zh-CN"/>
              </w:rPr>
              <w:t>、模型手臂外展与右肩及右侧胸壁躯干成90°，呈标准的PICC穿刺术操作体位。</w:t>
            </w:r>
          </w:p>
          <w:p w14:paraId="2490DB66">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w:t>
            </w:r>
            <w:r>
              <w:rPr>
                <w:rFonts w:hint="eastAsia" w:asciiTheme="minorEastAsia" w:hAnsiTheme="minorEastAsia" w:eastAsiaTheme="minorEastAsia" w:cstheme="minorEastAsia"/>
                <w:sz w:val="24"/>
                <w:szCs w:val="24"/>
                <w:lang w:val="en-US" w:eastAsia="zh-CN"/>
              </w:rPr>
              <w:t>3.1.2</w:t>
            </w:r>
            <w:r>
              <w:rPr>
                <w:rFonts w:hint="eastAsia" w:asciiTheme="minorEastAsia" w:hAnsiTheme="minorEastAsia" w:eastAsiaTheme="minorEastAsia" w:cstheme="minorEastAsia"/>
                <w:sz w:val="24"/>
                <w:szCs w:val="24"/>
                <w:lang w:val="zh-CN" w:eastAsia="zh-CN"/>
              </w:rPr>
              <w:t>、模型的右侧胸部解剖结构精准，模型内置贵要静脉、肘正中静脉、头静脉、腋静脉、锁骨下静脉、头臂静脉、上腔静脉、肱动脉、腋动脉、锁骨下动脉、右心房等精准血管解剖结构。</w:t>
            </w:r>
          </w:p>
          <w:p w14:paraId="4167659D">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val="zh-CN" w:eastAsia="zh-CN"/>
              </w:rPr>
              <w:t>1.3、模型血管内填充有模拟血液，可以模拟血管血液循环。</w:t>
            </w:r>
          </w:p>
          <w:p w14:paraId="2CA6472E">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val="zh-CN" w:eastAsia="zh-CN"/>
              </w:rPr>
              <w:t>1.4、模型外观材质采用全透明材质，可直接观察手臂血管解剖走形，穿刺操作过程可直接观察到穿刺针和穿刺导管的位置，并与超声图像进行对比。</w:t>
            </w:r>
          </w:p>
          <w:p w14:paraId="53636A6A">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val="zh-CN" w:eastAsia="zh-CN"/>
              </w:rPr>
              <w:t>2、模型材质具有人体组织类似的声学特性，可在超声设备或X光下成像。</w:t>
            </w:r>
          </w:p>
          <w:p w14:paraId="4C9F9E3D">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val="zh-CN" w:eastAsia="zh-CN"/>
              </w:rPr>
              <w:t>2.1、应用浅表线阵超声探头在模型胸壁和全手臂上进行血管探查。</w:t>
            </w:r>
          </w:p>
          <w:p w14:paraId="6D6EA099">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val="zh-CN" w:eastAsia="zh-CN"/>
              </w:rPr>
              <w:t>2.2、可以探查到尺动脉、桡动脉、肱动脉、锁骨下动脉、贵要静脉、肘正中静脉、头静脉、腋静脉、锁骨下静脉、头臂静脉、上腔静脉、右心房等血管解剖走行及毗邻关系。</w:t>
            </w:r>
          </w:p>
          <w:p w14:paraId="1B5681D4">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val="zh-CN" w:eastAsia="zh-CN"/>
              </w:rPr>
              <w:t>3、模型内置自动循环泵，模拟人体血流动力学特征。</w:t>
            </w:r>
          </w:p>
          <w:p w14:paraId="634FD746">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val="zh-CN" w:eastAsia="zh-CN"/>
              </w:rPr>
              <w:t>3.1、内置自动循环泵，与模型集成一体，电动循环泵（心脏端）驱动模拟血液流向动脉系统，动静脉在手掌远端交汇，血液回流到静脉系统后回流到电动循环泵（心脏端）中，仿真模拟人体血液循环，泵形成驱动颈总动脉、锁骨下动脉、腋动脉具有规律搏动，颈内静脉、锁骨下静脉、腋静脉无搏动。</w:t>
            </w:r>
          </w:p>
          <w:p w14:paraId="780B375D">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val="zh-CN" w:eastAsia="zh-CN"/>
              </w:rPr>
              <w:t>3.2、动脉脉搏频率可调节，调节范围约0-120次/分。</w:t>
            </w:r>
          </w:p>
          <w:p w14:paraId="4BA1AED1">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val="zh-CN" w:eastAsia="zh-CN"/>
              </w:rPr>
              <w:t>4、支持超声引导下经贵要静脉入路和经头静脉入路的PICC术的完整操作训练。</w:t>
            </w:r>
          </w:p>
          <w:p w14:paraId="36A48E9F">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val="zh-CN" w:eastAsia="zh-CN"/>
              </w:rPr>
              <w:t>4.1、应用超声设备在模型上探查，可以全程实时观察到PICC穿刺的过程，包括超声血管评估、穿刺导管长度评估、消毒、铺巾、穿刺、穿刺引导、导丝置入、导管置入、位置确认、固定的完整操作。</w:t>
            </w:r>
          </w:p>
          <w:p w14:paraId="49339969">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val="zh-CN" w:eastAsia="zh-CN"/>
              </w:rPr>
              <w:t>4.2、支持进行穿刺置管后直接观察穿刺导管及导管尖端位置，同时支持应用超声设备及X光机进行摄片观察穿刺导管及导管尖端的位置。</w:t>
            </w:r>
          </w:p>
          <w:p w14:paraId="322A6B1A">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val="zh-CN" w:eastAsia="zh-CN"/>
              </w:rPr>
              <w:t>4.3、进行完整的PICC置管术后，可进行导管固定操作及日常输液护理训练，培养学员的PICC术后护理及输液的标准流程及加强无菌观念训练。</w:t>
            </w:r>
          </w:p>
          <w:p w14:paraId="4E93F7A1">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val="zh-CN" w:eastAsia="zh-CN"/>
              </w:rPr>
              <w:t>5、支持进行植入式静脉输液港（PORT）植入术完整技能操作训练。</w:t>
            </w:r>
          </w:p>
          <w:p w14:paraId="7098FFF1">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val="zh-CN" w:eastAsia="zh-CN"/>
              </w:rPr>
              <w:t>5.1、支持将静脉输液港导管经锁骨下静脉置入，经头臂静脉后进入上腔静脉位于右心房上2cm处。</w:t>
            </w:r>
          </w:p>
          <w:p w14:paraId="3C0E6561">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val="zh-CN" w:eastAsia="zh-CN"/>
              </w:rPr>
              <w:t>5.2、支持将输液港港座与静脉导管另一端连接，将输液港港座置入预制位置，模拟完整植入式静脉输液港（PORT）过程训练，配置有皮肤模块。</w:t>
            </w:r>
          </w:p>
          <w:p w14:paraId="6D047153">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val="zh-CN" w:eastAsia="zh-CN"/>
              </w:rPr>
              <w:t>5.3、支持从输液港港座上进行穿刺及输液技能训练。</w:t>
            </w:r>
          </w:p>
          <w:p w14:paraId="04C42B5A">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val="zh-CN" w:eastAsia="zh-CN"/>
              </w:rPr>
              <w:t>6、血管内填充模拟血液，穿刺成功后可回抽模拟血液，模型具有血管液量观察窗，支持快速补充血液。</w:t>
            </w:r>
          </w:p>
          <w:p w14:paraId="5EE34498">
            <w:pPr>
              <w:keepNext w:val="0"/>
              <w:keepLines w:val="0"/>
              <w:pageBreakBefore w:val="0"/>
              <w:kinsoku/>
              <w:wordWrap/>
              <w:overflowPunct/>
              <w:topLinePunct w:val="0"/>
              <w:autoSpaceDE/>
              <w:autoSpaceDN/>
              <w:bidi w:val="0"/>
              <w:adjustRightInd/>
              <w:snapToGrid/>
              <w:spacing w:after="0" w:line="240" w:lineRule="auto"/>
              <w:ind w:hanging="2"/>
              <w:jc w:val="both"/>
              <w:textAlignment w:val="auto"/>
              <w:rPr>
                <w:rFonts w:hint="eastAsia"/>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val="zh-CN" w:eastAsia="zh-CN"/>
              </w:rPr>
              <w:t>7、模型材质具有良好的延展性、弹性和修复性，每平方厘米可以耐受18G-21G穿刺针的1200次以上反复穿刺训练。</w:t>
            </w:r>
          </w:p>
        </w:tc>
      </w:tr>
    </w:tbl>
    <w:p w14:paraId="4E4D393D">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2" w:firstLineChars="200"/>
        <w:jc w:val="both"/>
        <w:textAlignment w:val="auto"/>
        <w:rPr>
          <w:rFonts w:hint="eastAsia" w:asciiTheme="minorEastAsia" w:hAnsiTheme="minorEastAsia" w:eastAsiaTheme="minorEastAsia" w:cstheme="minorEastAsia"/>
          <w:b/>
          <w:bCs/>
          <w:sz w:val="24"/>
          <w:szCs w:val="24"/>
          <w:lang w:val="en-US" w:eastAsia="zh-CN"/>
        </w:rPr>
      </w:pPr>
    </w:p>
    <w:p w14:paraId="450F07CF">
      <w:pPr>
        <w:pStyle w:val="20"/>
        <w:rPr>
          <w:rFonts w:hint="eastAsia"/>
          <w:lang w:val="en-US" w:eastAsia="zh-CN"/>
        </w:rPr>
      </w:pPr>
    </w:p>
    <w:p w14:paraId="410D0A3F">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392DEE5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07C81AC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2、交货时间：按合同约定的日期交货。</w:t>
      </w:r>
    </w:p>
    <w:p w14:paraId="2E0A216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3、交货地点：娄底市中心医院指定地点。</w:t>
      </w:r>
    </w:p>
    <w:p w14:paraId="2A649F9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4、付款方式：设备验收合格后，供应商将发票交到娄底市中心医院后按程序支付货款9</w:t>
      </w:r>
      <w:r>
        <w:rPr>
          <w:rFonts w:hint="eastAsia" w:ascii="宋体" w:hAnsi="宋体" w:cs="宋体"/>
          <w:color w:val="auto"/>
          <w:sz w:val="24"/>
          <w:szCs w:val="24"/>
          <w:lang w:val="en-US" w:eastAsia="zh-CN"/>
        </w:rPr>
        <w:t>0</w:t>
      </w:r>
      <w:r>
        <w:rPr>
          <w:rFonts w:hint="eastAsia" w:ascii="宋体" w:hAnsi="宋体" w:eastAsia="宋体" w:cs="宋体"/>
          <w:color w:val="auto"/>
          <w:sz w:val="24"/>
          <w:szCs w:val="24"/>
        </w:rPr>
        <w:t>%（按医院财务制度一般情况下4个月内支付、特殊情况下最多不超过6个月），甲方在设备验收合格满</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w:t>
      </w:r>
      <w:r>
        <w:rPr>
          <w:rFonts w:hint="eastAsia" w:ascii="宋体" w:hAnsi="宋体" w:cs="宋体"/>
          <w:color w:val="auto"/>
          <w:sz w:val="24"/>
          <w:szCs w:val="24"/>
          <w:lang w:val="en-US" w:eastAsia="zh-CN"/>
        </w:rPr>
        <w:t>10</w:t>
      </w:r>
      <w:r>
        <w:rPr>
          <w:rFonts w:hint="eastAsia" w:ascii="宋体" w:hAnsi="宋体" w:eastAsia="宋体" w:cs="宋体"/>
          <w:color w:val="auto"/>
          <w:sz w:val="24"/>
          <w:szCs w:val="24"/>
        </w:rPr>
        <w:t>%余款给乙方。</w:t>
      </w:r>
    </w:p>
    <w:p w14:paraId="7EBA2F9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 xml:space="preserve">5、质保与售后：整机保修 </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年，终身维修。验收时出具原厂售后质保承诺书，质保期内每年巡检一次，并提交巡检记录。质保期内出现故障，1小时响应，响应后24小时上门服务。</w:t>
      </w:r>
    </w:p>
    <w:p w14:paraId="520B5FA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112E101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p>
    <w:p w14:paraId="5FC00F7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41211B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182DC2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7156F1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37197D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172558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227DD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199AB7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C82A09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5200EC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54A479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381D388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083B5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0FC5BB9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39A301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532369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气道管理模型等一批</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气道管理模型等一批</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7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3"/>
        <w:gridCol w:w="852"/>
        <w:gridCol w:w="924"/>
        <w:gridCol w:w="1272"/>
        <w:gridCol w:w="792"/>
        <w:gridCol w:w="1248"/>
      </w:tblGrid>
      <w:tr w14:paraId="3A682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3653" w:type="dxa"/>
            <w:vAlign w:val="top"/>
          </w:tcPr>
          <w:p w14:paraId="4A42990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852" w:type="dxa"/>
            <w:vAlign w:val="top"/>
          </w:tcPr>
          <w:p w14:paraId="53D8772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924" w:type="dxa"/>
            <w:vAlign w:val="top"/>
          </w:tcPr>
          <w:p w14:paraId="5B83423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272" w:type="dxa"/>
            <w:vAlign w:val="top"/>
          </w:tcPr>
          <w:p w14:paraId="65BFEE4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792" w:type="dxa"/>
            <w:vAlign w:val="top"/>
          </w:tcPr>
          <w:p w14:paraId="71974C7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248" w:type="dxa"/>
            <w:vAlign w:val="top"/>
          </w:tcPr>
          <w:p w14:paraId="1970F13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5DCF2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3653" w:type="dxa"/>
            <w:vAlign w:val="center"/>
          </w:tcPr>
          <w:p w14:paraId="009223EC">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气道管理模型</w:t>
            </w:r>
          </w:p>
        </w:tc>
        <w:tc>
          <w:tcPr>
            <w:tcW w:w="852" w:type="dxa"/>
            <w:vAlign w:val="center"/>
          </w:tcPr>
          <w:p w14:paraId="289B31A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24" w:type="dxa"/>
            <w:vAlign w:val="top"/>
          </w:tcPr>
          <w:p w14:paraId="3027AE4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272" w:type="dxa"/>
            <w:vAlign w:val="top"/>
          </w:tcPr>
          <w:p w14:paraId="5EEB8B3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792" w:type="dxa"/>
            <w:vAlign w:val="top"/>
          </w:tcPr>
          <w:p w14:paraId="275EF4C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248" w:type="dxa"/>
            <w:vAlign w:val="top"/>
          </w:tcPr>
          <w:p w14:paraId="72220F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4028E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3653" w:type="dxa"/>
            <w:vAlign w:val="center"/>
          </w:tcPr>
          <w:p w14:paraId="652C43A8">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超声支气管介入培训模型</w:t>
            </w:r>
          </w:p>
        </w:tc>
        <w:tc>
          <w:tcPr>
            <w:tcW w:w="852" w:type="dxa"/>
            <w:vAlign w:val="center"/>
          </w:tcPr>
          <w:p w14:paraId="5C09AE8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24" w:type="dxa"/>
            <w:vAlign w:val="top"/>
          </w:tcPr>
          <w:p w14:paraId="36A92BD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272" w:type="dxa"/>
            <w:vAlign w:val="top"/>
          </w:tcPr>
          <w:p w14:paraId="7B73575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792" w:type="dxa"/>
            <w:vAlign w:val="top"/>
          </w:tcPr>
          <w:p w14:paraId="3F4C767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248" w:type="dxa"/>
            <w:vAlign w:val="top"/>
          </w:tcPr>
          <w:p w14:paraId="3ED9F56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918C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3653" w:type="dxa"/>
            <w:vAlign w:val="center"/>
          </w:tcPr>
          <w:p w14:paraId="3B740127">
            <w:pPr>
              <w:jc w:val="center"/>
              <w:rPr>
                <w:rFonts w:hint="default" w:eastAsiaTheme="minorEastAsia"/>
                <w:lang w:val="en-US" w:eastAsia="zh-CN"/>
              </w:rPr>
            </w:pPr>
            <w:r>
              <w:rPr>
                <w:rFonts w:hint="default" w:eastAsiaTheme="minorEastAsia"/>
                <w:lang w:val="en-US" w:eastAsia="zh-CN"/>
              </w:rPr>
              <w:t>可视化静脉穿刺置管综合模型</w:t>
            </w:r>
          </w:p>
          <w:p w14:paraId="37C5E35E">
            <w:pPr>
              <w:jc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eastAsiaTheme="minorEastAsia"/>
                <w:lang w:val="en-US" w:eastAsia="zh-CN"/>
              </w:rPr>
              <w:t>（自动循环，透明）</w:t>
            </w:r>
          </w:p>
        </w:tc>
        <w:tc>
          <w:tcPr>
            <w:tcW w:w="852" w:type="dxa"/>
            <w:vAlign w:val="center"/>
          </w:tcPr>
          <w:p w14:paraId="46FDF77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24" w:type="dxa"/>
            <w:vAlign w:val="top"/>
          </w:tcPr>
          <w:p w14:paraId="4D38A25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272" w:type="dxa"/>
            <w:vAlign w:val="top"/>
          </w:tcPr>
          <w:p w14:paraId="2774292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792" w:type="dxa"/>
            <w:vAlign w:val="top"/>
          </w:tcPr>
          <w:p w14:paraId="7015E87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248" w:type="dxa"/>
            <w:vAlign w:val="top"/>
          </w:tcPr>
          <w:p w14:paraId="0CD472A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0EACE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8741" w:type="dxa"/>
            <w:gridSpan w:val="6"/>
            <w:vAlign w:val="top"/>
          </w:tcPr>
          <w:p w14:paraId="2BB61EB9">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1D02AE86">
      <w:pPr>
        <w:pStyle w:val="9"/>
        <w:rPr>
          <w:rFonts w:hint="default"/>
          <w:lang w:val="en-US" w:eastAsia="zh-CN"/>
        </w:rPr>
      </w:pPr>
    </w:p>
    <w:p w14:paraId="08A4D62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48F1B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0279206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145C247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27D55F6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3F644F1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011B1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60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邓时敏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593381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4CD2E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1D3B306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22DB96A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1DEABAE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0FE050D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A29BD3B">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212286B3">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74B5D8D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3B3F229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8"/>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9"/>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10"/>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1"/>
                    <a:stretch>
                      <a:fillRect/>
                    </a:stretch>
                  </pic:blipFill>
                  <pic:spPr>
                    <a:xfrm>
                      <a:off x="0" y="0"/>
                      <a:ext cx="5936615" cy="8377555"/>
                    </a:xfrm>
                    <a:prstGeom prst="rect">
                      <a:avLst/>
                    </a:prstGeom>
                  </pic:spPr>
                </pic:pic>
              </a:graphicData>
            </a:graphic>
          </wp:inline>
        </w:drawing>
      </w:r>
    </w:p>
    <w:p w14:paraId="71A45D00">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C23EC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t>第三章</w:t>
      </w:r>
      <w:bookmarkStart w:id="1" w:name="_Toc16523573"/>
      <w:r>
        <w:rPr>
          <w:rFonts w:hint="eastAsia" w:ascii="宋体" w:hAnsi="宋体" w:cs="宋体"/>
          <w:color w:val="auto"/>
          <w:sz w:val="44"/>
          <w:szCs w:val="44"/>
          <w:lang w:val="en-US" w:eastAsia="zh-CN"/>
        </w:rPr>
        <w:t>评标方法及标准</w:t>
      </w:r>
      <w:bookmarkEnd w:id="1"/>
    </w:p>
    <w:p w14:paraId="418C8329">
      <w:pPr>
        <w:jc w:val="center"/>
        <w:rPr>
          <w:rFonts w:hint="eastAsia" w:ascii="仿宋" w:hAnsi="仿宋" w:eastAsia="仿宋" w:cs="仿宋"/>
          <w:sz w:val="24"/>
          <w:szCs w:val="24"/>
        </w:rPr>
      </w:pPr>
      <w:r>
        <w:rPr>
          <w:rFonts w:hint="eastAsia" w:ascii="仿宋" w:hAnsi="仿宋" w:eastAsia="仿宋" w:cs="仿宋"/>
          <w:sz w:val="24"/>
          <w:szCs w:val="24"/>
        </w:rPr>
        <w:t>本采购项目的权值见下表</w:t>
      </w:r>
    </w:p>
    <w:tbl>
      <w:tblPr>
        <w:tblStyle w:val="10"/>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0EA25A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0E14E99C">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05A29BD8">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0ED45F08">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117852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4412CD0E">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3BEA03D7">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38429E02">
            <w:pPr>
              <w:jc w:val="center"/>
              <w:rPr>
                <w:rFonts w:hint="eastAsia" w:ascii="仿宋" w:hAnsi="仿宋" w:eastAsia="仿宋" w:cs="仿宋"/>
                <w:sz w:val="24"/>
                <w:szCs w:val="24"/>
              </w:rPr>
            </w:pPr>
            <w:r>
              <w:rPr>
                <w:rFonts w:hint="eastAsia" w:ascii="仿宋" w:hAnsi="仿宋" w:eastAsia="仿宋" w:cs="仿宋"/>
                <w:sz w:val="24"/>
                <w:szCs w:val="24"/>
              </w:rPr>
              <w:t>50%</w:t>
            </w:r>
          </w:p>
        </w:tc>
      </w:tr>
      <w:tr w14:paraId="5FE692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3013483A">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05036993">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314324F9">
            <w:pPr>
              <w:jc w:val="center"/>
              <w:rPr>
                <w:rFonts w:hint="eastAsia" w:ascii="仿宋" w:hAnsi="仿宋" w:eastAsia="仿宋" w:cs="仿宋"/>
                <w:sz w:val="24"/>
                <w:szCs w:val="24"/>
              </w:rPr>
            </w:pPr>
            <w:r>
              <w:rPr>
                <w:rFonts w:hint="eastAsia" w:ascii="仿宋" w:hAnsi="仿宋" w:eastAsia="仿宋" w:cs="仿宋"/>
                <w:sz w:val="24"/>
                <w:szCs w:val="24"/>
              </w:rPr>
              <w:t>40%</w:t>
            </w:r>
          </w:p>
        </w:tc>
      </w:tr>
      <w:tr w14:paraId="283CC3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3A99A676">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10F05707">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0779B7C0">
            <w:pPr>
              <w:jc w:val="center"/>
              <w:rPr>
                <w:rFonts w:hint="eastAsia" w:ascii="仿宋" w:hAnsi="仿宋" w:eastAsia="仿宋" w:cs="仿宋"/>
                <w:sz w:val="24"/>
                <w:szCs w:val="24"/>
              </w:rPr>
            </w:pPr>
            <w:r>
              <w:rPr>
                <w:rFonts w:hint="eastAsia" w:ascii="仿宋" w:hAnsi="仿宋" w:eastAsia="仿宋" w:cs="仿宋"/>
                <w:sz w:val="24"/>
                <w:szCs w:val="24"/>
              </w:rPr>
              <w:t>10%</w:t>
            </w:r>
          </w:p>
        </w:tc>
      </w:tr>
      <w:tr w14:paraId="744CD1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7E4687BD">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20694CF8">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4FE72B7E">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0"/>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2159"/>
        <w:gridCol w:w="6249"/>
      </w:tblGrid>
      <w:tr w14:paraId="2E5BAB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03302265">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59" w:type="dxa"/>
            <w:tcBorders>
              <w:top w:val="double" w:color="auto" w:sz="4" w:space="0"/>
              <w:left w:val="single" w:color="auto" w:sz="4" w:space="0"/>
              <w:bottom w:val="single" w:color="auto" w:sz="6" w:space="0"/>
              <w:right w:val="single" w:color="auto" w:sz="4" w:space="0"/>
            </w:tcBorders>
            <w:noWrap w:val="0"/>
            <w:vAlign w:val="center"/>
          </w:tcPr>
          <w:p w14:paraId="256288D0">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49" w:type="dxa"/>
            <w:tcBorders>
              <w:top w:val="double" w:color="auto" w:sz="4" w:space="0"/>
              <w:left w:val="single" w:color="auto" w:sz="4" w:space="0"/>
              <w:bottom w:val="single" w:color="auto" w:sz="6" w:space="0"/>
              <w:right w:val="double" w:color="auto" w:sz="4" w:space="0"/>
            </w:tcBorders>
            <w:noWrap w:val="0"/>
            <w:vAlign w:val="center"/>
          </w:tcPr>
          <w:p w14:paraId="5F43CEEF">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3CB0A2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22A35888">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59" w:type="dxa"/>
            <w:tcBorders>
              <w:top w:val="single" w:color="auto" w:sz="6" w:space="0"/>
              <w:left w:val="single" w:color="auto" w:sz="4" w:space="0"/>
              <w:bottom w:val="single" w:color="auto" w:sz="6" w:space="0"/>
              <w:right w:val="single" w:color="auto" w:sz="4" w:space="0"/>
            </w:tcBorders>
            <w:noWrap w:val="0"/>
            <w:vAlign w:val="center"/>
          </w:tcPr>
          <w:p w14:paraId="6A284B07">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17A7F1D4">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249" w:type="dxa"/>
            <w:tcBorders>
              <w:top w:val="single" w:color="auto" w:sz="6" w:space="0"/>
              <w:left w:val="single" w:color="auto" w:sz="4" w:space="0"/>
              <w:bottom w:val="single" w:color="auto" w:sz="6" w:space="0"/>
              <w:right w:val="double" w:color="auto" w:sz="4" w:space="0"/>
            </w:tcBorders>
            <w:noWrap w:val="0"/>
            <w:vAlign w:val="center"/>
          </w:tcPr>
          <w:p w14:paraId="7CE9EB6E">
            <w:pPr>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、满足招标文件要求且投标报价中最低的投标报价为评标基准价其价格分为满分；其他投标人的价格分统一按照以下公式计算：</w:t>
            </w:r>
          </w:p>
          <w:p w14:paraId="37E2DBA0">
            <w:pPr>
              <w:jc w:val="left"/>
              <w:rPr>
                <w:rFonts w:hint="eastAsia" w:ascii="仿宋" w:hAnsi="仿宋" w:eastAsia="仿宋" w:cs="仿宋"/>
                <w:sz w:val="24"/>
                <w:szCs w:val="24"/>
              </w:rPr>
            </w:pPr>
            <w:r>
              <w:rPr>
                <w:rFonts w:hint="eastAsia" w:ascii="仿宋" w:hAnsi="仿宋" w:eastAsia="仿宋" w:cs="仿宋"/>
                <w:sz w:val="24"/>
                <w:szCs w:val="24"/>
              </w:rPr>
              <w:t>投标报价得分=（评标基准价/投标报价）×价格权值×100</w:t>
            </w:r>
          </w:p>
          <w:p w14:paraId="33A29A7D">
            <w:pPr>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67E20A07">
            <w:pPr>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、最终投标价以人民币元为单位，计算保留至小数点后2位（百分比亦然），小数点后第3位采取4舍5入</w:t>
            </w:r>
          </w:p>
        </w:tc>
      </w:tr>
    </w:tbl>
    <w:p w14:paraId="3B5C4888">
      <w:pPr>
        <w:jc w:val="center"/>
        <w:rPr>
          <w:rFonts w:hint="eastAsia" w:ascii="仿宋" w:hAnsi="仿宋" w:eastAsia="仿宋" w:cs="仿宋"/>
          <w:sz w:val="24"/>
          <w:szCs w:val="24"/>
        </w:rPr>
      </w:pPr>
    </w:p>
    <w:p w14:paraId="7F5B6356">
      <w:pPr>
        <w:jc w:val="center"/>
        <w:rPr>
          <w:rFonts w:hint="eastAsia" w:ascii="仿宋" w:hAnsi="仿宋" w:eastAsia="仿宋" w:cs="仿宋"/>
          <w:sz w:val="24"/>
          <w:szCs w:val="24"/>
        </w:rPr>
      </w:pPr>
    </w:p>
    <w:p w14:paraId="1FF95089">
      <w:pPr>
        <w:jc w:val="center"/>
        <w:rPr>
          <w:rFonts w:hint="eastAsia" w:ascii="仿宋" w:hAnsi="仿宋" w:eastAsia="仿宋" w:cs="仿宋"/>
          <w:sz w:val="24"/>
          <w:szCs w:val="24"/>
        </w:rPr>
      </w:pPr>
    </w:p>
    <w:p w14:paraId="48DCF75E">
      <w:pPr>
        <w:jc w:val="center"/>
        <w:rPr>
          <w:rFonts w:hint="eastAsia" w:ascii="仿宋" w:hAnsi="仿宋" w:eastAsia="仿宋" w:cs="仿宋"/>
          <w:sz w:val="24"/>
          <w:szCs w:val="24"/>
        </w:rPr>
      </w:pPr>
    </w:p>
    <w:p w14:paraId="7974162D">
      <w:pPr>
        <w:jc w:val="center"/>
        <w:rPr>
          <w:rFonts w:hint="eastAsia" w:ascii="仿宋" w:hAnsi="仿宋" w:eastAsia="仿宋" w:cs="仿宋"/>
          <w:sz w:val="24"/>
          <w:szCs w:val="24"/>
        </w:rPr>
      </w:pPr>
      <w:r>
        <w:rPr>
          <w:rFonts w:hint="eastAsia" w:ascii="仿宋" w:hAnsi="仿宋" w:eastAsia="仿宋" w:cs="仿宋"/>
          <w:sz w:val="24"/>
          <w:szCs w:val="24"/>
        </w:rPr>
        <w:br w:type="page"/>
      </w:r>
    </w:p>
    <w:p w14:paraId="13A54B08">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0"/>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773"/>
        <w:gridCol w:w="772"/>
        <w:gridCol w:w="4732"/>
      </w:tblGrid>
      <w:tr w14:paraId="25E611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72ADBDF5">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60" w:type="dxa"/>
            <w:tcBorders>
              <w:top w:val="double" w:color="auto" w:sz="4" w:space="0"/>
              <w:left w:val="single" w:color="auto" w:sz="4" w:space="0"/>
              <w:bottom w:val="single" w:color="auto" w:sz="6" w:space="0"/>
              <w:right w:val="single" w:color="auto" w:sz="4" w:space="0"/>
            </w:tcBorders>
            <w:noWrap w:val="0"/>
            <w:vAlign w:val="center"/>
          </w:tcPr>
          <w:p w14:paraId="5A86A9F4">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77" w:type="dxa"/>
            <w:gridSpan w:val="3"/>
            <w:tcBorders>
              <w:top w:val="double" w:color="auto" w:sz="4" w:space="0"/>
              <w:left w:val="single" w:color="auto" w:sz="4" w:space="0"/>
              <w:bottom w:val="single" w:color="auto" w:sz="6" w:space="0"/>
              <w:right w:val="double" w:color="auto" w:sz="4" w:space="0"/>
            </w:tcBorders>
            <w:noWrap w:val="0"/>
            <w:vAlign w:val="center"/>
          </w:tcPr>
          <w:p w14:paraId="56C8154D">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147B2F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52D32982">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60" w:type="dxa"/>
            <w:tcBorders>
              <w:top w:val="single" w:color="auto" w:sz="6" w:space="0"/>
              <w:left w:val="single" w:color="auto" w:sz="4" w:space="0"/>
              <w:bottom w:val="single" w:color="auto" w:sz="6" w:space="0"/>
              <w:right w:val="single" w:color="auto" w:sz="6" w:space="0"/>
            </w:tcBorders>
            <w:noWrap w:val="0"/>
            <w:vAlign w:val="center"/>
          </w:tcPr>
          <w:p w14:paraId="5B939C53">
            <w:pPr>
              <w:jc w:val="center"/>
              <w:rPr>
                <w:rFonts w:hint="eastAsia" w:ascii="仿宋" w:hAnsi="仿宋" w:eastAsia="仿宋" w:cs="仿宋"/>
                <w:sz w:val="24"/>
                <w:szCs w:val="24"/>
              </w:rPr>
            </w:pPr>
            <w:r>
              <w:rPr>
                <w:rFonts w:hint="eastAsia" w:ascii="仿宋" w:hAnsi="仿宋" w:eastAsia="仿宋" w:cs="仿宋"/>
                <w:sz w:val="24"/>
                <w:szCs w:val="24"/>
              </w:rPr>
              <w:t>技术评价项</w:t>
            </w:r>
          </w:p>
          <w:p w14:paraId="1AAB31A8">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773" w:type="dxa"/>
            <w:tcBorders>
              <w:top w:val="single" w:color="auto" w:sz="6" w:space="0"/>
              <w:left w:val="single" w:color="auto" w:sz="6" w:space="0"/>
              <w:bottom w:val="single" w:color="auto" w:sz="6" w:space="0"/>
              <w:right w:val="single" w:color="auto" w:sz="4" w:space="0"/>
            </w:tcBorders>
            <w:noWrap w:val="0"/>
            <w:vAlign w:val="center"/>
          </w:tcPr>
          <w:p w14:paraId="7EB723E0">
            <w:pPr>
              <w:jc w:val="center"/>
              <w:rPr>
                <w:rFonts w:hint="eastAsia" w:ascii="仿宋" w:hAnsi="仿宋" w:eastAsia="仿宋" w:cs="仿宋"/>
                <w:sz w:val="24"/>
                <w:szCs w:val="24"/>
              </w:rPr>
            </w:pPr>
            <w:r>
              <w:rPr>
                <w:rFonts w:hint="eastAsia" w:ascii="仿宋" w:hAnsi="仿宋" w:eastAsia="仿宋" w:cs="仿宋"/>
                <w:sz w:val="24"/>
                <w:szCs w:val="24"/>
              </w:rPr>
              <w:t>技术参数</w:t>
            </w:r>
          </w:p>
        </w:tc>
        <w:tc>
          <w:tcPr>
            <w:tcW w:w="772" w:type="dxa"/>
            <w:tcBorders>
              <w:top w:val="single" w:color="auto" w:sz="6" w:space="0"/>
              <w:left w:val="single" w:color="auto" w:sz="4" w:space="0"/>
              <w:bottom w:val="single" w:color="auto" w:sz="6" w:space="0"/>
              <w:right w:val="single" w:color="auto" w:sz="6" w:space="0"/>
            </w:tcBorders>
            <w:noWrap w:val="0"/>
            <w:vAlign w:val="center"/>
          </w:tcPr>
          <w:p w14:paraId="1391048C">
            <w:pPr>
              <w:jc w:val="center"/>
              <w:rPr>
                <w:rFonts w:hint="eastAsia" w:ascii="仿宋" w:hAnsi="仿宋" w:eastAsia="仿宋" w:cs="仿宋"/>
                <w:sz w:val="24"/>
                <w:szCs w:val="24"/>
              </w:rPr>
            </w:pPr>
            <w:r>
              <w:rPr>
                <w:rFonts w:hint="eastAsia" w:ascii="仿宋" w:hAnsi="仿宋" w:eastAsia="仿宋" w:cs="仿宋"/>
                <w:sz w:val="24"/>
                <w:szCs w:val="24"/>
              </w:rPr>
              <w:t>100</w:t>
            </w:r>
          </w:p>
        </w:tc>
        <w:tc>
          <w:tcPr>
            <w:tcW w:w="4732" w:type="dxa"/>
            <w:tcBorders>
              <w:top w:val="single" w:color="auto" w:sz="6" w:space="0"/>
              <w:left w:val="single" w:color="auto" w:sz="6" w:space="0"/>
              <w:bottom w:val="single" w:color="auto" w:sz="6" w:space="0"/>
              <w:right w:val="double" w:color="auto" w:sz="4" w:space="0"/>
            </w:tcBorders>
            <w:noWrap w:val="0"/>
            <w:vAlign w:val="center"/>
          </w:tcPr>
          <w:p w14:paraId="0E688C5A">
            <w:pPr>
              <w:jc w:val="left"/>
              <w:rPr>
                <w:rFonts w:hint="eastAsia" w:ascii="仿宋" w:hAnsi="仿宋" w:eastAsia="仿宋" w:cs="仿宋"/>
                <w:sz w:val="24"/>
                <w:szCs w:val="24"/>
              </w:rPr>
            </w:pPr>
            <w:r>
              <w:rPr>
                <w:rFonts w:hint="eastAsia" w:ascii="仿宋" w:hAnsi="仿宋" w:eastAsia="仿宋" w:cs="仿宋"/>
                <w:sz w:val="24"/>
                <w:szCs w:val="24"/>
              </w:rPr>
              <w:t>投标文件无技术条款响应/偏离表的本项计0分；</w:t>
            </w:r>
          </w:p>
          <w:p w14:paraId="1184F738">
            <w:pPr>
              <w:jc w:val="left"/>
              <w:rPr>
                <w:rFonts w:hint="eastAsia" w:ascii="仿宋" w:hAnsi="仿宋" w:eastAsia="仿宋" w:cs="仿宋"/>
                <w:sz w:val="24"/>
                <w:szCs w:val="24"/>
              </w:rPr>
            </w:pPr>
            <w:r>
              <w:rPr>
                <w:rFonts w:hint="eastAsia" w:ascii="仿宋" w:hAnsi="仿宋" w:eastAsia="仿宋" w:cs="仿宋"/>
                <w:sz w:val="24"/>
                <w:szCs w:val="24"/>
              </w:rPr>
              <w:t>1、技术参数满足招标文件要求无负偏离的本项计100分；</w:t>
            </w:r>
          </w:p>
          <w:p w14:paraId="1EFBD485">
            <w:pPr>
              <w:jc w:val="left"/>
              <w:rPr>
                <w:rFonts w:hint="eastAsia" w:ascii="仿宋" w:hAnsi="仿宋" w:eastAsia="仿宋" w:cs="仿宋"/>
                <w:sz w:val="24"/>
                <w:szCs w:val="24"/>
              </w:rPr>
            </w:pPr>
            <w:r>
              <w:rPr>
                <w:rFonts w:hint="eastAsia" w:ascii="仿宋" w:hAnsi="仿宋" w:eastAsia="仿宋" w:cs="仿宋"/>
                <w:sz w:val="24"/>
                <w:szCs w:val="24"/>
              </w:rPr>
              <w:t>2、标注“▲”的参数为重要参数，每一项负偏离或缺漏扣10分；</w:t>
            </w:r>
          </w:p>
          <w:p w14:paraId="4669E978">
            <w:pPr>
              <w:jc w:val="left"/>
              <w:rPr>
                <w:rFonts w:hint="eastAsia" w:ascii="仿宋" w:hAnsi="仿宋" w:eastAsia="仿宋" w:cs="仿宋"/>
                <w:sz w:val="24"/>
                <w:szCs w:val="24"/>
              </w:rPr>
            </w:pPr>
            <w:r>
              <w:rPr>
                <w:rFonts w:hint="eastAsia" w:ascii="仿宋" w:hAnsi="仿宋" w:eastAsia="仿宋" w:cs="仿宋"/>
                <w:sz w:val="24"/>
                <w:szCs w:val="24"/>
              </w:rPr>
              <w:t>3、一般技术参数（即非“★”非“▲”号参数）存在负偏离，每条负偏离扣6分。</w:t>
            </w:r>
          </w:p>
          <w:p w14:paraId="01970AF9">
            <w:pPr>
              <w:jc w:val="left"/>
              <w:rPr>
                <w:rFonts w:hint="eastAsia" w:ascii="仿宋" w:hAnsi="仿宋" w:eastAsia="仿宋" w:cs="仿宋"/>
                <w:sz w:val="24"/>
                <w:szCs w:val="24"/>
              </w:rPr>
            </w:pPr>
            <w:r>
              <w:rPr>
                <w:rFonts w:hint="eastAsia" w:ascii="仿宋" w:hAnsi="仿宋" w:eastAsia="仿宋" w:cs="仿宋"/>
                <w:sz w:val="24"/>
                <w:szCs w:val="24"/>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r>
              <w:rPr>
                <w:rFonts w:hint="eastAsia" w:ascii="仿宋" w:hAnsi="仿宋" w:eastAsia="仿宋" w:cs="仿宋"/>
                <w:sz w:val="24"/>
                <w:szCs w:val="24"/>
                <w:lang w:eastAsia="zh-CN"/>
              </w:rPr>
              <w:t>；</w:t>
            </w:r>
            <w:r>
              <w:rPr>
                <w:rFonts w:hint="eastAsia" w:ascii="仿宋" w:hAnsi="仿宋" w:eastAsia="仿宋" w:cs="仿宋"/>
                <w:sz w:val="24"/>
                <w:szCs w:val="24"/>
              </w:rPr>
              <w:t>“★”</w:t>
            </w:r>
            <w:r>
              <w:rPr>
                <w:rFonts w:hint="eastAsia" w:ascii="仿宋" w:hAnsi="仿宋" w:eastAsia="仿宋" w:cs="仿宋"/>
                <w:sz w:val="24"/>
                <w:szCs w:val="24"/>
                <w:lang w:eastAsia="zh-CN"/>
              </w:rPr>
              <w:t>为实质性条款，任何一条负偏离视为无效投标</w:t>
            </w:r>
            <w:r>
              <w:rPr>
                <w:rFonts w:hint="eastAsia" w:ascii="仿宋" w:hAnsi="仿宋" w:eastAsia="仿宋" w:cs="仿宋"/>
                <w:sz w:val="24"/>
                <w:szCs w:val="24"/>
              </w:rPr>
              <w:t>）</w:t>
            </w:r>
          </w:p>
        </w:tc>
      </w:tr>
    </w:tbl>
    <w:p w14:paraId="02AEE61F">
      <w:pPr>
        <w:jc w:val="center"/>
        <w:rPr>
          <w:rFonts w:hint="eastAsia" w:ascii="仿宋" w:hAnsi="仿宋" w:eastAsia="仿宋" w:cs="仿宋"/>
          <w:sz w:val="24"/>
          <w:szCs w:val="24"/>
        </w:rPr>
      </w:pPr>
    </w:p>
    <w:p w14:paraId="61ED0FE1">
      <w:pPr>
        <w:jc w:val="center"/>
        <w:rPr>
          <w:rFonts w:hint="eastAsia"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t>附表1.3商务部分评审标准表</w:t>
      </w:r>
    </w:p>
    <w:tbl>
      <w:tblPr>
        <w:tblStyle w:val="10"/>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877"/>
        <w:gridCol w:w="1377"/>
        <w:gridCol w:w="709"/>
        <w:gridCol w:w="4519"/>
      </w:tblGrid>
      <w:tr w14:paraId="2238398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noWrap w:val="0"/>
            <w:vAlign w:val="center"/>
          </w:tcPr>
          <w:p w14:paraId="43C85B9E">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877" w:type="dxa"/>
            <w:tcBorders>
              <w:tl2br w:val="nil"/>
              <w:tr2bl w:val="nil"/>
            </w:tcBorders>
            <w:noWrap w:val="0"/>
            <w:vAlign w:val="center"/>
          </w:tcPr>
          <w:p w14:paraId="32B8937C">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605" w:type="dxa"/>
            <w:gridSpan w:val="3"/>
            <w:tcBorders>
              <w:tl2br w:val="nil"/>
              <w:tr2bl w:val="nil"/>
            </w:tcBorders>
            <w:noWrap w:val="0"/>
            <w:vAlign w:val="center"/>
          </w:tcPr>
          <w:p w14:paraId="0D058063">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244918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restart"/>
            <w:tcBorders>
              <w:tl2br w:val="nil"/>
              <w:tr2bl w:val="nil"/>
            </w:tcBorders>
            <w:noWrap w:val="0"/>
            <w:vAlign w:val="center"/>
          </w:tcPr>
          <w:p w14:paraId="1F0C423B">
            <w:pPr>
              <w:jc w:val="center"/>
              <w:rPr>
                <w:rFonts w:hint="eastAsia" w:ascii="仿宋" w:hAnsi="仿宋" w:eastAsia="仿宋" w:cs="仿宋"/>
                <w:sz w:val="24"/>
                <w:szCs w:val="24"/>
              </w:rPr>
            </w:pPr>
            <w:r>
              <w:rPr>
                <w:rFonts w:hint="eastAsia" w:ascii="仿宋" w:hAnsi="仿宋" w:eastAsia="仿宋" w:cs="仿宋"/>
                <w:sz w:val="24"/>
                <w:szCs w:val="24"/>
              </w:rPr>
              <w:t>1</w:t>
            </w:r>
          </w:p>
        </w:tc>
        <w:tc>
          <w:tcPr>
            <w:tcW w:w="1877" w:type="dxa"/>
            <w:vMerge w:val="restart"/>
            <w:tcBorders>
              <w:tl2br w:val="nil"/>
              <w:tr2bl w:val="nil"/>
            </w:tcBorders>
            <w:noWrap w:val="0"/>
            <w:vAlign w:val="center"/>
          </w:tcPr>
          <w:p w14:paraId="7620A79C">
            <w:pPr>
              <w:jc w:val="center"/>
              <w:rPr>
                <w:rFonts w:hint="eastAsia" w:ascii="仿宋" w:hAnsi="仿宋" w:eastAsia="仿宋" w:cs="仿宋"/>
                <w:sz w:val="24"/>
                <w:szCs w:val="24"/>
              </w:rPr>
            </w:pPr>
            <w:r>
              <w:rPr>
                <w:rFonts w:hint="eastAsia" w:ascii="仿宋" w:hAnsi="仿宋" w:eastAsia="仿宋" w:cs="仿宋"/>
                <w:sz w:val="24"/>
                <w:szCs w:val="24"/>
              </w:rPr>
              <w:t>商务评价项</w:t>
            </w:r>
          </w:p>
          <w:p w14:paraId="2B5BFD8A">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1377" w:type="dxa"/>
            <w:tcBorders>
              <w:tl2br w:val="nil"/>
              <w:tr2bl w:val="nil"/>
            </w:tcBorders>
            <w:noWrap w:val="0"/>
            <w:vAlign w:val="center"/>
          </w:tcPr>
          <w:p w14:paraId="513841DC">
            <w:pPr>
              <w:jc w:val="center"/>
              <w:rPr>
                <w:rFonts w:hint="eastAsia" w:ascii="仿宋" w:hAnsi="仿宋" w:eastAsia="仿宋" w:cs="仿宋"/>
                <w:sz w:val="24"/>
                <w:szCs w:val="24"/>
              </w:rPr>
            </w:pPr>
            <w:r>
              <w:rPr>
                <w:rFonts w:hint="eastAsia" w:ascii="仿宋" w:hAnsi="仿宋" w:eastAsia="仿宋" w:cs="仿宋"/>
                <w:sz w:val="24"/>
                <w:szCs w:val="24"/>
              </w:rPr>
              <w:t>售后服务</w:t>
            </w:r>
          </w:p>
        </w:tc>
        <w:tc>
          <w:tcPr>
            <w:tcW w:w="709" w:type="dxa"/>
            <w:tcBorders>
              <w:tl2br w:val="nil"/>
              <w:tr2bl w:val="nil"/>
            </w:tcBorders>
            <w:noWrap w:val="0"/>
            <w:vAlign w:val="center"/>
          </w:tcPr>
          <w:p w14:paraId="13584F7A">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w:t>
            </w:r>
          </w:p>
        </w:tc>
        <w:tc>
          <w:tcPr>
            <w:tcW w:w="4519" w:type="dxa"/>
            <w:tcBorders>
              <w:tl2br w:val="nil"/>
              <w:tr2bl w:val="nil"/>
            </w:tcBorders>
            <w:noWrap w:val="0"/>
            <w:vAlign w:val="center"/>
          </w:tcPr>
          <w:p w14:paraId="37C3F1BF">
            <w:pPr>
              <w:jc w:val="left"/>
              <w:rPr>
                <w:rFonts w:hint="eastAsia" w:ascii="仿宋" w:hAnsi="仿宋" w:eastAsia="仿宋" w:cs="仿宋"/>
                <w:color w:val="FF0000"/>
                <w:sz w:val="24"/>
                <w:szCs w:val="24"/>
                <w:lang w:val="en-US" w:eastAsia="zh-CN"/>
              </w:rPr>
            </w:pPr>
            <w:r>
              <w:rPr>
                <w:rFonts w:hint="eastAsia" w:ascii="仿宋" w:hAnsi="仿宋" w:eastAsia="仿宋" w:cs="仿宋"/>
                <w:sz w:val="24"/>
                <w:szCs w:val="24"/>
              </w:rPr>
              <w:t>1、</w:t>
            </w:r>
            <w:r>
              <w:rPr>
                <w:rFonts w:hint="eastAsia" w:ascii="仿宋" w:hAnsi="仿宋" w:eastAsia="仿宋" w:cs="仿宋"/>
                <w:color w:val="FF0000"/>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4C7D1820">
            <w:pPr>
              <w:jc w:val="left"/>
              <w:rPr>
                <w:rFonts w:hint="eastAsia" w:ascii="仿宋" w:hAnsi="仿宋" w:eastAsia="仿宋" w:cs="仿宋"/>
                <w:color w:val="FF0000"/>
                <w:sz w:val="24"/>
                <w:szCs w:val="24"/>
                <w:lang w:val="en-US" w:eastAsia="zh-CN"/>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0ACA4F3E">
            <w:pPr>
              <w:jc w:val="left"/>
              <w:rPr>
                <w:rFonts w:hint="eastAsia" w:ascii="仿宋" w:hAnsi="仿宋" w:eastAsia="仿宋" w:cs="仿宋"/>
                <w:sz w:val="24"/>
                <w:szCs w:val="24"/>
              </w:rPr>
            </w:pPr>
            <w:r>
              <w:rPr>
                <w:rFonts w:hint="eastAsia" w:ascii="仿宋" w:hAnsi="仿宋" w:eastAsia="仿宋" w:cs="仿宋"/>
                <w:sz w:val="24"/>
                <w:szCs w:val="24"/>
              </w:rPr>
              <w:t>2、质保期在招标要求基础上再增加1年的加10分，增加2年以上的加20分，最高可加20分。</w:t>
            </w:r>
          </w:p>
        </w:tc>
      </w:tr>
      <w:tr w14:paraId="624086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4890118F">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52D7E2E5">
            <w:pPr>
              <w:jc w:val="center"/>
              <w:rPr>
                <w:rFonts w:hint="eastAsia" w:ascii="仿宋" w:hAnsi="仿宋" w:eastAsia="仿宋" w:cs="仿宋"/>
                <w:sz w:val="24"/>
                <w:szCs w:val="24"/>
              </w:rPr>
            </w:pPr>
          </w:p>
        </w:tc>
        <w:tc>
          <w:tcPr>
            <w:tcW w:w="1377" w:type="dxa"/>
            <w:tcBorders>
              <w:tl2br w:val="nil"/>
              <w:tr2bl w:val="nil"/>
            </w:tcBorders>
            <w:noWrap w:val="0"/>
            <w:vAlign w:val="center"/>
          </w:tcPr>
          <w:p w14:paraId="6A83972D">
            <w:pPr>
              <w:jc w:val="center"/>
              <w:rPr>
                <w:rFonts w:hint="eastAsia" w:ascii="仿宋" w:hAnsi="仿宋" w:eastAsia="仿宋" w:cs="仿宋"/>
                <w:sz w:val="24"/>
                <w:szCs w:val="24"/>
              </w:rPr>
            </w:pPr>
            <w:r>
              <w:rPr>
                <w:rFonts w:hint="eastAsia" w:ascii="仿宋" w:hAnsi="仿宋" w:eastAsia="仿宋" w:cs="仿宋"/>
                <w:sz w:val="24"/>
                <w:szCs w:val="24"/>
              </w:rPr>
              <w:t>培训方案</w:t>
            </w:r>
          </w:p>
        </w:tc>
        <w:tc>
          <w:tcPr>
            <w:tcW w:w="709" w:type="dxa"/>
            <w:tcBorders>
              <w:tl2br w:val="nil"/>
              <w:tr2bl w:val="nil"/>
            </w:tcBorders>
            <w:noWrap w:val="0"/>
            <w:vAlign w:val="center"/>
          </w:tcPr>
          <w:p w14:paraId="5ED090F1">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4519" w:type="dxa"/>
            <w:tcBorders>
              <w:tl2br w:val="nil"/>
              <w:tr2bl w:val="nil"/>
            </w:tcBorders>
            <w:noWrap w:val="0"/>
            <w:vAlign w:val="center"/>
          </w:tcPr>
          <w:p w14:paraId="5C971A9C">
            <w:pPr>
              <w:jc w:val="left"/>
              <w:rPr>
                <w:rFonts w:hint="eastAsia" w:ascii="仿宋" w:hAnsi="仿宋" w:eastAsia="仿宋" w:cs="仿宋"/>
                <w:color w:val="FF0000"/>
                <w:sz w:val="24"/>
                <w:szCs w:val="24"/>
              </w:rPr>
            </w:pPr>
            <w:r>
              <w:rPr>
                <w:rFonts w:hint="eastAsia" w:ascii="仿宋" w:hAnsi="仿宋" w:eastAsia="仿宋" w:cs="仿宋"/>
                <w:color w:val="FF0000"/>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FF0000"/>
                <w:sz w:val="24"/>
                <w:szCs w:val="24"/>
                <w:lang w:eastAsia="zh-CN"/>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4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④</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rPr>
              <w:t>培训</w:t>
            </w:r>
            <w:r>
              <w:rPr>
                <w:rFonts w:hint="eastAsia" w:ascii="仿宋" w:hAnsi="仿宋" w:eastAsia="仿宋" w:cs="仿宋"/>
                <w:color w:val="FF0000"/>
                <w:sz w:val="24"/>
                <w:szCs w:val="24"/>
                <w:lang w:eastAsia="zh-CN"/>
              </w:rPr>
              <w:t>计划安排</w:t>
            </w:r>
            <w:r>
              <w:rPr>
                <w:rFonts w:hint="eastAsia" w:ascii="仿宋" w:hAnsi="仿宋" w:eastAsia="仿宋" w:cs="仿宋"/>
                <w:color w:val="FF0000"/>
                <w:sz w:val="24"/>
                <w:szCs w:val="24"/>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5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⑤</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lang w:eastAsia="zh-CN"/>
              </w:rPr>
              <w:t>培训效果</w:t>
            </w:r>
            <w:r>
              <w:rPr>
                <w:rFonts w:hint="eastAsia" w:ascii="仿宋" w:hAnsi="仿宋" w:eastAsia="仿宋" w:cs="仿宋"/>
                <w:color w:val="FF0000"/>
                <w:sz w:val="24"/>
                <w:szCs w:val="24"/>
              </w:rPr>
              <w:t>等。</w:t>
            </w:r>
          </w:p>
          <w:p w14:paraId="2D59C56D">
            <w:pPr>
              <w:jc w:val="left"/>
              <w:rPr>
                <w:rFonts w:hint="eastAsia" w:ascii="仿宋" w:hAnsi="仿宋" w:eastAsia="仿宋" w:cs="仿宋"/>
                <w:sz w:val="24"/>
                <w:szCs w:val="24"/>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257A85D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1CF90431">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729DBDEF">
            <w:pPr>
              <w:jc w:val="center"/>
              <w:rPr>
                <w:rFonts w:hint="eastAsia" w:ascii="仿宋" w:hAnsi="仿宋" w:eastAsia="仿宋" w:cs="仿宋"/>
                <w:sz w:val="24"/>
                <w:szCs w:val="24"/>
              </w:rPr>
            </w:pPr>
          </w:p>
        </w:tc>
        <w:tc>
          <w:tcPr>
            <w:tcW w:w="1377" w:type="dxa"/>
            <w:tcBorders>
              <w:tl2br w:val="nil"/>
              <w:tr2bl w:val="nil"/>
            </w:tcBorders>
            <w:noWrap w:val="0"/>
            <w:vAlign w:val="center"/>
          </w:tcPr>
          <w:p w14:paraId="4129578B">
            <w:pPr>
              <w:jc w:val="center"/>
              <w:rPr>
                <w:rFonts w:hint="eastAsia" w:ascii="仿宋" w:hAnsi="仿宋" w:eastAsia="仿宋" w:cs="仿宋"/>
                <w:sz w:val="24"/>
                <w:szCs w:val="24"/>
              </w:rPr>
            </w:pPr>
            <w:r>
              <w:rPr>
                <w:rFonts w:hint="eastAsia" w:ascii="仿宋" w:hAnsi="仿宋" w:eastAsia="仿宋" w:cs="仿宋"/>
                <w:sz w:val="24"/>
                <w:szCs w:val="24"/>
              </w:rPr>
              <w:t>类似业绩</w:t>
            </w:r>
          </w:p>
        </w:tc>
        <w:tc>
          <w:tcPr>
            <w:tcW w:w="709" w:type="dxa"/>
            <w:tcBorders>
              <w:tl2br w:val="nil"/>
              <w:tr2bl w:val="nil"/>
            </w:tcBorders>
            <w:noWrap w:val="0"/>
            <w:vAlign w:val="center"/>
          </w:tcPr>
          <w:p w14:paraId="4B2468F8">
            <w:pPr>
              <w:jc w:val="center"/>
              <w:rPr>
                <w:rFonts w:hint="eastAsia" w:ascii="仿宋" w:hAnsi="仿宋" w:eastAsia="仿宋" w:cs="仿宋"/>
                <w:sz w:val="24"/>
                <w:szCs w:val="24"/>
              </w:rPr>
            </w:pPr>
            <w:r>
              <w:rPr>
                <w:rFonts w:hint="eastAsia" w:ascii="仿宋" w:hAnsi="仿宋" w:eastAsia="仿宋" w:cs="仿宋"/>
                <w:sz w:val="24"/>
                <w:szCs w:val="24"/>
              </w:rPr>
              <w:t>30</w:t>
            </w:r>
          </w:p>
        </w:tc>
        <w:tc>
          <w:tcPr>
            <w:tcW w:w="4519" w:type="dxa"/>
            <w:tcBorders>
              <w:tl2br w:val="nil"/>
              <w:tr2bl w:val="nil"/>
            </w:tcBorders>
            <w:noWrap w:val="0"/>
            <w:vAlign w:val="center"/>
          </w:tcPr>
          <w:p w14:paraId="294B983C">
            <w:pPr>
              <w:jc w:val="left"/>
              <w:rPr>
                <w:rFonts w:hint="eastAsia" w:ascii="仿宋" w:hAnsi="仿宋" w:eastAsia="仿宋" w:cs="仿宋"/>
                <w:sz w:val="24"/>
                <w:szCs w:val="24"/>
              </w:rPr>
            </w:pPr>
            <w:r>
              <w:rPr>
                <w:rFonts w:hint="eastAsia" w:ascii="仿宋" w:hAnsi="仿宋" w:eastAsia="仿宋" w:cs="仿宋"/>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sz w:val="24"/>
                <w:szCs w:val="24"/>
                <w:lang w:val="en-US" w:eastAsia="zh-CN"/>
              </w:rPr>
              <w:t>5</w:t>
            </w:r>
            <w:r>
              <w:rPr>
                <w:rFonts w:hint="eastAsia" w:ascii="仿宋" w:hAnsi="仿宋" w:eastAsia="仿宋" w:cs="仿宋"/>
                <w:sz w:val="24"/>
                <w:szCs w:val="24"/>
              </w:rPr>
              <w:t>分，计满30分为止，未按要求提供不得分。</w:t>
            </w:r>
          </w:p>
        </w:tc>
      </w:tr>
    </w:tbl>
    <w:p w14:paraId="2B6B2520">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7B7C070E">
      <w:pPr>
        <w:pStyle w:val="2"/>
        <w:numPr>
          <w:ilvl w:val="0"/>
          <w:numId w:val="0"/>
        </w:numPr>
        <w:spacing w:line="240" w:lineRule="auto"/>
        <w:ind w:left="2940" w:leftChars="0"/>
        <w:jc w:val="both"/>
        <w:rPr>
          <w:rFonts w:hint="eastAsia" w:ascii="宋体" w:hAnsi="宋体" w:cs="宋体"/>
          <w:color w:val="auto"/>
          <w:sz w:val="30"/>
          <w:szCs w:val="30"/>
        </w:rPr>
      </w:pPr>
      <w:bookmarkStart w:id="2"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4EEB1BD">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7C808AD0">
      <w:pPr>
        <w:rPr>
          <w:rFonts w:hint="eastAsia" w:ascii="宋体" w:hAnsi="宋体" w:cs="宋体"/>
          <w:color w:val="auto"/>
        </w:rPr>
      </w:pPr>
    </w:p>
    <w:bookmarkEnd w:id="2"/>
    <w:p w14:paraId="5B5E9C93">
      <w:pPr>
        <w:rPr>
          <w:rFonts w:hint="eastAsia"/>
          <w:color w:val="auto"/>
        </w:rPr>
      </w:pPr>
    </w:p>
    <w:p w14:paraId="723D0C45">
      <w:pPr>
        <w:jc w:val="center"/>
        <w:rPr>
          <w:b/>
          <w:color w:val="auto"/>
          <w:sz w:val="24"/>
        </w:rPr>
      </w:pPr>
      <w:r>
        <w:rPr>
          <w:b/>
          <w:color w:val="auto"/>
          <w:sz w:val="28"/>
          <w:szCs w:val="28"/>
        </w:rPr>
        <w:t>第一部分、开标一览表</w:t>
      </w:r>
    </w:p>
    <w:p w14:paraId="24239725">
      <w:pPr>
        <w:jc w:val="center"/>
        <w:rPr>
          <w:b/>
          <w:color w:val="auto"/>
          <w:sz w:val="24"/>
        </w:rPr>
      </w:pPr>
    </w:p>
    <w:p w14:paraId="5893F606">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138468EC">
      <w:pPr>
        <w:pStyle w:val="18"/>
        <w:rPr>
          <w:color w:val="auto"/>
        </w:rPr>
      </w:pPr>
    </w:p>
    <w:p w14:paraId="33C0C235">
      <w:pPr>
        <w:adjustRightInd w:val="0"/>
        <w:snapToGrid w:val="0"/>
        <w:spacing w:line="360" w:lineRule="auto"/>
        <w:jc w:val="center"/>
        <w:rPr>
          <w:rFonts w:hint="eastAsia" w:ascii="宋体" w:hAnsi="宋体" w:cs="宋体"/>
          <w:b/>
          <w:color w:val="auto"/>
          <w:sz w:val="28"/>
          <w:szCs w:val="28"/>
        </w:rPr>
      </w:pPr>
    </w:p>
    <w:p w14:paraId="4ABC0B80">
      <w:pPr>
        <w:adjustRightInd w:val="0"/>
        <w:snapToGrid w:val="0"/>
        <w:spacing w:line="360" w:lineRule="auto"/>
        <w:jc w:val="center"/>
        <w:rPr>
          <w:rFonts w:hint="eastAsia" w:ascii="宋体" w:hAnsi="宋体" w:cs="宋体"/>
          <w:b/>
          <w:color w:val="auto"/>
          <w:sz w:val="28"/>
          <w:szCs w:val="28"/>
        </w:rPr>
      </w:pPr>
    </w:p>
    <w:p w14:paraId="6AFBCDDB">
      <w:pPr>
        <w:adjustRightInd w:val="0"/>
        <w:snapToGrid w:val="0"/>
        <w:spacing w:line="360" w:lineRule="auto"/>
        <w:jc w:val="center"/>
        <w:rPr>
          <w:rFonts w:hint="eastAsia" w:ascii="宋体" w:hAnsi="宋体" w:cs="宋体"/>
          <w:b/>
          <w:color w:val="auto"/>
          <w:sz w:val="28"/>
          <w:szCs w:val="28"/>
        </w:rPr>
      </w:pPr>
    </w:p>
    <w:p w14:paraId="2FBADA48">
      <w:pPr>
        <w:adjustRightInd w:val="0"/>
        <w:snapToGrid w:val="0"/>
        <w:spacing w:line="360" w:lineRule="auto"/>
        <w:jc w:val="center"/>
        <w:rPr>
          <w:rFonts w:hint="eastAsia" w:ascii="宋体" w:hAnsi="宋体" w:cs="宋体"/>
          <w:b/>
          <w:color w:val="auto"/>
          <w:sz w:val="28"/>
          <w:szCs w:val="28"/>
        </w:rPr>
      </w:pPr>
    </w:p>
    <w:p w14:paraId="11A8F835">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575C5CAE">
      <w:pPr>
        <w:pStyle w:val="17"/>
        <w:rPr>
          <w:rFonts w:hint="eastAsia"/>
          <w:lang w:eastAsia="zh-CN"/>
        </w:rPr>
      </w:pPr>
    </w:p>
    <w:p w14:paraId="49CA7F92">
      <w:pPr>
        <w:adjustRightInd w:val="0"/>
        <w:snapToGrid w:val="0"/>
        <w:spacing w:line="360" w:lineRule="auto"/>
        <w:jc w:val="center"/>
        <w:rPr>
          <w:rFonts w:hint="eastAsia" w:ascii="宋体" w:hAnsi="宋体" w:cs="宋体"/>
          <w:b/>
          <w:color w:val="auto"/>
          <w:sz w:val="24"/>
          <w:szCs w:val="20"/>
        </w:rPr>
      </w:pPr>
    </w:p>
    <w:p w14:paraId="1435F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8AA142C">
      <w:pPr>
        <w:adjustRightInd w:val="0"/>
        <w:snapToGrid w:val="0"/>
        <w:spacing w:line="360" w:lineRule="auto"/>
        <w:rPr>
          <w:rFonts w:hint="eastAsia" w:ascii="宋体" w:hAnsi="宋体" w:cs="宋体"/>
          <w:b/>
          <w:color w:val="auto"/>
          <w:sz w:val="28"/>
          <w:szCs w:val="28"/>
        </w:rPr>
      </w:pPr>
    </w:p>
    <w:p w14:paraId="7D0FE437">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4E8F373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2AF609B9">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4A1CFC3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1B9B8963">
      <w:pPr>
        <w:adjustRightInd w:val="0"/>
        <w:snapToGrid w:val="0"/>
        <w:spacing w:line="360" w:lineRule="auto"/>
        <w:ind w:firstLine="480" w:firstLineChars="200"/>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5A3F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FE6553C">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4990A6ED">
      <w:pPr>
        <w:adjustRightInd w:val="0"/>
        <w:snapToGrid w:val="0"/>
        <w:spacing w:line="360" w:lineRule="auto"/>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2B89F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4B147C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52FC81EB">
      <w:pPr>
        <w:adjustRightInd w:val="0"/>
        <w:snapToGrid w:val="0"/>
        <w:spacing w:line="360" w:lineRule="auto"/>
        <w:rPr>
          <w:rFonts w:hint="eastAsia" w:ascii="宋体" w:hAnsi="宋体" w:cs="宋体"/>
          <w:color w:val="auto"/>
          <w:sz w:val="24"/>
        </w:rPr>
      </w:pPr>
    </w:p>
    <w:p w14:paraId="4A3EEB34">
      <w:pPr>
        <w:adjustRightInd w:val="0"/>
        <w:snapToGrid w:val="0"/>
        <w:spacing w:line="360" w:lineRule="auto"/>
        <w:rPr>
          <w:rFonts w:hint="eastAsia" w:ascii="宋体" w:hAnsi="宋体" w:cs="宋体"/>
          <w:color w:val="auto"/>
          <w:sz w:val="24"/>
        </w:rPr>
      </w:pPr>
    </w:p>
    <w:p w14:paraId="58C8F887">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72DF6099">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373623AB">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6DDD8A3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0BC1CB2">
      <w:pPr>
        <w:adjustRightInd w:val="0"/>
        <w:snapToGrid w:val="0"/>
        <w:spacing w:line="360" w:lineRule="auto"/>
        <w:rPr>
          <w:rFonts w:hint="eastAsia" w:ascii="宋体" w:hAnsi="宋体" w:cs="宋体"/>
          <w:b/>
          <w:color w:val="auto"/>
          <w:sz w:val="28"/>
          <w:szCs w:val="28"/>
        </w:rPr>
      </w:pPr>
    </w:p>
    <w:p w14:paraId="1ED3891F">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4E764EAA">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9CA6EBE">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7A64758B">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2A173AC">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1295FE5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348345DC">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43FC694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4FE0934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610E123D">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1EA0908B">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142B0C94">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261D0F4B">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bookmarkStart w:id="5" w:name="_GoBack"/>
      <w:bookmarkEnd w:id="5"/>
      <w:r>
        <w:rPr>
          <w:rFonts w:hint="eastAsia" w:ascii="宋体" w:hAnsi="宋体" w:cs="宋体"/>
          <w:color w:val="auto"/>
          <w:sz w:val="24"/>
        </w:rPr>
        <w:t>我单位保证上述声明的事项都是真实的，如有虚假，我单位愿意承担相应的法律责任，并承担因此所造成的一切损失。</w:t>
      </w:r>
    </w:p>
    <w:p w14:paraId="7118123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7DD993BF">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66167875">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D8F3D85">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62A7F99B">
      <w:pPr>
        <w:adjustRightInd w:val="0"/>
        <w:snapToGrid w:val="0"/>
        <w:spacing w:line="360" w:lineRule="auto"/>
        <w:jc w:val="center"/>
        <w:rPr>
          <w:rFonts w:hint="eastAsia" w:ascii="宋体" w:hAnsi="宋体" w:cs="宋体"/>
          <w:b/>
          <w:color w:val="auto"/>
          <w:sz w:val="24"/>
          <w:szCs w:val="20"/>
        </w:rPr>
      </w:pPr>
    </w:p>
    <w:p w14:paraId="622B4561">
      <w:pPr>
        <w:adjustRightInd w:val="0"/>
        <w:snapToGrid w:val="0"/>
        <w:spacing w:line="360" w:lineRule="auto"/>
        <w:rPr>
          <w:rFonts w:hint="eastAsia" w:ascii="宋体" w:hAnsi="宋体" w:cs="宋体"/>
          <w:b/>
          <w:color w:val="auto"/>
          <w:sz w:val="24"/>
          <w:szCs w:val="20"/>
        </w:rPr>
      </w:pPr>
    </w:p>
    <w:p w14:paraId="08E69EE7">
      <w:pPr>
        <w:adjustRightInd w:val="0"/>
        <w:snapToGrid w:val="0"/>
        <w:spacing w:line="360" w:lineRule="auto"/>
        <w:rPr>
          <w:rFonts w:hint="eastAsia" w:ascii="宋体" w:hAnsi="宋体" w:cs="宋体"/>
          <w:b/>
          <w:color w:val="auto"/>
          <w:sz w:val="24"/>
          <w:szCs w:val="20"/>
        </w:rPr>
      </w:pPr>
    </w:p>
    <w:p w14:paraId="093CD207">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5FFB2465">
      <w:pPr>
        <w:adjustRightInd w:val="0"/>
        <w:snapToGrid w:val="0"/>
        <w:spacing w:line="360" w:lineRule="auto"/>
        <w:jc w:val="center"/>
        <w:rPr>
          <w:rFonts w:hint="eastAsia" w:ascii="宋体" w:hAnsi="宋体" w:cs="宋体"/>
          <w:b/>
          <w:color w:val="auto"/>
          <w:sz w:val="24"/>
          <w:szCs w:val="20"/>
        </w:rPr>
      </w:pPr>
    </w:p>
    <w:p w14:paraId="6B3BB398">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E30216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1D25E0C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FF98A6C">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9345C7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0B95CCB4">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15B5234D">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19CE3B3">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9D19DA2">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7102BCA7">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555FBA0D">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785B1EB4">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4B54136">
      <w:pPr>
        <w:jc w:val="left"/>
        <w:rPr>
          <w:rFonts w:hint="eastAsia" w:ascii="宋体" w:hAnsi="宋体" w:eastAsia="宋体" w:cs="Times New Roman"/>
          <w:b w:val="0"/>
          <w:bCs w:val="0"/>
          <w:color w:val="auto"/>
          <w:kern w:val="2"/>
          <w:sz w:val="24"/>
          <w:szCs w:val="24"/>
          <w:lang w:val="en-US" w:eastAsia="zh-CN" w:bidi="ar-SA"/>
        </w:rPr>
      </w:pPr>
    </w:p>
    <w:p w14:paraId="01DBFF5B">
      <w:pPr>
        <w:jc w:val="left"/>
        <w:rPr>
          <w:rFonts w:hint="eastAsia" w:ascii="宋体" w:hAnsi="宋体" w:eastAsia="宋体" w:cs="Times New Roman"/>
          <w:b w:val="0"/>
          <w:bCs w:val="0"/>
          <w:color w:val="auto"/>
          <w:kern w:val="2"/>
          <w:sz w:val="24"/>
          <w:szCs w:val="24"/>
          <w:lang w:val="en-US" w:eastAsia="zh-CN" w:bidi="ar-SA"/>
        </w:rPr>
      </w:pPr>
    </w:p>
    <w:p w14:paraId="10498A1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0C097E52">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3A961E94">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76514128"/>
      <w:bookmarkStart w:id="4" w:name="_Toc486424819"/>
    </w:p>
    <w:p w14:paraId="55BCBFA4">
      <w:pPr>
        <w:pStyle w:val="17"/>
        <w:rPr>
          <w:rFonts w:hint="eastAsia"/>
          <w:lang w:eastAsia="zh-CN"/>
        </w:rPr>
      </w:pPr>
    </w:p>
    <w:p w14:paraId="5D24C696">
      <w:pPr>
        <w:spacing w:before="120" w:beforeLines="50" w:after="120" w:afterLines="50" w:line="276" w:lineRule="auto"/>
        <w:jc w:val="center"/>
        <w:rPr>
          <w:b/>
          <w:color w:val="auto"/>
          <w:sz w:val="24"/>
        </w:rPr>
      </w:pPr>
      <w:r>
        <w:rPr>
          <w:b/>
          <w:color w:val="auto"/>
          <w:sz w:val="24"/>
        </w:rPr>
        <w:t>采购需求响应/偏离表</w:t>
      </w:r>
    </w:p>
    <w:p w14:paraId="29E8B025">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36ED76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41D21965">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49B616AF">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4FA29231">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38B39FB9">
            <w:pPr>
              <w:adjustRightInd w:val="0"/>
              <w:snapToGrid w:val="0"/>
              <w:spacing w:before="50" w:line="360" w:lineRule="auto"/>
              <w:jc w:val="center"/>
              <w:rPr>
                <w:color w:val="auto"/>
              </w:rPr>
            </w:pPr>
            <w:r>
              <w:rPr>
                <w:color w:val="auto"/>
              </w:rPr>
              <w:t>投标文件应答</w:t>
            </w:r>
          </w:p>
        </w:tc>
        <w:tc>
          <w:tcPr>
            <w:tcW w:w="1513" w:type="dxa"/>
            <w:noWrap w:val="0"/>
            <w:vAlign w:val="center"/>
          </w:tcPr>
          <w:p w14:paraId="082F258F">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7E37011B">
            <w:pPr>
              <w:adjustRightInd w:val="0"/>
              <w:snapToGrid w:val="0"/>
              <w:spacing w:before="50" w:line="360" w:lineRule="auto"/>
              <w:ind w:left="-88" w:leftChars="-42"/>
              <w:jc w:val="center"/>
              <w:rPr>
                <w:color w:val="auto"/>
                <w:szCs w:val="21"/>
              </w:rPr>
            </w:pPr>
            <w:r>
              <w:rPr>
                <w:color w:val="auto"/>
                <w:szCs w:val="21"/>
              </w:rPr>
              <w:t>偏离说明</w:t>
            </w:r>
          </w:p>
        </w:tc>
      </w:tr>
      <w:tr w14:paraId="2413EA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2D8C0D78">
            <w:pPr>
              <w:adjustRightInd w:val="0"/>
              <w:snapToGrid w:val="0"/>
              <w:spacing w:before="50" w:line="360" w:lineRule="auto"/>
              <w:ind w:left="-88" w:leftChars="-42"/>
              <w:jc w:val="center"/>
              <w:rPr>
                <w:color w:val="auto"/>
                <w:szCs w:val="21"/>
              </w:rPr>
            </w:pPr>
          </w:p>
        </w:tc>
        <w:tc>
          <w:tcPr>
            <w:tcW w:w="1877" w:type="dxa"/>
            <w:noWrap w:val="0"/>
            <w:vAlign w:val="center"/>
          </w:tcPr>
          <w:p w14:paraId="3B97111F">
            <w:pPr>
              <w:adjustRightInd w:val="0"/>
              <w:snapToGrid w:val="0"/>
              <w:spacing w:before="50" w:line="360" w:lineRule="auto"/>
              <w:ind w:left="-88" w:leftChars="-42"/>
              <w:jc w:val="center"/>
              <w:rPr>
                <w:color w:val="auto"/>
                <w:szCs w:val="21"/>
              </w:rPr>
            </w:pPr>
          </w:p>
        </w:tc>
        <w:tc>
          <w:tcPr>
            <w:tcW w:w="1671" w:type="dxa"/>
            <w:noWrap w:val="0"/>
            <w:vAlign w:val="center"/>
          </w:tcPr>
          <w:p w14:paraId="3C767129">
            <w:pPr>
              <w:adjustRightInd w:val="0"/>
              <w:snapToGrid w:val="0"/>
              <w:spacing w:before="50" w:line="360" w:lineRule="auto"/>
              <w:ind w:left="-88" w:leftChars="-42"/>
              <w:jc w:val="center"/>
              <w:rPr>
                <w:color w:val="auto"/>
                <w:szCs w:val="21"/>
              </w:rPr>
            </w:pPr>
          </w:p>
        </w:tc>
        <w:tc>
          <w:tcPr>
            <w:tcW w:w="1608" w:type="dxa"/>
            <w:noWrap w:val="0"/>
            <w:vAlign w:val="center"/>
          </w:tcPr>
          <w:p w14:paraId="10491CEC">
            <w:pPr>
              <w:adjustRightInd w:val="0"/>
              <w:snapToGrid w:val="0"/>
              <w:spacing w:before="50" w:line="360" w:lineRule="auto"/>
              <w:ind w:left="-88" w:leftChars="-42"/>
              <w:jc w:val="center"/>
              <w:rPr>
                <w:color w:val="auto"/>
                <w:szCs w:val="21"/>
              </w:rPr>
            </w:pPr>
          </w:p>
        </w:tc>
        <w:tc>
          <w:tcPr>
            <w:tcW w:w="1513" w:type="dxa"/>
            <w:noWrap w:val="0"/>
            <w:vAlign w:val="center"/>
          </w:tcPr>
          <w:p w14:paraId="0D2FA595">
            <w:pPr>
              <w:adjustRightInd w:val="0"/>
              <w:snapToGrid w:val="0"/>
              <w:spacing w:before="50" w:line="360" w:lineRule="auto"/>
              <w:ind w:left="-88" w:leftChars="-42"/>
              <w:jc w:val="center"/>
              <w:rPr>
                <w:color w:val="auto"/>
                <w:szCs w:val="21"/>
              </w:rPr>
            </w:pPr>
          </w:p>
        </w:tc>
        <w:tc>
          <w:tcPr>
            <w:tcW w:w="1061" w:type="dxa"/>
            <w:noWrap w:val="0"/>
            <w:vAlign w:val="center"/>
          </w:tcPr>
          <w:p w14:paraId="405E0687">
            <w:pPr>
              <w:adjustRightInd w:val="0"/>
              <w:snapToGrid w:val="0"/>
              <w:spacing w:before="50" w:line="360" w:lineRule="auto"/>
              <w:ind w:left="-88" w:leftChars="-42"/>
              <w:jc w:val="center"/>
              <w:rPr>
                <w:color w:val="auto"/>
                <w:szCs w:val="21"/>
              </w:rPr>
            </w:pPr>
          </w:p>
        </w:tc>
      </w:tr>
      <w:tr w14:paraId="785E89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28D93EAA">
            <w:pPr>
              <w:adjustRightInd w:val="0"/>
              <w:snapToGrid w:val="0"/>
              <w:spacing w:before="50" w:line="360" w:lineRule="auto"/>
              <w:ind w:left="-88" w:leftChars="-42"/>
              <w:jc w:val="center"/>
              <w:rPr>
                <w:color w:val="auto"/>
                <w:szCs w:val="21"/>
              </w:rPr>
            </w:pPr>
          </w:p>
        </w:tc>
        <w:tc>
          <w:tcPr>
            <w:tcW w:w="1877" w:type="dxa"/>
            <w:noWrap w:val="0"/>
            <w:vAlign w:val="center"/>
          </w:tcPr>
          <w:p w14:paraId="137A2751">
            <w:pPr>
              <w:adjustRightInd w:val="0"/>
              <w:snapToGrid w:val="0"/>
              <w:spacing w:before="50" w:line="360" w:lineRule="auto"/>
              <w:ind w:left="-88" w:leftChars="-42"/>
              <w:jc w:val="center"/>
              <w:rPr>
                <w:color w:val="auto"/>
                <w:szCs w:val="21"/>
              </w:rPr>
            </w:pPr>
          </w:p>
        </w:tc>
        <w:tc>
          <w:tcPr>
            <w:tcW w:w="1671" w:type="dxa"/>
            <w:noWrap w:val="0"/>
            <w:vAlign w:val="center"/>
          </w:tcPr>
          <w:p w14:paraId="6C388274">
            <w:pPr>
              <w:adjustRightInd w:val="0"/>
              <w:snapToGrid w:val="0"/>
              <w:spacing w:before="50" w:line="360" w:lineRule="auto"/>
              <w:ind w:left="-88" w:leftChars="-42"/>
              <w:jc w:val="center"/>
              <w:rPr>
                <w:color w:val="auto"/>
                <w:szCs w:val="21"/>
              </w:rPr>
            </w:pPr>
          </w:p>
        </w:tc>
        <w:tc>
          <w:tcPr>
            <w:tcW w:w="1608" w:type="dxa"/>
            <w:noWrap w:val="0"/>
            <w:vAlign w:val="center"/>
          </w:tcPr>
          <w:p w14:paraId="2C6473D1">
            <w:pPr>
              <w:adjustRightInd w:val="0"/>
              <w:snapToGrid w:val="0"/>
              <w:spacing w:before="50" w:line="360" w:lineRule="auto"/>
              <w:ind w:left="-88" w:leftChars="-42"/>
              <w:jc w:val="center"/>
              <w:rPr>
                <w:color w:val="auto"/>
                <w:szCs w:val="21"/>
              </w:rPr>
            </w:pPr>
          </w:p>
        </w:tc>
        <w:tc>
          <w:tcPr>
            <w:tcW w:w="1513" w:type="dxa"/>
            <w:noWrap w:val="0"/>
            <w:vAlign w:val="center"/>
          </w:tcPr>
          <w:p w14:paraId="1E6B0EBF">
            <w:pPr>
              <w:adjustRightInd w:val="0"/>
              <w:snapToGrid w:val="0"/>
              <w:spacing w:before="50" w:line="360" w:lineRule="auto"/>
              <w:ind w:left="-88" w:leftChars="-42"/>
              <w:jc w:val="center"/>
              <w:rPr>
                <w:color w:val="auto"/>
                <w:szCs w:val="21"/>
              </w:rPr>
            </w:pPr>
          </w:p>
        </w:tc>
        <w:tc>
          <w:tcPr>
            <w:tcW w:w="1061" w:type="dxa"/>
            <w:noWrap w:val="0"/>
            <w:vAlign w:val="center"/>
          </w:tcPr>
          <w:p w14:paraId="6CF580D9">
            <w:pPr>
              <w:adjustRightInd w:val="0"/>
              <w:snapToGrid w:val="0"/>
              <w:spacing w:before="50" w:line="360" w:lineRule="auto"/>
              <w:ind w:left="-88" w:leftChars="-42"/>
              <w:jc w:val="center"/>
              <w:rPr>
                <w:color w:val="auto"/>
                <w:szCs w:val="21"/>
              </w:rPr>
            </w:pPr>
          </w:p>
        </w:tc>
      </w:tr>
      <w:tr w14:paraId="2430BF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E8AA852">
            <w:pPr>
              <w:adjustRightInd w:val="0"/>
              <w:snapToGrid w:val="0"/>
              <w:spacing w:before="50" w:line="360" w:lineRule="auto"/>
              <w:ind w:left="-88" w:leftChars="-42"/>
              <w:jc w:val="center"/>
              <w:rPr>
                <w:color w:val="auto"/>
                <w:szCs w:val="21"/>
              </w:rPr>
            </w:pPr>
          </w:p>
        </w:tc>
        <w:tc>
          <w:tcPr>
            <w:tcW w:w="1877" w:type="dxa"/>
            <w:noWrap w:val="0"/>
            <w:vAlign w:val="center"/>
          </w:tcPr>
          <w:p w14:paraId="4075E40D">
            <w:pPr>
              <w:adjustRightInd w:val="0"/>
              <w:snapToGrid w:val="0"/>
              <w:spacing w:before="50" w:line="360" w:lineRule="auto"/>
              <w:ind w:left="-88" w:leftChars="-42"/>
              <w:jc w:val="center"/>
              <w:rPr>
                <w:color w:val="auto"/>
                <w:szCs w:val="21"/>
              </w:rPr>
            </w:pPr>
          </w:p>
        </w:tc>
        <w:tc>
          <w:tcPr>
            <w:tcW w:w="1671" w:type="dxa"/>
            <w:noWrap w:val="0"/>
            <w:vAlign w:val="center"/>
          </w:tcPr>
          <w:p w14:paraId="6C702BB2">
            <w:pPr>
              <w:adjustRightInd w:val="0"/>
              <w:snapToGrid w:val="0"/>
              <w:spacing w:before="50" w:line="360" w:lineRule="auto"/>
              <w:ind w:left="-88" w:leftChars="-42"/>
              <w:jc w:val="center"/>
              <w:rPr>
                <w:color w:val="auto"/>
                <w:szCs w:val="21"/>
              </w:rPr>
            </w:pPr>
          </w:p>
        </w:tc>
        <w:tc>
          <w:tcPr>
            <w:tcW w:w="1608" w:type="dxa"/>
            <w:noWrap w:val="0"/>
            <w:vAlign w:val="center"/>
          </w:tcPr>
          <w:p w14:paraId="727E8D5F">
            <w:pPr>
              <w:adjustRightInd w:val="0"/>
              <w:snapToGrid w:val="0"/>
              <w:spacing w:before="50" w:line="360" w:lineRule="auto"/>
              <w:ind w:left="-88" w:leftChars="-42"/>
              <w:jc w:val="center"/>
              <w:rPr>
                <w:color w:val="auto"/>
                <w:szCs w:val="21"/>
              </w:rPr>
            </w:pPr>
          </w:p>
        </w:tc>
        <w:tc>
          <w:tcPr>
            <w:tcW w:w="1513" w:type="dxa"/>
            <w:noWrap w:val="0"/>
            <w:vAlign w:val="center"/>
          </w:tcPr>
          <w:p w14:paraId="1CADE362">
            <w:pPr>
              <w:adjustRightInd w:val="0"/>
              <w:snapToGrid w:val="0"/>
              <w:spacing w:before="50" w:line="360" w:lineRule="auto"/>
              <w:ind w:left="-88" w:leftChars="-42"/>
              <w:jc w:val="center"/>
              <w:rPr>
                <w:color w:val="auto"/>
                <w:szCs w:val="21"/>
              </w:rPr>
            </w:pPr>
          </w:p>
        </w:tc>
        <w:tc>
          <w:tcPr>
            <w:tcW w:w="1061" w:type="dxa"/>
            <w:noWrap w:val="0"/>
            <w:vAlign w:val="center"/>
          </w:tcPr>
          <w:p w14:paraId="4C669EA3">
            <w:pPr>
              <w:adjustRightInd w:val="0"/>
              <w:snapToGrid w:val="0"/>
              <w:spacing w:before="50" w:line="360" w:lineRule="auto"/>
              <w:ind w:left="-88" w:leftChars="-42"/>
              <w:jc w:val="center"/>
              <w:rPr>
                <w:color w:val="auto"/>
                <w:szCs w:val="21"/>
              </w:rPr>
            </w:pPr>
          </w:p>
        </w:tc>
      </w:tr>
      <w:tr w14:paraId="24269C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2AF229AE">
            <w:pPr>
              <w:rPr>
                <w:b/>
                <w:color w:val="auto"/>
              </w:rPr>
            </w:pPr>
          </w:p>
        </w:tc>
      </w:tr>
    </w:tbl>
    <w:p w14:paraId="30277756">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2C3E146B">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521E58CA">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04EB0413">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本项目为综合评分法，所有参数必须在响应表中逐条应答。</w:t>
      </w:r>
    </w:p>
    <w:p w14:paraId="2C1FF301">
      <w:pPr>
        <w:pStyle w:val="18"/>
        <w:rPr>
          <w:color w:val="auto"/>
        </w:rPr>
      </w:pPr>
    </w:p>
    <w:p w14:paraId="4317B66E">
      <w:pPr>
        <w:pStyle w:val="17"/>
        <w:rPr>
          <w:rFonts w:hint="eastAsia"/>
          <w:lang w:eastAsia="zh-CN"/>
        </w:rPr>
      </w:pPr>
    </w:p>
    <w:p w14:paraId="760240DB"/>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80288">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5B3A1D">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35B3A1D">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14971896">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BD61D">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B3B7A8">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7B3B7A8">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4BE9169C">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8359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B67FE42"/>
    <w:multiLevelType w:val="singleLevel"/>
    <w:tmpl w:val="EB67FE4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4608AD"/>
    <w:rsid w:val="00AE556A"/>
    <w:rsid w:val="01062C1A"/>
    <w:rsid w:val="01350E35"/>
    <w:rsid w:val="02390242"/>
    <w:rsid w:val="03E43FAE"/>
    <w:rsid w:val="04653F41"/>
    <w:rsid w:val="04B72FC8"/>
    <w:rsid w:val="04F57A38"/>
    <w:rsid w:val="050719CA"/>
    <w:rsid w:val="06934BAA"/>
    <w:rsid w:val="06E91EC4"/>
    <w:rsid w:val="07583825"/>
    <w:rsid w:val="086F75C9"/>
    <w:rsid w:val="09C0303A"/>
    <w:rsid w:val="0A3F4F3C"/>
    <w:rsid w:val="0A6D3244"/>
    <w:rsid w:val="0A8A74D4"/>
    <w:rsid w:val="0CAD77BD"/>
    <w:rsid w:val="0DD97AF8"/>
    <w:rsid w:val="0E331420"/>
    <w:rsid w:val="0EDD1643"/>
    <w:rsid w:val="0FB9029C"/>
    <w:rsid w:val="10897B23"/>
    <w:rsid w:val="10914EF9"/>
    <w:rsid w:val="10B8663C"/>
    <w:rsid w:val="12080B62"/>
    <w:rsid w:val="12994AC5"/>
    <w:rsid w:val="129F447F"/>
    <w:rsid w:val="12C86253"/>
    <w:rsid w:val="14E40477"/>
    <w:rsid w:val="15060AC8"/>
    <w:rsid w:val="15125EAE"/>
    <w:rsid w:val="15675A4C"/>
    <w:rsid w:val="1763111F"/>
    <w:rsid w:val="17F91BB8"/>
    <w:rsid w:val="193E7D91"/>
    <w:rsid w:val="1943608F"/>
    <w:rsid w:val="19E40286"/>
    <w:rsid w:val="19E91315"/>
    <w:rsid w:val="1AF56B46"/>
    <w:rsid w:val="1C795D39"/>
    <w:rsid w:val="1CE412C7"/>
    <w:rsid w:val="1D5071B5"/>
    <w:rsid w:val="1DD7486D"/>
    <w:rsid w:val="1E79119D"/>
    <w:rsid w:val="1F334F58"/>
    <w:rsid w:val="1F796B24"/>
    <w:rsid w:val="1FC602A8"/>
    <w:rsid w:val="1FE73549"/>
    <w:rsid w:val="2038045E"/>
    <w:rsid w:val="208F6E7F"/>
    <w:rsid w:val="20AF0900"/>
    <w:rsid w:val="20B41DA7"/>
    <w:rsid w:val="21C61C7A"/>
    <w:rsid w:val="2383771E"/>
    <w:rsid w:val="23F374DB"/>
    <w:rsid w:val="24881A32"/>
    <w:rsid w:val="25266F96"/>
    <w:rsid w:val="267547DF"/>
    <w:rsid w:val="272B6E6C"/>
    <w:rsid w:val="27CF2BB7"/>
    <w:rsid w:val="28E81B29"/>
    <w:rsid w:val="28FD390A"/>
    <w:rsid w:val="29B45A41"/>
    <w:rsid w:val="2A174DA9"/>
    <w:rsid w:val="2AB010A8"/>
    <w:rsid w:val="2AC66F99"/>
    <w:rsid w:val="2BD95C83"/>
    <w:rsid w:val="2C0A2E19"/>
    <w:rsid w:val="2C7642D0"/>
    <w:rsid w:val="2CC97A35"/>
    <w:rsid w:val="2CDC672B"/>
    <w:rsid w:val="2DD77C64"/>
    <w:rsid w:val="2DDA1E78"/>
    <w:rsid w:val="2DE00B8C"/>
    <w:rsid w:val="2EAC037F"/>
    <w:rsid w:val="2EB67A5C"/>
    <w:rsid w:val="302741D2"/>
    <w:rsid w:val="308B184D"/>
    <w:rsid w:val="309C1E01"/>
    <w:rsid w:val="30BB11DD"/>
    <w:rsid w:val="31A202A5"/>
    <w:rsid w:val="31F17CD1"/>
    <w:rsid w:val="324F4D43"/>
    <w:rsid w:val="32E86B4C"/>
    <w:rsid w:val="33384C93"/>
    <w:rsid w:val="340F06E9"/>
    <w:rsid w:val="34C12F54"/>
    <w:rsid w:val="361110A5"/>
    <w:rsid w:val="366241E2"/>
    <w:rsid w:val="36B66AAC"/>
    <w:rsid w:val="36E47928"/>
    <w:rsid w:val="372F7378"/>
    <w:rsid w:val="37BA0809"/>
    <w:rsid w:val="38FF7404"/>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0681D02"/>
    <w:rsid w:val="4140452A"/>
    <w:rsid w:val="414D7889"/>
    <w:rsid w:val="41BB0BAE"/>
    <w:rsid w:val="425629F5"/>
    <w:rsid w:val="4284152B"/>
    <w:rsid w:val="429A4992"/>
    <w:rsid w:val="435B161D"/>
    <w:rsid w:val="437710EF"/>
    <w:rsid w:val="43B25DAC"/>
    <w:rsid w:val="44771DFD"/>
    <w:rsid w:val="45D569C3"/>
    <w:rsid w:val="479B74B7"/>
    <w:rsid w:val="48735221"/>
    <w:rsid w:val="49E92B05"/>
    <w:rsid w:val="4A354E62"/>
    <w:rsid w:val="4AEE1A11"/>
    <w:rsid w:val="4B7F39F4"/>
    <w:rsid w:val="4BAE646F"/>
    <w:rsid w:val="4C4D6AA3"/>
    <w:rsid w:val="4CAC1559"/>
    <w:rsid w:val="4D754257"/>
    <w:rsid w:val="4DCD6AB3"/>
    <w:rsid w:val="4EE7662F"/>
    <w:rsid w:val="50216DCD"/>
    <w:rsid w:val="50540C20"/>
    <w:rsid w:val="506258C6"/>
    <w:rsid w:val="51AC28BD"/>
    <w:rsid w:val="52183ACC"/>
    <w:rsid w:val="521E2A7F"/>
    <w:rsid w:val="53345ECB"/>
    <w:rsid w:val="53B55872"/>
    <w:rsid w:val="544055F2"/>
    <w:rsid w:val="54AD4386"/>
    <w:rsid w:val="55D8243C"/>
    <w:rsid w:val="581A7C72"/>
    <w:rsid w:val="583A4BD7"/>
    <w:rsid w:val="588F6FE2"/>
    <w:rsid w:val="59907279"/>
    <w:rsid w:val="59C51B68"/>
    <w:rsid w:val="59C74B1F"/>
    <w:rsid w:val="5A886F59"/>
    <w:rsid w:val="5DB23133"/>
    <w:rsid w:val="604D5946"/>
    <w:rsid w:val="611B6B1B"/>
    <w:rsid w:val="62C222C2"/>
    <w:rsid w:val="632D7C40"/>
    <w:rsid w:val="64133D6A"/>
    <w:rsid w:val="64245572"/>
    <w:rsid w:val="66C30AF5"/>
    <w:rsid w:val="672737CD"/>
    <w:rsid w:val="678E4F5D"/>
    <w:rsid w:val="67F3562A"/>
    <w:rsid w:val="680E122C"/>
    <w:rsid w:val="6A4E1D63"/>
    <w:rsid w:val="6AA026F2"/>
    <w:rsid w:val="6B592423"/>
    <w:rsid w:val="6B933190"/>
    <w:rsid w:val="6C486FE4"/>
    <w:rsid w:val="6CA409DF"/>
    <w:rsid w:val="6DE375E4"/>
    <w:rsid w:val="6E8E5287"/>
    <w:rsid w:val="6FAC3B48"/>
    <w:rsid w:val="6FAD463B"/>
    <w:rsid w:val="6FBE332C"/>
    <w:rsid w:val="70CE0BC9"/>
    <w:rsid w:val="714125CE"/>
    <w:rsid w:val="71554367"/>
    <w:rsid w:val="71584067"/>
    <w:rsid w:val="71F26E91"/>
    <w:rsid w:val="72931CE4"/>
    <w:rsid w:val="735201FF"/>
    <w:rsid w:val="737B50A4"/>
    <w:rsid w:val="73F40E72"/>
    <w:rsid w:val="74566F5C"/>
    <w:rsid w:val="750117A8"/>
    <w:rsid w:val="755B2270"/>
    <w:rsid w:val="75E27514"/>
    <w:rsid w:val="75F92104"/>
    <w:rsid w:val="7612420D"/>
    <w:rsid w:val="76920D75"/>
    <w:rsid w:val="76C47877"/>
    <w:rsid w:val="77423DFF"/>
    <w:rsid w:val="783B5EA9"/>
    <w:rsid w:val="79EB699D"/>
    <w:rsid w:val="79F871CC"/>
    <w:rsid w:val="7AFF5E62"/>
    <w:rsid w:val="7B0620DE"/>
    <w:rsid w:val="7BBF44BB"/>
    <w:rsid w:val="7BF15CE4"/>
    <w:rsid w:val="7C3A27E5"/>
    <w:rsid w:val="7D9727DD"/>
    <w:rsid w:val="7DCB30EB"/>
    <w:rsid w:val="7E9F79F5"/>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Indent"/>
    <w:basedOn w:val="1"/>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qFormat/>
    <w:uiPriority w:val="0"/>
    <w:pPr>
      <w:tabs>
        <w:tab w:val="center" w:pos="4153"/>
        <w:tab w:val="right" w:pos="8306"/>
      </w:tabs>
      <w:snapToGrid w:val="0"/>
      <w:jc w:val="left"/>
    </w:pPr>
    <w:rPr>
      <w:kern w:val="0"/>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rPr>
      <w:sz w:val="24"/>
    </w:rPr>
  </w:style>
  <w:style w:type="paragraph" w:styleId="9">
    <w:name w:val="Body Text First Indent 2"/>
    <w:basedOn w:val="4"/>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Emphasis"/>
    <w:basedOn w:val="12"/>
    <w:qFormat/>
    <w:uiPriority w:val="20"/>
    <w:rPr>
      <w:i/>
    </w:rPr>
  </w:style>
  <w:style w:type="paragraph" w:customStyle="1" w:styleId="14">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5">
    <w:name w:val="Default"/>
    <w:next w:val="16"/>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
    <w:name w:val="大标题"/>
    <w:basedOn w:val="1"/>
    <w:next w:val="9"/>
    <w:qFormat/>
    <w:uiPriority w:val="0"/>
    <w:pPr>
      <w:jc w:val="center"/>
    </w:pPr>
    <w:rPr>
      <w:rFonts w:ascii="Arial" w:hAnsi="Arial" w:eastAsia="宋体"/>
      <w:b/>
      <w:sz w:val="28"/>
      <w:szCs w:val="24"/>
    </w:rPr>
  </w:style>
  <w:style w:type="paragraph" w:customStyle="1" w:styleId="17">
    <w:name w:val="列出段落1"/>
    <w:basedOn w:val="1"/>
    <w:qFormat/>
    <w:uiPriority w:val="99"/>
    <w:pPr>
      <w:ind w:firstLine="420" w:firstLineChars="200"/>
    </w:pPr>
  </w:style>
  <w:style w:type="paragraph" w:customStyle="1" w:styleId="18">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qFormat/>
    <w:uiPriority w:val="34"/>
    <w:pPr>
      <w:ind w:firstLine="420" w:firstLineChars="200"/>
    </w:pPr>
    <w:rPr>
      <w:rFonts w:ascii="Calibri" w:hAnsi="Calibri"/>
      <w:szCs w:val="22"/>
    </w:rPr>
  </w:style>
  <w:style w:type="paragraph" w:customStyle="1" w:styleId="20">
    <w:name w:val="BodyText1I2"/>
    <w:basedOn w:val="21"/>
    <w:qFormat/>
    <w:uiPriority w:val="0"/>
    <w:pPr>
      <w:ind w:firstLine="420"/>
      <w:jc w:val="left"/>
    </w:pPr>
    <w:rPr>
      <w:rFonts w:ascii="Calibri" w:hAnsi="Calibri"/>
      <w:kern w:val="0"/>
    </w:rPr>
  </w:style>
  <w:style w:type="paragraph" w:customStyle="1" w:styleId="21">
    <w:name w:val="BodyTextIndent"/>
    <w:basedOn w:val="1"/>
    <w:qFormat/>
    <w:uiPriority w:val="0"/>
    <w:pPr>
      <w:spacing w:after="120"/>
      <w:ind w:left="420" w:leftChars="200"/>
    </w:pPr>
  </w:style>
  <w:style w:type="paragraph" w:customStyle="1" w:styleId="22">
    <w:name w:val="msolistparagraph"/>
    <w:basedOn w:val="1"/>
    <w:qFormat/>
    <w:uiPriority w:val="0"/>
    <w:pPr>
      <w:widowControl w:val="0"/>
      <w:spacing w:after="0"/>
      <w:ind w:firstLine="420" w:firstLineChars="200"/>
      <w:jc w:val="both"/>
    </w:pPr>
    <w:rPr>
      <w:rFonts w:ascii="Calibri" w:hAnsi="Calibri" w:eastAsia="宋体" w:cs="Times New Roman"/>
      <w:kern w:val="2"/>
      <w:sz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11154</Words>
  <Characters>11738</Characters>
  <Lines>0</Lines>
  <Paragraphs>0</Paragraphs>
  <TotalTime>0</TotalTime>
  <ScaleCrop>false</ScaleCrop>
  <LinksUpToDate>false</LinksUpToDate>
  <CharactersWithSpaces>12729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2026-01-06T08:01:54Z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