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E934AC">
      <w:pPr>
        <w:widowControl/>
        <w:spacing w:line="360" w:lineRule="auto"/>
        <w:rPr>
          <w:rFonts w:ascii="宋体" w:hAnsi="宋体"/>
          <w:b/>
          <w:bCs/>
          <w:color w:val="auto"/>
          <w:kern w:val="0"/>
          <w:sz w:val="48"/>
          <w:szCs w:val="48"/>
        </w:rPr>
      </w:pPr>
      <w:r>
        <w:rPr>
          <w:rFonts w:hint="eastAsia" w:ascii="宋体" w:hAnsi="宋体"/>
          <w:b/>
          <w:bCs/>
          <w:color w:val="auto"/>
          <w:kern w:val="0"/>
          <w:sz w:val="48"/>
          <w:szCs w:val="48"/>
        </w:rPr>
        <w:t xml:space="preserve"> </w:t>
      </w:r>
    </w:p>
    <w:p w14:paraId="2BF0862A">
      <w:pPr>
        <w:widowControl/>
        <w:spacing w:line="360" w:lineRule="auto"/>
        <w:rPr>
          <w:rFonts w:ascii="宋体" w:hAnsi="宋体"/>
          <w:b/>
          <w:bCs/>
          <w:color w:val="auto"/>
          <w:kern w:val="0"/>
          <w:sz w:val="48"/>
          <w:szCs w:val="48"/>
        </w:rPr>
      </w:pPr>
    </w:p>
    <w:p w14:paraId="7F9B174A">
      <w:pPr>
        <w:widowControl/>
        <w:tabs>
          <w:tab w:val="left" w:pos="2977"/>
        </w:tabs>
        <w:spacing w:line="360" w:lineRule="auto"/>
        <w:ind w:firstLine="420" w:firstLineChars="0"/>
        <w:jc w:val="center"/>
        <w:rPr>
          <w:rFonts w:hint="eastAsia" w:ascii="宋体" w:hAnsi="宋体" w:eastAsia="宋体"/>
          <w:b/>
          <w:bCs/>
          <w:color w:val="auto"/>
          <w:kern w:val="0"/>
          <w:sz w:val="48"/>
          <w:szCs w:val="48"/>
          <w:lang w:eastAsia="zh-CN"/>
        </w:rPr>
      </w:pPr>
      <w:r>
        <w:rPr>
          <w:rFonts w:hint="eastAsia" w:ascii="宋体" w:hAnsi="宋体"/>
          <w:b/>
          <w:bCs/>
          <w:color w:val="auto"/>
          <w:kern w:val="0"/>
          <w:sz w:val="48"/>
          <w:szCs w:val="48"/>
          <w:lang w:eastAsia="zh-CN"/>
        </w:rPr>
        <w:t>娄底市中心医院</w:t>
      </w:r>
    </w:p>
    <w:p w14:paraId="0ED96CFA">
      <w:pPr>
        <w:widowControl/>
        <w:tabs>
          <w:tab w:val="left" w:pos="2977"/>
        </w:tabs>
        <w:spacing w:line="360" w:lineRule="auto"/>
        <w:ind w:firstLine="420" w:firstLineChars="0"/>
        <w:jc w:val="center"/>
        <w:rPr>
          <w:rFonts w:ascii="宋体" w:hAnsi="宋体"/>
          <w:b/>
          <w:bCs/>
          <w:color w:val="auto"/>
          <w:kern w:val="0"/>
          <w:sz w:val="48"/>
          <w:szCs w:val="48"/>
        </w:rPr>
      </w:pPr>
      <w:r>
        <w:rPr>
          <w:rFonts w:ascii="宋体" w:hAnsi="宋体"/>
          <w:b/>
          <w:bCs/>
          <w:color w:val="auto"/>
          <w:kern w:val="0"/>
          <w:sz w:val="48"/>
          <w:szCs w:val="48"/>
        </w:rPr>
        <w:t>招标采购代理机构遴选项目</w:t>
      </w:r>
    </w:p>
    <w:p w14:paraId="0404FC4E">
      <w:pPr>
        <w:widowControl/>
        <w:spacing w:line="360" w:lineRule="auto"/>
        <w:jc w:val="left"/>
        <w:rPr>
          <w:rFonts w:ascii="宋体" w:hAnsi="宋体"/>
          <w:b/>
          <w:bCs/>
          <w:color w:val="auto"/>
          <w:kern w:val="0"/>
          <w:sz w:val="36"/>
          <w:szCs w:val="36"/>
        </w:rPr>
      </w:pPr>
    </w:p>
    <w:p w14:paraId="5C6E7D79">
      <w:pPr>
        <w:widowControl/>
        <w:spacing w:line="360" w:lineRule="auto"/>
        <w:rPr>
          <w:rFonts w:ascii="宋体" w:hAnsi="宋体"/>
          <w:b/>
          <w:bCs/>
          <w:color w:val="auto"/>
          <w:kern w:val="0"/>
          <w:sz w:val="36"/>
          <w:szCs w:val="36"/>
        </w:rPr>
      </w:pPr>
    </w:p>
    <w:p w14:paraId="4220228F">
      <w:pPr>
        <w:widowControl/>
        <w:spacing w:line="360" w:lineRule="auto"/>
        <w:jc w:val="center"/>
        <w:rPr>
          <w:rFonts w:ascii="宋体" w:hAnsi="宋体"/>
          <w:b/>
          <w:bCs/>
          <w:color w:val="auto"/>
          <w:kern w:val="0"/>
          <w:sz w:val="68"/>
          <w:szCs w:val="68"/>
        </w:rPr>
      </w:pPr>
      <w:r>
        <w:rPr>
          <w:rFonts w:hint="eastAsia" w:ascii="宋体" w:hAnsi="宋体"/>
          <w:b/>
          <w:bCs/>
          <w:color w:val="auto"/>
          <w:kern w:val="0"/>
          <w:sz w:val="68"/>
          <w:szCs w:val="68"/>
        </w:rPr>
        <w:t>遴</w:t>
      </w:r>
    </w:p>
    <w:p w14:paraId="604EE49C">
      <w:pPr>
        <w:widowControl/>
        <w:spacing w:line="360" w:lineRule="auto"/>
        <w:jc w:val="center"/>
        <w:rPr>
          <w:rFonts w:ascii="宋体" w:hAnsi="宋体"/>
          <w:b/>
          <w:bCs/>
          <w:color w:val="auto"/>
          <w:kern w:val="0"/>
          <w:sz w:val="68"/>
          <w:szCs w:val="68"/>
        </w:rPr>
      </w:pPr>
    </w:p>
    <w:p w14:paraId="70E28409">
      <w:pPr>
        <w:widowControl/>
        <w:spacing w:line="360" w:lineRule="auto"/>
        <w:jc w:val="center"/>
        <w:rPr>
          <w:rFonts w:ascii="宋体" w:hAnsi="宋体"/>
          <w:b/>
          <w:bCs/>
          <w:color w:val="auto"/>
          <w:kern w:val="0"/>
          <w:sz w:val="68"/>
          <w:szCs w:val="68"/>
        </w:rPr>
      </w:pPr>
      <w:r>
        <w:rPr>
          <w:rFonts w:hint="eastAsia" w:ascii="宋体" w:hAnsi="宋体"/>
          <w:b/>
          <w:bCs/>
          <w:color w:val="auto"/>
          <w:kern w:val="0"/>
          <w:sz w:val="68"/>
          <w:szCs w:val="68"/>
        </w:rPr>
        <w:t>选</w:t>
      </w:r>
    </w:p>
    <w:p w14:paraId="791766BD">
      <w:pPr>
        <w:widowControl/>
        <w:spacing w:line="360" w:lineRule="auto"/>
        <w:jc w:val="center"/>
        <w:rPr>
          <w:rFonts w:ascii="宋体" w:hAnsi="宋体"/>
          <w:b/>
          <w:bCs/>
          <w:color w:val="auto"/>
          <w:kern w:val="0"/>
          <w:sz w:val="68"/>
          <w:szCs w:val="68"/>
        </w:rPr>
      </w:pPr>
    </w:p>
    <w:p w14:paraId="543567DB">
      <w:pPr>
        <w:widowControl/>
        <w:spacing w:line="360" w:lineRule="auto"/>
        <w:jc w:val="center"/>
        <w:rPr>
          <w:rFonts w:ascii="宋体" w:hAnsi="宋体"/>
          <w:b/>
          <w:bCs/>
          <w:color w:val="auto"/>
          <w:kern w:val="0"/>
          <w:sz w:val="68"/>
          <w:szCs w:val="68"/>
        </w:rPr>
      </w:pPr>
      <w:r>
        <w:rPr>
          <w:rFonts w:hint="eastAsia" w:ascii="宋体" w:hAnsi="宋体"/>
          <w:b/>
          <w:bCs/>
          <w:color w:val="auto"/>
          <w:kern w:val="0"/>
          <w:sz w:val="68"/>
          <w:szCs w:val="68"/>
        </w:rPr>
        <w:t>文</w:t>
      </w:r>
    </w:p>
    <w:p w14:paraId="6B247A35">
      <w:pPr>
        <w:widowControl/>
        <w:spacing w:line="360" w:lineRule="auto"/>
        <w:jc w:val="center"/>
        <w:rPr>
          <w:rFonts w:ascii="宋体" w:hAnsi="宋体"/>
          <w:b/>
          <w:bCs/>
          <w:color w:val="auto"/>
          <w:kern w:val="0"/>
          <w:sz w:val="68"/>
          <w:szCs w:val="68"/>
        </w:rPr>
      </w:pPr>
    </w:p>
    <w:p w14:paraId="651415FE">
      <w:pPr>
        <w:widowControl/>
        <w:spacing w:line="360" w:lineRule="auto"/>
        <w:jc w:val="center"/>
        <w:rPr>
          <w:rFonts w:ascii="宋体" w:hAnsi="宋体"/>
          <w:b/>
          <w:bCs/>
          <w:color w:val="auto"/>
          <w:kern w:val="0"/>
          <w:sz w:val="68"/>
          <w:szCs w:val="68"/>
        </w:rPr>
      </w:pPr>
      <w:r>
        <w:rPr>
          <w:rFonts w:hint="eastAsia" w:ascii="宋体" w:hAnsi="宋体"/>
          <w:b/>
          <w:bCs/>
          <w:color w:val="auto"/>
          <w:kern w:val="0"/>
          <w:sz w:val="68"/>
          <w:szCs w:val="68"/>
        </w:rPr>
        <w:t>件</w:t>
      </w:r>
    </w:p>
    <w:p w14:paraId="6CC2667A">
      <w:pPr>
        <w:widowControl/>
        <w:spacing w:line="360" w:lineRule="auto"/>
        <w:rPr>
          <w:rFonts w:ascii="宋体" w:hAnsi="宋体"/>
          <w:b/>
          <w:bCs/>
          <w:color w:val="auto"/>
          <w:kern w:val="0"/>
          <w:szCs w:val="21"/>
        </w:rPr>
      </w:pPr>
    </w:p>
    <w:p w14:paraId="6E528A82">
      <w:pPr>
        <w:widowControl/>
        <w:spacing w:line="360" w:lineRule="auto"/>
        <w:rPr>
          <w:rFonts w:ascii="宋体" w:hAnsi="宋体"/>
          <w:color w:val="auto"/>
          <w:kern w:val="0"/>
          <w:szCs w:val="21"/>
        </w:rPr>
      </w:pPr>
    </w:p>
    <w:p w14:paraId="728C636C">
      <w:pPr>
        <w:widowControl/>
        <w:spacing w:line="360" w:lineRule="auto"/>
        <w:jc w:val="center"/>
        <w:rPr>
          <w:rFonts w:ascii="宋体" w:hAnsi="宋体"/>
          <w:color w:val="auto"/>
          <w:kern w:val="0"/>
          <w:szCs w:val="21"/>
        </w:rPr>
      </w:pPr>
    </w:p>
    <w:p w14:paraId="61896196">
      <w:pPr>
        <w:widowControl/>
        <w:spacing w:line="360" w:lineRule="auto"/>
        <w:ind w:firstLine="643" w:firstLineChars="200"/>
        <w:jc w:val="center"/>
        <w:rPr>
          <w:rFonts w:hint="eastAsia" w:ascii="宋体" w:hAnsi="宋体" w:eastAsia="宋体"/>
          <w:b/>
          <w:bCs/>
          <w:color w:val="auto"/>
          <w:kern w:val="0"/>
          <w:sz w:val="32"/>
          <w:szCs w:val="32"/>
          <w:lang w:eastAsia="zh-CN"/>
        </w:rPr>
      </w:pPr>
      <w:r>
        <w:rPr>
          <w:rFonts w:hint="eastAsia" w:ascii="宋体" w:hAnsi="宋体"/>
          <w:b/>
          <w:bCs/>
          <w:color w:val="auto"/>
          <w:kern w:val="0"/>
          <w:sz w:val="32"/>
          <w:szCs w:val="32"/>
          <w:lang w:eastAsia="zh-CN"/>
        </w:rPr>
        <w:t>娄底市中心医院</w:t>
      </w:r>
    </w:p>
    <w:p w14:paraId="322A6B92">
      <w:pPr>
        <w:widowControl/>
        <w:spacing w:line="360" w:lineRule="auto"/>
        <w:ind w:firstLine="643" w:firstLineChars="200"/>
        <w:jc w:val="center"/>
        <w:rPr>
          <w:rFonts w:ascii="宋体" w:hAnsi="宋体"/>
          <w:b/>
          <w:bCs/>
          <w:color w:val="auto"/>
          <w:kern w:val="0"/>
          <w:sz w:val="32"/>
          <w:szCs w:val="32"/>
          <w:highlight w:val="none"/>
        </w:rPr>
      </w:pPr>
      <w:r>
        <w:rPr>
          <w:rFonts w:hint="eastAsia" w:ascii="宋体" w:hAnsi="宋体"/>
          <w:b/>
          <w:bCs/>
          <w:color w:val="auto"/>
          <w:kern w:val="0"/>
          <w:sz w:val="32"/>
          <w:szCs w:val="32"/>
          <w:highlight w:val="none"/>
        </w:rPr>
        <w:t>20</w:t>
      </w:r>
      <w:r>
        <w:rPr>
          <w:rFonts w:ascii="宋体" w:hAnsi="宋体"/>
          <w:b/>
          <w:bCs/>
          <w:color w:val="auto"/>
          <w:kern w:val="0"/>
          <w:sz w:val="32"/>
          <w:szCs w:val="32"/>
          <w:highlight w:val="none"/>
        </w:rPr>
        <w:t>2</w:t>
      </w:r>
      <w:r>
        <w:rPr>
          <w:rFonts w:hint="eastAsia" w:ascii="宋体" w:hAnsi="宋体"/>
          <w:b/>
          <w:bCs/>
          <w:color w:val="auto"/>
          <w:kern w:val="0"/>
          <w:sz w:val="32"/>
          <w:szCs w:val="32"/>
          <w:highlight w:val="none"/>
          <w:lang w:val="en-US" w:eastAsia="zh-CN"/>
        </w:rPr>
        <w:t>5</w:t>
      </w:r>
      <w:r>
        <w:rPr>
          <w:rFonts w:hint="eastAsia" w:ascii="宋体" w:hAnsi="宋体"/>
          <w:b/>
          <w:bCs/>
          <w:color w:val="auto"/>
          <w:kern w:val="0"/>
          <w:sz w:val="32"/>
          <w:szCs w:val="32"/>
          <w:highlight w:val="none"/>
        </w:rPr>
        <w:t>年</w:t>
      </w:r>
      <w:r>
        <w:rPr>
          <w:rFonts w:hint="eastAsia" w:ascii="宋体" w:hAnsi="宋体"/>
          <w:b/>
          <w:bCs/>
          <w:color w:val="auto"/>
          <w:kern w:val="0"/>
          <w:sz w:val="32"/>
          <w:szCs w:val="32"/>
          <w:highlight w:val="none"/>
          <w:lang w:val="en-US" w:eastAsia="zh-CN"/>
        </w:rPr>
        <w:t>12</w:t>
      </w:r>
      <w:r>
        <w:rPr>
          <w:rFonts w:hint="eastAsia" w:ascii="宋体" w:hAnsi="宋体"/>
          <w:b/>
          <w:bCs/>
          <w:color w:val="auto"/>
          <w:kern w:val="0"/>
          <w:sz w:val="32"/>
          <w:szCs w:val="32"/>
          <w:highlight w:val="none"/>
        </w:rPr>
        <w:t>月</w:t>
      </w:r>
    </w:p>
    <w:p w14:paraId="2601B16B">
      <w:pPr>
        <w:widowControl/>
        <w:spacing w:line="360" w:lineRule="auto"/>
        <w:ind w:firstLine="2240"/>
        <w:rPr>
          <w:rFonts w:ascii="宋体" w:hAnsi="宋体"/>
          <w:b/>
          <w:bCs/>
          <w:color w:val="auto"/>
          <w:kern w:val="0"/>
          <w:sz w:val="28"/>
          <w:szCs w:val="28"/>
        </w:rPr>
      </w:pPr>
    </w:p>
    <w:p w14:paraId="7CDF8C2E">
      <w:pPr>
        <w:widowControl/>
        <w:spacing w:line="360" w:lineRule="auto"/>
        <w:jc w:val="center"/>
        <w:rPr>
          <w:rFonts w:ascii="宋体" w:hAnsi="宋体"/>
          <w:b/>
          <w:bCs/>
          <w:color w:val="auto"/>
          <w:kern w:val="0"/>
          <w:sz w:val="48"/>
          <w:szCs w:val="44"/>
        </w:rPr>
      </w:pPr>
      <w:r>
        <w:rPr>
          <w:rFonts w:ascii="宋体" w:hAnsi="宋体"/>
          <w:b/>
          <w:bCs/>
          <w:color w:val="auto"/>
          <w:kern w:val="0"/>
          <w:sz w:val="48"/>
          <w:szCs w:val="44"/>
        </w:rPr>
        <w:br w:type="page"/>
      </w:r>
    </w:p>
    <w:p w14:paraId="178CE26D">
      <w:pPr>
        <w:spacing w:line="360" w:lineRule="auto"/>
        <w:ind w:left="284" w:hanging="284"/>
        <w:jc w:val="center"/>
        <w:rPr>
          <w:b/>
          <w:color w:val="auto"/>
          <w:sz w:val="36"/>
          <w:szCs w:val="36"/>
        </w:rPr>
      </w:pPr>
      <w:r>
        <w:rPr>
          <w:rFonts w:hAnsi="宋体"/>
          <w:b/>
          <w:color w:val="auto"/>
          <w:sz w:val="36"/>
          <w:szCs w:val="36"/>
        </w:rPr>
        <w:t>目录</w:t>
      </w:r>
    </w:p>
    <w:p w14:paraId="7EEED6FC">
      <w:pPr>
        <w:spacing w:line="440" w:lineRule="exact"/>
        <w:ind w:left="284" w:hanging="284"/>
        <w:rPr>
          <w:b/>
          <w:color w:val="auto"/>
          <w:sz w:val="36"/>
          <w:szCs w:val="36"/>
        </w:rPr>
      </w:pPr>
    </w:p>
    <w:p w14:paraId="3F731785">
      <w:pPr>
        <w:pStyle w:val="10"/>
        <w:tabs>
          <w:tab w:val="right" w:leader="dot" w:pos="9241"/>
          <w:tab w:val="clear" w:pos="9231"/>
        </w:tabs>
        <w:spacing w:line="480" w:lineRule="auto"/>
        <w:rPr>
          <w:color w:val="auto"/>
          <w:sz w:val="24"/>
          <w:szCs w:val="22"/>
        </w:rPr>
      </w:pPr>
      <w:r>
        <w:rPr>
          <w:color w:val="auto"/>
          <w:sz w:val="40"/>
          <w:szCs w:val="32"/>
        </w:rPr>
        <w:fldChar w:fldCharType="begin"/>
      </w:r>
      <w:r>
        <w:rPr>
          <w:rStyle w:val="25"/>
          <w:color w:val="auto"/>
          <w:sz w:val="40"/>
          <w:szCs w:val="32"/>
        </w:rPr>
        <w:instrText xml:space="preserve"> TOC \o "1-3" \h \z </w:instrText>
      </w:r>
      <w:r>
        <w:rPr>
          <w:color w:val="auto"/>
          <w:sz w:val="40"/>
          <w:szCs w:val="32"/>
        </w:rPr>
        <w:fldChar w:fldCharType="separate"/>
      </w:r>
      <w:r>
        <w:rPr>
          <w:color w:val="auto"/>
        </w:rPr>
        <w:fldChar w:fldCharType="begin"/>
      </w:r>
      <w:r>
        <w:rPr>
          <w:color w:val="auto"/>
        </w:rPr>
        <w:instrText xml:space="preserve"> HYPERLINK \l "_Toc21769" </w:instrText>
      </w:r>
      <w:r>
        <w:rPr>
          <w:color w:val="auto"/>
        </w:rPr>
        <w:fldChar w:fldCharType="separate"/>
      </w:r>
      <w:r>
        <w:rPr>
          <w:rFonts w:hAnsi="宋体"/>
          <w:color w:val="auto"/>
          <w:sz w:val="24"/>
          <w:szCs w:val="22"/>
        </w:rPr>
        <w:t>第一章</w:t>
      </w:r>
      <w:r>
        <w:rPr>
          <w:rFonts w:hint="eastAsia" w:hAnsi="宋体"/>
          <w:color w:val="auto"/>
          <w:sz w:val="24"/>
          <w:szCs w:val="22"/>
        </w:rPr>
        <w:t xml:space="preserve"> 院内遴选</w:t>
      </w:r>
      <w:r>
        <w:rPr>
          <w:rFonts w:hAnsi="宋体"/>
          <w:color w:val="auto"/>
          <w:sz w:val="24"/>
          <w:szCs w:val="22"/>
        </w:rPr>
        <w:t>公告</w:t>
      </w:r>
      <w:r>
        <w:rPr>
          <w:color w:val="auto"/>
          <w:sz w:val="24"/>
          <w:szCs w:val="22"/>
        </w:rPr>
        <w:tab/>
      </w:r>
      <w:r>
        <w:rPr>
          <w:rFonts w:hint="eastAsia"/>
          <w:color w:val="auto"/>
          <w:sz w:val="24"/>
          <w:szCs w:val="22"/>
          <w:lang w:val="en-US" w:eastAsia="zh-CN"/>
        </w:rPr>
        <w:t>1</w:t>
      </w:r>
      <w:r>
        <w:rPr>
          <w:color w:val="auto"/>
          <w:sz w:val="24"/>
          <w:szCs w:val="22"/>
        </w:rPr>
        <w:fldChar w:fldCharType="end"/>
      </w:r>
    </w:p>
    <w:p w14:paraId="4A0F2ADC">
      <w:pPr>
        <w:pStyle w:val="10"/>
        <w:tabs>
          <w:tab w:val="right" w:leader="dot" w:pos="9241"/>
          <w:tab w:val="clear" w:pos="9231"/>
        </w:tabs>
        <w:spacing w:line="480" w:lineRule="auto"/>
        <w:rPr>
          <w:color w:val="auto"/>
          <w:sz w:val="24"/>
          <w:szCs w:val="22"/>
        </w:rPr>
      </w:pPr>
      <w:r>
        <w:rPr>
          <w:color w:val="auto"/>
        </w:rPr>
        <w:fldChar w:fldCharType="begin"/>
      </w:r>
      <w:r>
        <w:rPr>
          <w:color w:val="auto"/>
        </w:rPr>
        <w:instrText xml:space="preserve"> HYPERLINK \l "_Toc7100" </w:instrText>
      </w:r>
      <w:r>
        <w:rPr>
          <w:color w:val="auto"/>
        </w:rPr>
        <w:fldChar w:fldCharType="separate"/>
      </w:r>
      <w:r>
        <w:rPr>
          <w:rFonts w:hAnsi="宋体"/>
          <w:color w:val="auto"/>
          <w:sz w:val="24"/>
          <w:szCs w:val="22"/>
        </w:rPr>
        <w:t>第二章</w:t>
      </w:r>
      <w:r>
        <w:rPr>
          <w:rFonts w:hint="eastAsia" w:hAnsi="宋体"/>
          <w:color w:val="auto"/>
          <w:sz w:val="24"/>
          <w:szCs w:val="22"/>
        </w:rPr>
        <w:t xml:space="preserve"> </w:t>
      </w:r>
      <w:r>
        <w:rPr>
          <w:rFonts w:hint="eastAsia" w:hAnsi="宋体"/>
          <w:color w:val="auto"/>
          <w:sz w:val="24"/>
          <w:szCs w:val="22"/>
          <w:lang w:eastAsia="zh-CN"/>
        </w:rPr>
        <w:t>供应商</w:t>
      </w:r>
      <w:r>
        <w:rPr>
          <w:rFonts w:hAnsi="宋体"/>
          <w:color w:val="auto"/>
          <w:sz w:val="24"/>
          <w:szCs w:val="22"/>
        </w:rPr>
        <w:t>须知</w:t>
      </w:r>
      <w:r>
        <w:rPr>
          <w:color w:val="auto"/>
          <w:sz w:val="24"/>
          <w:szCs w:val="22"/>
        </w:rPr>
        <w:tab/>
      </w:r>
      <w:r>
        <w:rPr>
          <w:rFonts w:hint="eastAsia"/>
          <w:color w:val="auto"/>
          <w:sz w:val="24"/>
          <w:szCs w:val="22"/>
          <w:lang w:val="en-US" w:eastAsia="zh-CN"/>
        </w:rPr>
        <w:t>4</w:t>
      </w:r>
      <w:r>
        <w:rPr>
          <w:color w:val="auto"/>
          <w:sz w:val="24"/>
          <w:szCs w:val="22"/>
        </w:rPr>
        <w:fldChar w:fldCharType="end"/>
      </w:r>
    </w:p>
    <w:p w14:paraId="4C9116AC">
      <w:pPr>
        <w:pStyle w:val="10"/>
        <w:tabs>
          <w:tab w:val="right" w:leader="dot" w:pos="9241"/>
          <w:tab w:val="clear" w:pos="9231"/>
        </w:tabs>
        <w:spacing w:line="480" w:lineRule="auto"/>
        <w:rPr>
          <w:color w:val="auto"/>
          <w:sz w:val="24"/>
          <w:szCs w:val="22"/>
        </w:rPr>
      </w:pPr>
      <w:r>
        <w:rPr>
          <w:color w:val="auto"/>
        </w:rPr>
        <w:fldChar w:fldCharType="begin"/>
      </w:r>
      <w:r>
        <w:rPr>
          <w:color w:val="auto"/>
        </w:rPr>
        <w:instrText xml:space="preserve"> HYPERLINK \l "_Toc4867" </w:instrText>
      </w:r>
      <w:r>
        <w:rPr>
          <w:color w:val="auto"/>
        </w:rPr>
        <w:fldChar w:fldCharType="separate"/>
      </w:r>
      <w:r>
        <w:rPr>
          <w:rFonts w:hAnsi="宋体"/>
          <w:color w:val="auto"/>
          <w:sz w:val="24"/>
          <w:szCs w:val="22"/>
        </w:rPr>
        <w:t>第</w:t>
      </w:r>
      <w:r>
        <w:rPr>
          <w:rFonts w:hint="eastAsia" w:hAnsi="宋体"/>
          <w:color w:val="auto"/>
          <w:sz w:val="24"/>
          <w:szCs w:val="22"/>
        </w:rPr>
        <w:t>三</w:t>
      </w:r>
      <w:r>
        <w:rPr>
          <w:rFonts w:hAnsi="宋体"/>
          <w:color w:val="auto"/>
          <w:sz w:val="24"/>
          <w:szCs w:val="22"/>
        </w:rPr>
        <w:t>章</w:t>
      </w:r>
      <w:r>
        <w:rPr>
          <w:rFonts w:hint="eastAsia" w:hAnsi="宋体"/>
          <w:color w:val="auto"/>
          <w:sz w:val="24"/>
          <w:szCs w:val="22"/>
        </w:rPr>
        <w:t xml:space="preserve"> </w:t>
      </w:r>
      <w:r>
        <w:rPr>
          <w:rFonts w:hint="eastAsia" w:ascii="宋体" w:hAnsi="宋体"/>
          <w:color w:val="auto"/>
          <w:sz w:val="24"/>
          <w:szCs w:val="22"/>
        </w:rPr>
        <w:t>服务要求</w:t>
      </w:r>
      <w:r>
        <w:rPr>
          <w:color w:val="auto"/>
          <w:sz w:val="24"/>
          <w:szCs w:val="22"/>
        </w:rPr>
        <w:tab/>
      </w:r>
      <w:r>
        <w:rPr>
          <w:rFonts w:hint="eastAsia"/>
          <w:color w:val="auto"/>
          <w:sz w:val="24"/>
          <w:szCs w:val="22"/>
          <w:lang w:val="en-US" w:eastAsia="zh-CN"/>
        </w:rPr>
        <w:t>8</w:t>
      </w:r>
      <w:r>
        <w:rPr>
          <w:color w:val="auto"/>
          <w:sz w:val="24"/>
          <w:szCs w:val="22"/>
        </w:rPr>
        <w:fldChar w:fldCharType="end"/>
      </w:r>
    </w:p>
    <w:p w14:paraId="43B8E273">
      <w:pPr>
        <w:pStyle w:val="10"/>
        <w:tabs>
          <w:tab w:val="right" w:leader="dot" w:pos="9241"/>
          <w:tab w:val="clear" w:pos="9231"/>
        </w:tabs>
        <w:spacing w:line="480" w:lineRule="auto"/>
        <w:rPr>
          <w:rFonts w:hint="eastAsia" w:eastAsia="宋体"/>
          <w:color w:val="auto"/>
          <w:sz w:val="24"/>
          <w:szCs w:val="22"/>
          <w:lang w:val="en-US" w:eastAsia="zh-CN"/>
        </w:rPr>
      </w:pPr>
      <w:r>
        <w:rPr>
          <w:color w:val="auto"/>
        </w:rPr>
        <w:fldChar w:fldCharType="begin"/>
      </w:r>
      <w:r>
        <w:rPr>
          <w:color w:val="auto"/>
        </w:rPr>
        <w:instrText xml:space="preserve"> HYPERLINK \l "_Toc1244" </w:instrText>
      </w:r>
      <w:r>
        <w:rPr>
          <w:color w:val="auto"/>
        </w:rPr>
        <w:fldChar w:fldCharType="separate"/>
      </w:r>
      <w:r>
        <w:rPr>
          <w:rFonts w:hAnsi="宋体"/>
          <w:color w:val="auto"/>
          <w:sz w:val="24"/>
          <w:szCs w:val="22"/>
        </w:rPr>
        <w:t>第</w:t>
      </w:r>
      <w:r>
        <w:rPr>
          <w:rFonts w:hint="eastAsia" w:hAnsi="宋体"/>
          <w:color w:val="auto"/>
          <w:sz w:val="24"/>
          <w:szCs w:val="22"/>
        </w:rPr>
        <w:t>四</w:t>
      </w:r>
      <w:r>
        <w:rPr>
          <w:rFonts w:hAnsi="宋体"/>
          <w:color w:val="auto"/>
          <w:sz w:val="24"/>
          <w:szCs w:val="22"/>
        </w:rPr>
        <w:t>章</w:t>
      </w:r>
      <w:r>
        <w:rPr>
          <w:rFonts w:hint="eastAsia" w:hAnsi="宋体"/>
          <w:color w:val="auto"/>
          <w:sz w:val="24"/>
          <w:szCs w:val="22"/>
        </w:rPr>
        <w:t xml:space="preserve"> 遴选办法</w:t>
      </w:r>
      <w:r>
        <w:rPr>
          <w:color w:val="auto"/>
          <w:sz w:val="24"/>
          <w:szCs w:val="22"/>
        </w:rPr>
        <w:tab/>
      </w:r>
      <w:r>
        <w:rPr>
          <w:rFonts w:hint="eastAsia"/>
          <w:color w:val="auto"/>
          <w:sz w:val="24"/>
          <w:szCs w:val="22"/>
          <w:lang w:val="en-US" w:eastAsia="zh-CN"/>
        </w:rPr>
        <w:t>1</w:t>
      </w:r>
      <w:r>
        <w:rPr>
          <w:color w:val="auto"/>
          <w:sz w:val="24"/>
          <w:szCs w:val="22"/>
        </w:rPr>
        <w:fldChar w:fldCharType="end"/>
      </w:r>
      <w:r>
        <w:rPr>
          <w:rFonts w:hint="eastAsia"/>
          <w:color w:val="auto"/>
          <w:sz w:val="24"/>
          <w:szCs w:val="22"/>
          <w:lang w:val="en-US" w:eastAsia="zh-CN"/>
        </w:rPr>
        <w:t>1</w:t>
      </w:r>
    </w:p>
    <w:p w14:paraId="1F917053">
      <w:pPr>
        <w:widowControl/>
        <w:tabs>
          <w:tab w:val="right" w:leader="dot" w:pos="9070"/>
        </w:tabs>
        <w:spacing w:line="360" w:lineRule="auto"/>
        <w:rPr>
          <w:rFonts w:ascii="宋体" w:hAnsi="宋体"/>
          <w:b/>
          <w:color w:val="auto"/>
          <w:sz w:val="30"/>
          <w:szCs w:val="30"/>
          <w:lang w:val="zh-CN"/>
        </w:rPr>
      </w:pPr>
      <w:r>
        <w:rPr>
          <w:color w:val="auto"/>
          <w:sz w:val="24"/>
          <w:szCs w:val="32"/>
        </w:rPr>
        <w:fldChar w:fldCharType="end"/>
      </w:r>
    </w:p>
    <w:p w14:paraId="56889FAB">
      <w:pPr>
        <w:pStyle w:val="2"/>
        <w:rPr>
          <w:color w:val="auto"/>
          <w:lang w:val="zh-CN"/>
        </w:rPr>
      </w:pPr>
    </w:p>
    <w:p w14:paraId="1D5B355B">
      <w:pPr>
        <w:widowControl/>
        <w:numPr>
          <w:ilvl w:val="0"/>
          <w:numId w:val="1"/>
        </w:numPr>
        <w:jc w:val="center"/>
        <w:rPr>
          <w:rFonts w:ascii="宋体" w:hAnsi="宋体" w:cs="宋体"/>
          <w:b/>
          <w:bCs/>
          <w:color w:val="auto"/>
          <w:spacing w:val="15"/>
          <w:kern w:val="0"/>
          <w:sz w:val="32"/>
          <w:szCs w:val="32"/>
        </w:rPr>
        <w:sectPr>
          <w:headerReference r:id="rId3" w:type="default"/>
          <w:footerReference r:id="rId5" w:type="default"/>
          <w:headerReference r:id="rId4" w:type="even"/>
          <w:footerReference r:id="rId6" w:type="even"/>
          <w:pgSz w:w="11906" w:h="16838"/>
          <w:pgMar w:top="1077" w:right="1418" w:bottom="1077" w:left="1418" w:header="851" w:footer="992" w:gutter="0"/>
          <w:pgBorders>
            <w:top w:val="none" w:sz="0" w:space="0"/>
            <w:left w:val="none" w:sz="0" w:space="0"/>
            <w:bottom w:val="none" w:sz="0" w:space="0"/>
            <w:right w:val="none" w:sz="0" w:space="0"/>
          </w:pgBorders>
          <w:pgNumType w:start="0"/>
          <w:cols w:space="0" w:num="1"/>
          <w:titlePg/>
          <w:docGrid w:type="lines" w:linePitch="312" w:charSpace="0"/>
        </w:sectPr>
      </w:pPr>
    </w:p>
    <w:p w14:paraId="60807555">
      <w:pPr>
        <w:widowControl/>
        <w:numPr>
          <w:ilvl w:val="0"/>
          <w:numId w:val="1"/>
        </w:numPr>
        <w:jc w:val="center"/>
        <w:rPr>
          <w:rFonts w:ascii="宋体" w:hAnsi="宋体" w:cs="宋体"/>
          <w:b/>
          <w:bCs/>
          <w:color w:val="auto"/>
          <w:spacing w:val="15"/>
          <w:kern w:val="0"/>
          <w:sz w:val="32"/>
          <w:szCs w:val="32"/>
        </w:rPr>
      </w:pPr>
      <w:r>
        <w:rPr>
          <w:rFonts w:hint="eastAsia" w:ascii="宋体" w:hAnsi="宋体" w:cs="宋体"/>
          <w:b/>
          <w:bCs/>
          <w:color w:val="auto"/>
          <w:spacing w:val="15"/>
          <w:kern w:val="0"/>
          <w:sz w:val="32"/>
          <w:szCs w:val="32"/>
        </w:rPr>
        <w:t>院内遴选公告</w:t>
      </w:r>
    </w:p>
    <w:p w14:paraId="28C0C472">
      <w:pPr>
        <w:pStyle w:val="4"/>
        <w:ind w:left="0" w:leftChars="0"/>
        <w:rPr>
          <w:color w:val="auto"/>
        </w:rPr>
      </w:pPr>
    </w:p>
    <w:p w14:paraId="43A360BC">
      <w:pPr>
        <w:widowControl/>
        <w:tabs>
          <w:tab w:val="left" w:pos="2977"/>
        </w:tabs>
        <w:adjustRightInd w:val="0"/>
        <w:snapToGrid w:val="0"/>
        <w:spacing w:line="360" w:lineRule="auto"/>
        <w:ind w:firstLine="480" w:firstLineChars="200"/>
        <w:rPr>
          <w:rFonts w:ascii="宋体" w:hAnsi="宋体"/>
          <w:b/>
          <w:bCs/>
          <w:color w:val="auto"/>
          <w:kern w:val="0"/>
          <w:sz w:val="24"/>
        </w:rPr>
      </w:pPr>
      <w:r>
        <w:rPr>
          <w:rFonts w:hint="eastAsia" w:hAnsi="宋体"/>
          <w:color w:val="auto"/>
          <w:sz w:val="24"/>
        </w:rPr>
        <w:t>根据</w:t>
      </w:r>
      <w:r>
        <w:rPr>
          <w:rFonts w:hint="eastAsia" w:hAnsi="宋体"/>
          <w:color w:val="auto"/>
          <w:sz w:val="24"/>
          <w:lang w:eastAsia="zh-CN"/>
        </w:rPr>
        <w:t>《娄底市中心医院采购管理规定》</w:t>
      </w:r>
      <w:r>
        <w:rPr>
          <w:rFonts w:hint="eastAsia" w:hAnsi="宋体"/>
          <w:color w:val="auto"/>
          <w:sz w:val="24"/>
        </w:rPr>
        <w:t>，遵循公平、公正、公开的原则，</w:t>
      </w:r>
      <w:r>
        <w:rPr>
          <w:rFonts w:hint="eastAsia" w:ascii="宋体" w:hAnsi="宋体" w:cs="宋体"/>
          <w:color w:val="auto"/>
          <w:sz w:val="24"/>
          <w:lang w:eastAsia="zh-CN"/>
        </w:rPr>
        <w:t>娄底市中心医院</w:t>
      </w:r>
      <w:r>
        <w:rPr>
          <w:rFonts w:hint="eastAsia" w:ascii="宋体" w:hAnsi="宋体" w:cs="宋体"/>
          <w:color w:val="auto"/>
          <w:sz w:val="24"/>
          <w:lang w:val="en-US" w:eastAsia="zh-CN"/>
        </w:rPr>
        <w:t>通过</w:t>
      </w:r>
      <w:r>
        <w:rPr>
          <w:rFonts w:hint="eastAsia" w:ascii="宋体" w:hAnsi="宋体" w:cs="宋体"/>
          <w:color w:val="auto"/>
          <w:sz w:val="24"/>
        </w:rPr>
        <w:t>院内公开遴选</w:t>
      </w:r>
      <w:r>
        <w:rPr>
          <w:rFonts w:hint="eastAsia" w:ascii="宋体" w:hAnsi="宋体" w:cs="宋体"/>
          <w:color w:val="auto"/>
          <w:sz w:val="24"/>
          <w:lang w:val="en-US" w:eastAsia="zh-CN"/>
        </w:rPr>
        <w:t>招标</w:t>
      </w:r>
      <w:r>
        <w:rPr>
          <w:rFonts w:hint="eastAsia" w:ascii="宋体" w:hAnsi="宋体" w:cs="宋体"/>
          <w:color w:val="auto"/>
          <w:sz w:val="24"/>
        </w:rPr>
        <w:t>采购代理机构，</w:t>
      </w:r>
      <w:r>
        <w:rPr>
          <w:rFonts w:hint="eastAsia" w:hAnsi="宋体"/>
          <w:color w:val="auto"/>
          <w:sz w:val="24"/>
        </w:rPr>
        <w:t>现邀请有意向的</w:t>
      </w:r>
      <w:r>
        <w:rPr>
          <w:rFonts w:hint="eastAsia" w:hAnsi="宋体"/>
          <w:color w:val="auto"/>
          <w:sz w:val="24"/>
          <w:lang w:val="en-US" w:eastAsia="zh-CN"/>
        </w:rPr>
        <w:t>供应商</w:t>
      </w:r>
      <w:r>
        <w:rPr>
          <w:rFonts w:hint="eastAsia" w:hAnsi="宋体"/>
          <w:color w:val="auto"/>
          <w:sz w:val="24"/>
        </w:rPr>
        <w:t>参加</w:t>
      </w:r>
      <w:r>
        <w:rPr>
          <w:rFonts w:hint="eastAsia" w:ascii="宋体" w:hAnsi="宋体" w:cs="宋体"/>
          <w:color w:val="auto"/>
          <w:sz w:val="24"/>
        </w:rPr>
        <w:t>遴选</w:t>
      </w:r>
      <w:r>
        <w:rPr>
          <w:rFonts w:hint="eastAsia" w:hAnsi="宋体"/>
          <w:color w:val="auto"/>
          <w:sz w:val="24"/>
        </w:rPr>
        <w:t>。</w:t>
      </w:r>
    </w:p>
    <w:p w14:paraId="2018A1F5">
      <w:pPr>
        <w:widowControl/>
        <w:adjustRightInd w:val="0"/>
        <w:snapToGrid w:val="0"/>
        <w:spacing w:line="360" w:lineRule="auto"/>
        <w:ind w:firstLine="482" w:firstLineChars="200"/>
        <w:textAlignment w:val="top"/>
        <w:outlineLvl w:val="0"/>
        <w:rPr>
          <w:rFonts w:ascii="宋体" w:hAnsi="宋体"/>
          <w:b/>
          <w:color w:val="auto"/>
          <w:sz w:val="24"/>
        </w:rPr>
      </w:pPr>
      <w:r>
        <w:rPr>
          <w:rFonts w:hint="eastAsia" w:ascii="宋体" w:hAnsi="宋体"/>
          <w:b/>
          <w:color w:val="auto"/>
          <w:sz w:val="24"/>
        </w:rPr>
        <w:t>1.项目概况</w:t>
      </w:r>
    </w:p>
    <w:p w14:paraId="61D625AA">
      <w:pPr>
        <w:widowControl/>
        <w:adjustRightInd w:val="0"/>
        <w:snapToGrid w:val="0"/>
        <w:spacing w:line="360" w:lineRule="auto"/>
        <w:ind w:firstLine="480" w:firstLineChars="200"/>
        <w:textAlignment w:val="top"/>
        <w:rPr>
          <w:rFonts w:ascii="宋体" w:hAnsi="宋体"/>
          <w:color w:val="auto"/>
          <w:sz w:val="24"/>
        </w:rPr>
      </w:pPr>
      <w:r>
        <w:rPr>
          <w:rFonts w:hint="eastAsia" w:ascii="宋体" w:hAnsi="宋体"/>
          <w:color w:val="auto"/>
          <w:sz w:val="24"/>
        </w:rPr>
        <w:t>1.1 遴选项目名称：</w:t>
      </w:r>
      <w:r>
        <w:rPr>
          <w:rFonts w:hint="eastAsia" w:ascii="宋体" w:hAnsi="宋体"/>
          <w:color w:val="auto"/>
          <w:sz w:val="24"/>
          <w:lang w:eastAsia="zh-CN"/>
        </w:rPr>
        <w:t>娄底市中心医院</w:t>
      </w:r>
      <w:r>
        <w:rPr>
          <w:rFonts w:ascii="宋体" w:hAnsi="宋体"/>
          <w:color w:val="auto"/>
          <w:sz w:val="24"/>
        </w:rPr>
        <w:t>招标采购代理机构遴选项目</w:t>
      </w:r>
    </w:p>
    <w:p w14:paraId="77621575">
      <w:pPr>
        <w:widowControl/>
        <w:adjustRightInd w:val="0"/>
        <w:snapToGrid w:val="0"/>
        <w:spacing w:line="360" w:lineRule="auto"/>
        <w:ind w:firstLine="480" w:firstLineChars="200"/>
        <w:textAlignment w:val="top"/>
        <w:rPr>
          <w:rFonts w:ascii="宋体" w:hAnsi="宋体"/>
          <w:color w:val="auto"/>
          <w:sz w:val="24"/>
          <w:highlight w:val="none"/>
        </w:rPr>
      </w:pPr>
      <w:r>
        <w:rPr>
          <w:rFonts w:hint="eastAsia" w:ascii="宋体" w:hAnsi="宋体"/>
          <w:color w:val="auto"/>
          <w:sz w:val="24"/>
        </w:rPr>
        <w:t>1.2 遴选范围：</w:t>
      </w:r>
      <w:r>
        <w:rPr>
          <w:rFonts w:hint="eastAsia" w:ascii="宋体" w:hAnsi="宋体"/>
          <w:color w:val="auto"/>
          <w:sz w:val="24"/>
          <w:lang w:eastAsia="zh-CN"/>
        </w:rPr>
        <w:t>娄底市中心医院</w:t>
      </w:r>
      <w:r>
        <w:rPr>
          <w:rFonts w:hint="eastAsia" w:ascii="宋体" w:hAnsi="宋体"/>
          <w:color w:val="auto"/>
          <w:sz w:val="24"/>
        </w:rPr>
        <w:t>招标采购代理机构库，本次遴选共分</w:t>
      </w:r>
      <w:r>
        <w:rPr>
          <w:rFonts w:hint="eastAsia" w:ascii="宋体" w:hAnsi="宋体"/>
          <w:color w:val="auto"/>
          <w:sz w:val="24"/>
          <w:highlight w:val="none"/>
        </w:rPr>
        <w:t>为</w:t>
      </w:r>
      <w:r>
        <w:rPr>
          <w:rFonts w:hint="eastAsia" w:ascii="宋体" w:hAnsi="宋体"/>
          <w:color w:val="auto"/>
          <w:sz w:val="24"/>
          <w:highlight w:val="none"/>
          <w:lang w:val="en-US" w:eastAsia="zh-CN"/>
        </w:rPr>
        <w:t>两</w:t>
      </w:r>
      <w:r>
        <w:rPr>
          <w:rFonts w:hint="eastAsia" w:ascii="宋体" w:hAnsi="宋体"/>
          <w:color w:val="auto"/>
          <w:sz w:val="24"/>
          <w:highlight w:val="none"/>
        </w:rPr>
        <w:t>个包：</w:t>
      </w:r>
    </w:p>
    <w:tbl>
      <w:tblPr>
        <w:tblStyle w:val="21"/>
        <w:tblW w:w="9018" w:type="dxa"/>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802"/>
        <w:gridCol w:w="6667"/>
        <w:gridCol w:w="1549"/>
      </w:tblGrid>
      <w:tr w14:paraId="50958AB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60" w:hRule="atLeast"/>
          <w:jc w:val="center"/>
        </w:trPr>
        <w:tc>
          <w:tcPr>
            <w:tcW w:w="802" w:type="dxa"/>
            <w:tcBorders>
              <w:top w:val="single" w:color="auto" w:sz="4" w:space="0"/>
              <w:left w:val="single" w:color="auto" w:sz="4" w:space="0"/>
              <w:bottom w:val="single" w:color="auto" w:sz="4" w:space="0"/>
              <w:right w:val="single" w:color="auto" w:sz="4" w:space="0"/>
            </w:tcBorders>
            <w:vAlign w:val="center"/>
          </w:tcPr>
          <w:p w14:paraId="493D827B">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包名</w:t>
            </w:r>
          </w:p>
        </w:tc>
        <w:tc>
          <w:tcPr>
            <w:tcW w:w="6667" w:type="dxa"/>
            <w:tcBorders>
              <w:top w:val="single" w:color="auto" w:sz="4" w:space="0"/>
              <w:left w:val="single" w:color="auto" w:sz="4" w:space="0"/>
              <w:bottom w:val="single" w:color="auto" w:sz="4" w:space="0"/>
              <w:right w:val="single" w:color="auto" w:sz="4" w:space="0"/>
            </w:tcBorders>
            <w:vAlign w:val="center"/>
          </w:tcPr>
          <w:p w14:paraId="2761BA3F">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品目名称</w:t>
            </w:r>
          </w:p>
        </w:tc>
        <w:tc>
          <w:tcPr>
            <w:tcW w:w="1549" w:type="dxa"/>
            <w:tcBorders>
              <w:top w:val="single" w:color="auto" w:sz="4" w:space="0"/>
              <w:left w:val="single" w:color="auto" w:sz="4" w:space="0"/>
              <w:bottom w:val="single" w:color="auto" w:sz="4" w:space="0"/>
              <w:right w:val="single" w:color="auto" w:sz="4" w:space="0"/>
            </w:tcBorders>
            <w:vAlign w:val="center"/>
          </w:tcPr>
          <w:p w14:paraId="42906C9B">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拟</w:t>
            </w:r>
            <w:r>
              <w:rPr>
                <w:rFonts w:hint="eastAsia" w:ascii="宋体" w:hAnsi="宋体" w:cs="宋体"/>
                <w:color w:val="auto"/>
                <w:sz w:val="24"/>
                <w:highlight w:val="none"/>
                <w:lang w:eastAsia="zh-CN"/>
              </w:rPr>
              <w:t>入围</w:t>
            </w:r>
            <w:r>
              <w:rPr>
                <w:rFonts w:hint="eastAsia" w:ascii="宋体" w:hAnsi="宋体" w:cs="宋体"/>
                <w:color w:val="auto"/>
                <w:sz w:val="24"/>
                <w:highlight w:val="none"/>
              </w:rPr>
              <w:t>数量</w:t>
            </w:r>
          </w:p>
        </w:tc>
      </w:tr>
      <w:tr w14:paraId="756F737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92" w:hRule="atLeast"/>
          <w:jc w:val="center"/>
        </w:trPr>
        <w:tc>
          <w:tcPr>
            <w:tcW w:w="802" w:type="dxa"/>
            <w:tcBorders>
              <w:top w:val="single" w:color="auto" w:sz="4" w:space="0"/>
              <w:left w:val="single" w:color="auto" w:sz="4" w:space="0"/>
              <w:bottom w:val="single" w:color="auto" w:sz="4" w:space="0"/>
              <w:right w:val="single" w:color="auto" w:sz="4" w:space="0"/>
            </w:tcBorders>
            <w:vAlign w:val="center"/>
          </w:tcPr>
          <w:p w14:paraId="1203646C">
            <w:pPr>
              <w:adjustRightInd w:val="0"/>
              <w:snapToGrid w:val="0"/>
              <w:spacing w:line="360" w:lineRule="auto"/>
              <w:jc w:val="center"/>
              <w:rPr>
                <w:rFonts w:ascii="宋体" w:hAnsi="宋体" w:cs="宋体"/>
                <w:color w:val="auto"/>
                <w:sz w:val="24"/>
                <w:highlight w:val="none"/>
              </w:rPr>
            </w:pPr>
            <w:r>
              <w:rPr>
                <w:rFonts w:ascii="宋体" w:hAnsi="宋体" w:cs="宋体"/>
                <w:color w:val="auto"/>
                <w:sz w:val="24"/>
                <w:highlight w:val="none"/>
              </w:rPr>
              <w:t>1</w:t>
            </w:r>
          </w:p>
        </w:tc>
        <w:tc>
          <w:tcPr>
            <w:tcW w:w="6667" w:type="dxa"/>
            <w:tcBorders>
              <w:top w:val="single" w:color="auto" w:sz="4" w:space="0"/>
              <w:left w:val="single" w:color="auto" w:sz="4" w:space="0"/>
              <w:bottom w:val="single" w:color="auto" w:sz="4" w:space="0"/>
              <w:right w:val="single" w:color="auto" w:sz="4" w:space="0"/>
            </w:tcBorders>
            <w:vAlign w:val="center"/>
          </w:tcPr>
          <w:p w14:paraId="0885C946">
            <w:pPr>
              <w:adjustRightInd w:val="0"/>
              <w:snapToGrid w:val="0"/>
              <w:spacing w:line="360" w:lineRule="auto"/>
              <w:jc w:val="both"/>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代理机构库</w:t>
            </w:r>
            <w:r>
              <w:rPr>
                <w:rFonts w:hint="eastAsia" w:ascii="宋体" w:hAnsi="宋体" w:cs="宋体"/>
                <w:color w:val="auto"/>
                <w:sz w:val="24"/>
                <w:highlight w:val="none"/>
                <w:lang w:val="en-US" w:eastAsia="zh-CN"/>
              </w:rPr>
              <w:t>1</w:t>
            </w:r>
            <w:r>
              <w:rPr>
                <w:rFonts w:hint="eastAsia" w:ascii="宋体" w:hAnsi="宋体" w:cs="宋体"/>
                <w:color w:val="auto"/>
                <w:sz w:val="24"/>
                <w:highlight w:val="none"/>
              </w:rPr>
              <w:t>含货物</w:t>
            </w:r>
            <w:r>
              <w:rPr>
                <w:rFonts w:hint="eastAsia" w:ascii="宋体" w:hAnsi="宋体" w:cs="宋体"/>
                <w:color w:val="auto"/>
                <w:sz w:val="24"/>
                <w:highlight w:val="none"/>
                <w:lang w:eastAsia="zh-CN"/>
              </w:rPr>
              <w:t>（医疗器械）</w:t>
            </w:r>
            <w:r>
              <w:rPr>
                <w:rFonts w:hint="eastAsia" w:ascii="宋体" w:hAnsi="宋体" w:cs="宋体"/>
                <w:color w:val="auto"/>
                <w:sz w:val="24"/>
                <w:highlight w:val="none"/>
              </w:rPr>
              <w:t>、</w:t>
            </w:r>
            <w:r>
              <w:rPr>
                <w:rFonts w:hint="eastAsia" w:ascii="宋体" w:hAnsi="宋体" w:cs="宋体"/>
                <w:color w:val="auto"/>
                <w:sz w:val="24"/>
                <w:highlight w:val="none"/>
                <w:lang w:eastAsia="zh-CN"/>
              </w:rPr>
              <w:t>医用</w:t>
            </w:r>
            <w:r>
              <w:rPr>
                <w:rFonts w:hint="eastAsia" w:ascii="宋体" w:hAnsi="宋体" w:cs="宋体"/>
                <w:color w:val="auto"/>
                <w:sz w:val="24"/>
                <w:highlight w:val="none"/>
              </w:rPr>
              <w:t>试剂、</w:t>
            </w:r>
            <w:r>
              <w:rPr>
                <w:rFonts w:hint="eastAsia" w:ascii="宋体" w:hAnsi="宋体" w:cs="宋体"/>
                <w:color w:val="auto"/>
                <w:sz w:val="24"/>
                <w:highlight w:val="none"/>
                <w:lang w:eastAsia="zh-CN"/>
              </w:rPr>
              <w:t>医用</w:t>
            </w:r>
            <w:r>
              <w:rPr>
                <w:rFonts w:hint="eastAsia" w:ascii="宋体" w:hAnsi="宋体" w:cs="宋体"/>
                <w:color w:val="auto"/>
                <w:sz w:val="24"/>
                <w:highlight w:val="none"/>
              </w:rPr>
              <w:t>耗材项目招标</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采购）</w:t>
            </w:r>
          </w:p>
        </w:tc>
        <w:tc>
          <w:tcPr>
            <w:tcW w:w="1549" w:type="dxa"/>
            <w:tcBorders>
              <w:top w:val="single" w:color="auto" w:sz="4" w:space="0"/>
              <w:left w:val="single" w:color="auto" w:sz="4" w:space="0"/>
              <w:bottom w:val="single" w:color="auto" w:sz="4" w:space="0"/>
              <w:right w:val="single" w:color="auto" w:sz="4" w:space="0"/>
            </w:tcBorders>
            <w:vAlign w:val="center"/>
          </w:tcPr>
          <w:p w14:paraId="0D7EF7DC">
            <w:pPr>
              <w:adjustRightInd w:val="0"/>
              <w:snapToGrid w:val="0"/>
              <w:spacing w:line="360" w:lineRule="auto"/>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5</w:t>
            </w:r>
          </w:p>
        </w:tc>
      </w:tr>
      <w:tr w14:paraId="15A385EF">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92" w:hRule="atLeast"/>
          <w:jc w:val="center"/>
        </w:trPr>
        <w:tc>
          <w:tcPr>
            <w:tcW w:w="802" w:type="dxa"/>
            <w:tcBorders>
              <w:top w:val="single" w:color="auto" w:sz="4" w:space="0"/>
              <w:left w:val="single" w:color="auto" w:sz="4" w:space="0"/>
              <w:bottom w:val="single" w:color="auto" w:sz="4" w:space="0"/>
              <w:right w:val="single" w:color="auto" w:sz="4" w:space="0"/>
            </w:tcBorders>
            <w:vAlign w:val="center"/>
          </w:tcPr>
          <w:p w14:paraId="656D1EF2">
            <w:pPr>
              <w:adjustRightInd w:val="0"/>
              <w:snapToGrid w:val="0"/>
              <w:spacing w:line="360" w:lineRule="auto"/>
              <w:jc w:val="center"/>
              <w:rPr>
                <w:rFonts w:ascii="宋体" w:hAnsi="宋体" w:cs="宋体"/>
                <w:color w:val="auto"/>
                <w:sz w:val="24"/>
                <w:highlight w:val="none"/>
              </w:rPr>
            </w:pPr>
            <w:r>
              <w:rPr>
                <w:rFonts w:ascii="宋体" w:hAnsi="宋体" w:cs="宋体"/>
                <w:color w:val="auto"/>
                <w:sz w:val="24"/>
                <w:highlight w:val="none"/>
              </w:rPr>
              <w:t>2</w:t>
            </w:r>
          </w:p>
        </w:tc>
        <w:tc>
          <w:tcPr>
            <w:tcW w:w="6667" w:type="dxa"/>
            <w:tcBorders>
              <w:top w:val="single" w:color="auto" w:sz="4" w:space="0"/>
              <w:left w:val="single" w:color="auto" w:sz="4" w:space="0"/>
              <w:bottom w:val="single" w:color="auto" w:sz="4" w:space="0"/>
              <w:right w:val="single" w:color="auto" w:sz="4" w:space="0"/>
            </w:tcBorders>
            <w:vAlign w:val="center"/>
          </w:tcPr>
          <w:p w14:paraId="6E771DE3">
            <w:pPr>
              <w:adjustRightInd w:val="0"/>
              <w:snapToGrid w:val="0"/>
              <w:spacing w:line="360" w:lineRule="auto"/>
              <w:jc w:val="left"/>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代理机构库</w:t>
            </w:r>
            <w:r>
              <w:rPr>
                <w:rFonts w:hint="eastAsia" w:ascii="宋体" w:hAnsi="宋体" w:cs="宋体"/>
                <w:color w:val="auto"/>
                <w:sz w:val="24"/>
                <w:highlight w:val="none"/>
                <w:lang w:val="en-US" w:eastAsia="zh-CN"/>
              </w:rPr>
              <w:t>2</w:t>
            </w:r>
            <w:r>
              <w:rPr>
                <w:rFonts w:hint="eastAsia" w:ascii="宋体" w:hAnsi="宋体" w:cs="宋体"/>
                <w:color w:val="auto"/>
                <w:sz w:val="24"/>
                <w:highlight w:val="none"/>
                <w:lang w:eastAsia="zh-CN"/>
              </w:rPr>
              <w:t>含</w:t>
            </w:r>
            <w:r>
              <w:rPr>
                <w:rFonts w:hint="eastAsia" w:ascii="宋体" w:hAnsi="宋体" w:cs="宋体"/>
                <w:color w:val="auto"/>
                <w:sz w:val="24"/>
                <w:highlight w:val="none"/>
              </w:rPr>
              <w:t>货物</w:t>
            </w:r>
            <w:r>
              <w:rPr>
                <w:rFonts w:hint="eastAsia" w:ascii="宋体" w:hAnsi="宋体" w:cs="宋体"/>
                <w:color w:val="auto"/>
                <w:sz w:val="24"/>
                <w:highlight w:val="none"/>
                <w:lang w:eastAsia="zh-CN"/>
              </w:rPr>
              <w:t>（非医疗器械）</w:t>
            </w:r>
            <w:r>
              <w:rPr>
                <w:rFonts w:hint="eastAsia" w:ascii="宋体" w:hAnsi="宋体" w:cs="宋体"/>
                <w:color w:val="auto"/>
                <w:sz w:val="24"/>
                <w:highlight w:val="none"/>
              </w:rPr>
              <w:t>、服务</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工程项目招标</w:t>
            </w:r>
          </w:p>
        </w:tc>
        <w:tc>
          <w:tcPr>
            <w:tcW w:w="1549" w:type="dxa"/>
            <w:tcBorders>
              <w:top w:val="single" w:color="auto" w:sz="4" w:space="0"/>
              <w:left w:val="single" w:color="auto" w:sz="4" w:space="0"/>
              <w:bottom w:val="single" w:color="auto" w:sz="4" w:space="0"/>
              <w:right w:val="single" w:color="auto" w:sz="4" w:space="0"/>
            </w:tcBorders>
            <w:vAlign w:val="center"/>
          </w:tcPr>
          <w:p w14:paraId="3A118B6B">
            <w:pPr>
              <w:adjustRightInd w:val="0"/>
              <w:snapToGrid w:val="0"/>
              <w:spacing w:line="360" w:lineRule="auto"/>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5</w:t>
            </w:r>
          </w:p>
        </w:tc>
      </w:tr>
      <w:tr w14:paraId="5EB27F6D">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82" w:hRule="atLeast"/>
          <w:jc w:val="center"/>
        </w:trPr>
        <w:tc>
          <w:tcPr>
            <w:tcW w:w="9018" w:type="dxa"/>
            <w:gridSpan w:val="3"/>
            <w:tcBorders>
              <w:top w:val="single" w:color="auto" w:sz="4" w:space="0"/>
              <w:left w:val="single" w:color="auto" w:sz="4" w:space="0"/>
              <w:bottom w:val="single" w:color="auto" w:sz="4" w:space="0"/>
              <w:right w:val="single" w:color="auto" w:sz="4" w:space="0"/>
            </w:tcBorders>
            <w:vAlign w:val="center"/>
          </w:tcPr>
          <w:p w14:paraId="600566EC">
            <w:pPr>
              <w:adjustRightInd w:val="0"/>
              <w:snapToGrid w:val="0"/>
              <w:spacing w:line="360" w:lineRule="auto"/>
              <w:rPr>
                <w:rFonts w:hint="default" w:ascii="宋体" w:hAnsi="宋体" w:eastAsia="宋体" w:cs="宋体"/>
                <w:color w:val="auto"/>
                <w:sz w:val="24"/>
                <w:lang w:val="en-US" w:eastAsia="zh-CN"/>
              </w:rPr>
            </w:pPr>
            <w:r>
              <w:rPr>
                <w:rFonts w:hint="eastAsia" w:ascii="宋体" w:hAnsi="宋体" w:cs="宋体"/>
                <w:color w:val="auto"/>
                <w:sz w:val="24"/>
              </w:rPr>
              <w:t>说明：①每个</w:t>
            </w:r>
            <w:r>
              <w:rPr>
                <w:rFonts w:hint="eastAsia" w:ascii="宋体" w:hAnsi="宋体" w:cs="宋体"/>
                <w:color w:val="auto"/>
                <w:sz w:val="24"/>
                <w:lang w:eastAsia="zh-CN"/>
              </w:rPr>
              <w:t>供应商</w:t>
            </w:r>
            <w:r>
              <w:rPr>
                <w:rFonts w:hint="eastAsia" w:ascii="宋体" w:hAnsi="宋体" w:cs="宋体"/>
                <w:color w:val="auto"/>
                <w:sz w:val="24"/>
              </w:rPr>
              <w:t>只可参加其中一个代理类别的遴选</w:t>
            </w:r>
          </w:p>
        </w:tc>
      </w:tr>
    </w:tbl>
    <w:p w14:paraId="1C674C0B">
      <w:pPr>
        <w:widowControl/>
        <w:adjustRightInd w:val="0"/>
        <w:snapToGrid w:val="0"/>
        <w:spacing w:line="360" w:lineRule="auto"/>
        <w:ind w:firstLine="480" w:firstLineChars="200"/>
        <w:jc w:val="left"/>
        <w:textAlignment w:val="top"/>
        <w:rPr>
          <w:rFonts w:hint="default" w:ascii="宋体" w:hAnsi="宋体" w:eastAsia="宋体"/>
          <w:color w:val="auto"/>
          <w:sz w:val="24"/>
          <w:lang w:val="en-US" w:eastAsia="zh-CN"/>
        </w:rPr>
      </w:pPr>
      <w:r>
        <w:rPr>
          <w:rFonts w:hint="eastAsia" w:ascii="宋体" w:hAnsi="宋体"/>
          <w:color w:val="auto"/>
          <w:sz w:val="24"/>
        </w:rPr>
        <w:t>1.3服务期限：</w:t>
      </w:r>
      <w:r>
        <w:rPr>
          <w:rFonts w:ascii="宋体" w:hAnsi="宋体"/>
          <w:color w:val="auto"/>
          <w:sz w:val="24"/>
        </w:rPr>
        <w:t>3</w:t>
      </w:r>
      <w:r>
        <w:rPr>
          <w:rFonts w:hint="eastAsia" w:ascii="宋体" w:hAnsi="宋体"/>
          <w:color w:val="auto"/>
          <w:sz w:val="24"/>
        </w:rPr>
        <w:t>年（</w:t>
      </w:r>
      <w:r>
        <w:rPr>
          <w:rFonts w:hint="eastAsia" w:ascii="宋体" w:hAnsi="宋体"/>
          <w:color w:val="auto"/>
          <w:sz w:val="24"/>
          <w:lang w:val="en-US" w:eastAsia="zh-CN"/>
        </w:rPr>
        <w:t>起止时间以正式签订</w:t>
      </w:r>
      <w:r>
        <w:rPr>
          <w:rFonts w:hint="eastAsia" w:ascii="宋体" w:hAnsi="宋体"/>
          <w:color w:val="auto"/>
          <w:sz w:val="24"/>
        </w:rPr>
        <w:t>合同</w:t>
      </w:r>
      <w:r>
        <w:rPr>
          <w:rFonts w:hint="eastAsia" w:ascii="宋体" w:hAnsi="宋体"/>
          <w:color w:val="auto"/>
          <w:sz w:val="24"/>
          <w:lang w:val="en-US" w:eastAsia="zh-CN"/>
        </w:rPr>
        <w:t>约定的时间为准</w:t>
      </w:r>
      <w:r>
        <w:rPr>
          <w:rFonts w:hint="eastAsia" w:ascii="宋体" w:hAnsi="宋体"/>
          <w:color w:val="auto"/>
          <w:sz w:val="24"/>
        </w:rPr>
        <w:t>）。若</w:t>
      </w:r>
      <w:r>
        <w:rPr>
          <w:rFonts w:hint="default" w:ascii="宋体" w:hAnsi="宋体"/>
          <w:color w:val="auto"/>
          <w:sz w:val="24"/>
          <w:lang w:val="en-US" w:eastAsia="zh-CN"/>
        </w:rPr>
        <w:t>国家法律法规或省级以上行政主管部门政策调整</w:t>
      </w:r>
      <w:r>
        <w:rPr>
          <w:rFonts w:hint="eastAsia" w:ascii="宋体" w:hAnsi="宋体"/>
          <w:color w:val="auto"/>
          <w:sz w:val="24"/>
          <w:lang w:val="en-US" w:eastAsia="zh-CN"/>
        </w:rPr>
        <w:t>或采购人招标办职能调整</w:t>
      </w:r>
      <w:r>
        <w:rPr>
          <w:rFonts w:hint="default" w:ascii="宋体" w:hAnsi="宋体"/>
          <w:color w:val="auto"/>
          <w:sz w:val="24"/>
          <w:lang w:val="en-US" w:eastAsia="zh-CN"/>
        </w:rPr>
        <w:t>导致本项目无法继续履行的</w:t>
      </w:r>
      <w:r>
        <w:rPr>
          <w:rFonts w:hint="eastAsia" w:ascii="宋体" w:hAnsi="宋体"/>
          <w:color w:val="auto"/>
          <w:sz w:val="24"/>
          <w:lang w:val="en-US" w:eastAsia="zh-CN"/>
        </w:rPr>
        <w:t>，</w:t>
      </w:r>
      <w:r>
        <w:rPr>
          <w:rFonts w:hint="eastAsia" w:ascii="宋体" w:hAnsi="宋体"/>
          <w:color w:val="auto"/>
          <w:kern w:val="0"/>
          <w:sz w:val="24"/>
          <w:lang w:eastAsia="zh-CN"/>
        </w:rPr>
        <w:t>采购人</w:t>
      </w:r>
      <w:r>
        <w:rPr>
          <w:rFonts w:hint="eastAsia" w:ascii="宋体" w:hAnsi="宋体"/>
          <w:color w:val="auto"/>
          <w:kern w:val="0"/>
          <w:sz w:val="24"/>
          <w:lang w:val="en-US" w:eastAsia="zh-CN"/>
        </w:rPr>
        <w:t>可单方解除合同。</w:t>
      </w:r>
    </w:p>
    <w:p w14:paraId="3D589088">
      <w:pPr>
        <w:widowControl/>
        <w:adjustRightInd w:val="0"/>
        <w:snapToGrid w:val="0"/>
        <w:spacing w:line="360" w:lineRule="auto"/>
        <w:ind w:firstLine="480" w:firstLineChars="200"/>
        <w:jc w:val="left"/>
        <w:textAlignment w:val="top"/>
        <w:rPr>
          <w:rFonts w:ascii="宋体" w:hAnsi="宋体"/>
          <w:color w:val="auto"/>
          <w:sz w:val="24"/>
        </w:rPr>
      </w:pPr>
      <w:r>
        <w:rPr>
          <w:rFonts w:hint="eastAsia" w:ascii="宋体" w:hAnsi="宋体"/>
          <w:color w:val="auto"/>
          <w:sz w:val="24"/>
        </w:rPr>
        <w:t>1.4遴选办法：综合评分法。</w:t>
      </w:r>
    </w:p>
    <w:p w14:paraId="52CDB41E">
      <w:pPr>
        <w:widowControl/>
        <w:adjustRightInd w:val="0"/>
        <w:snapToGrid w:val="0"/>
        <w:spacing w:line="360" w:lineRule="auto"/>
        <w:ind w:firstLine="480" w:firstLineChars="200"/>
        <w:jc w:val="left"/>
        <w:textAlignment w:val="top"/>
        <w:rPr>
          <w:rFonts w:ascii="宋体" w:hAnsi="宋体"/>
          <w:color w:val="auto"/>
          <w:sz w:val="24"/>
        </w:rPr>
      </w:pPr>
      <w:r>
        <w:rPr>
          <w:rFonts w:hint="eastAsia" w:ascii="宋体" w:hAnsi="宋体"/>
          <w:color w:val="auto"/>
          <w:sz w:val="24"/>
        </w:rPr>
        <w:t>1.5质量要求：符合国家招标代理相关标准。</w:t>
      </w:r>
      <w:r>
        <w:rPr>
          <w:rFonts w:hint="eastAsia" w:ascii="宋体" w:hAnsi="宋体"/>
          <w:color w:val="auto"/>
          <w:sz w:val="24"/>
          <w:lang w:eastAsia="zh-CN"/>
        </w:rPr>
        <w:t>采购人</w:t>
      </w:r>
      <w:r>
        <w:rPr>
          <w:rFonts w:hint="eastAsia" w:ascii="宋体" w:hAnsi="宋体"/>
          <w:color w:val="auto"/>
          <w:sz w:val="24"/>
        </w:rPr>
        <w:t>发现</w:t>
      </w:r>
      <w:r>
        <w:rPr>
          <w:rFonts w:hint="eastAsia" w:ascii="宋体" w:hAnsi="宋体"/>
          <w:color w:val="auto"/>
          <w:sz w:val="24"/>
          <w:lang w:eastAsia="zh-CN"/>
        </w:rPr>
        <w:t>供应商</w:t>
      </w:r>
      <w:r>
        <w:rPr>
          <w:rFonts w:hint="eastAsia" w:ascii="宋体" w:hAnsi="宋体"/>
          <w:color w:val="auto"/>
          <w:sz w:val="24"/>
        </w:rPr>
        <w:t>有造假行为，将取消</w:t>
      </w:r>
      <w:r>
        <w:rPr>
          <w:rFonts w:hint="eastAsia" w:ascii="宋体" w:hAnsi="宋体"/>
          <w:color w:val="auto"/>
          <w:sz w:val="24"/>
          <w:lang w:eastAsia="zh-CN"/>
        </w:rPr>
        <w:t>供应商</w:t>
      </w:r>
      <w:r>
        <w:rPr>
          <w:rFonts w:hint="eastAsia" w:ascii="宋体" w:hAnsi="宋体"/>
          <w:color w:val="auto"/>
          <w:sz w:val="24"/>
        </w:rPr>
        <w:t>的入库资格。</w:t>
      </w:r>
    </w:p>
    <w:p w14:paraId="2327B30D">
      <w:pPr>
        <w:widowControl/>
        <w:adjustRightInd w:val="0"/>
        <w:snapToGrid w:val="0"/>
        <w:spacing w:line="360" w:lineRule="auto"/>
        <w:ind w:firstLine="482" w:firstLineChars="200"/>
        <w:jc w:val="left"/>
        <w:textAlignment w:val="top"/>
        <w:outlineLvl w:val="0"/>
        <w:rPr>
          <w:rFonts w:ascii="宋体" w:hAnsi="宋体"/>
          <w:b/>
          <w:color w:val="auto"/>
          <w:sz w:val="24"/>
        </w:rPr>
      </w:pPr>
      <w:r>
        <w:rPr>
          <w:rFonts w:hint="eastAsia" w:ascii="宋体" w:hAnsi="宋体"/>
          <w:b/>
          <w:color w:val="auto"/>
          <w:sz w:val="24"/>
        </w:rPr>
        <w:t xml:space="preserve">2. </w:t>
      </w:r>
      <w:r>
        <w:rPr>
          <w:rFonts w:hint="eastAsia" w:ascii="宋体" w:hAnsi="宋体"/>
          <w:b/>
          <w:color w:val="auto"/>
          <w:sz w:val="24"/>
          <w:lang w:eastAsia="zh-CN"/>
        </w:rPr>
        <w:t>供应商</w:t>
      </w:r>
      <w:r>
        <w:rPr>
          <w:rFonts w:hint="eastAsia" w:ascii="宋体" w:hAnsi="宋体"/>
          <w:b/>
          <w:color w:val="auto"/>
          <w:sz w:val="24"/>
        </w:rPr>
        <w:t>资格要求</w:t>
      </w:r>
    </w:p>
    <w:p w14:paraId="1D967DBF">
      <w:pPr>
        <w:widowControl/>
        <w:adjustRightInd w:val="0"/>
        <w:snapToGrid w:val="0"/>
        <w:spacing w:line="360" w:lineRule="auto"/>
        <w:ind w:firstLine="482" w:firstLineChars="200"/>
        <w:jc w:val="left"/>
        <w:textAlignment w:val="top"/>
        <w:rPr>
          <w:rFonts w:ascii="宋体" w:hAnsi="宋体"/>
          <w:b/>
          <w:color w:val="auto"/>
          <w:sz w:val="24"/>
        </w:rPr>
      </w:pPr>
      <w:r>
        <w:rPr>
          <w:rFonts w:hint="eastAsia" w:ascii="宋体" w:hAnsi="宋体"/>
          <w:b/>
          <w:color w:val="auto"/>
          <w:sz w:val="24"/>
        </w:rPr>
        <w:t>2.1 第一包</w:t>
      </w:r>
      <w:r>
        <w:rPr>
          <w:rFonts w:hint="eastAsia" w:ascii="宋体" w:hAnsi="宋体"/>
          <w:b/>
          <w:color w:val="auto"/>
          <w:sz w:val="24"/>
          <w:lang w:eastAsia="zh-CN"/>
        </w:rPr>
        <w:t>供应商</w:t>
      </w:r>
      <w:r>
        <w:rPr>
          <w:rFonts w:hint="eastAsia" w:ascii="宋体" w:hAnsi="宋体"/>
          <w:b/>
          <w:color w:val="auto"/>
          <w:sz w:val="24"/>
        </w:rPr>
        <w:t>资格要求：</w:t>
      </w:r>
    </w:p>
    <w:p w14:paraId="32CD3D79">
      <w:pPr>
        <w:widowControl/>
        <w:adjustRightInd w:val="0"/>
        <w:snapToGrid w:val="0"/>
        <w:spacing w:line="360" w:lineRule="auto"/>
        <w:ind w:firstLine="480" w:firstLineChars="200"/>
        <w:jc w:val="left"/>
        <w:textAlignment w:val="top"/>
        <w:rPr>
          <w:rFonts w:ascii="宋体" w:hAnsi="宋体"/>
          <w:color w:val="auto"/>
          <w:sz w:val="24"/>
        </w:rPr>
      </w:pPr>
      <w:r>
        <w:rPr>
          <w:rFonts w:hint="eastAsia" w:ascii="宋体" w:hAnsi="宋体"/>
          <w:color w:val="auto"/>
          <w:sz w:val="24"/>
        </w:rPr>
        <w:t>2.1.1</w:t>
      </w:r>
      <w:r>
        <w:rPr>
          <w:rFonts w:hint="eastAsia" w:ascii="宋体" w:hAnsi="宋体"/>
          <w:color w:val="auto"/>
          <w:sz w:val="24"/>
          <w:lang w:eastAsia="zh-CN"/>
        </w:rPr>
        <w:t>供应商</w:t>
      </w:r>
      <w:r>
        <w:rPr>
          <w:rFonts w:hint="eastAsia" w:ascii="宋体" w:hAnsi="宋体"/>
          <w:color w:val="auto"/>
          <w:sz w:val="24"/>
        </w:rPr>
        <w:t>具有中华人民共和国独立法人资格，具有独立履约能力，经政府主管部门批准，依法登记设立</w:t>
      </w:r>
      <w:r>
        <w:rPr>
          <w:rFonts w:hint="eastAsia" w:ascii="宋体" w:hAnsi="宋体"/>
          <w:color w:val="auto"/>
          <w:sz w:val="24"/>
          <w:lang w:eastAsia="zh-CN"/>
        </w:rPr>
        <w:t>，</w:t>
      </w:r>
      <w:r>
        <w:rPr>
          <w:rFonts w:hint="eastAsia" w:ascii="宋体" w:hAnsi="宋体"/>
          <w:color w:val="auto"/>
          <w:sz w:val="24"/>
        </w:rPr>
        <w:t>营业执照处于有效期,且营业执照的经营范围具备</w:t>
      </w:r>
      <w:r>
        <w:rPr>
          <w:rFonts w:hint="eastAsia" w:ascii="宋体" w:hAnsi="宋体"/>
          <w:color w:val="auto"/>
          <w:sz w:val="24"/>
          <w:lang w:eastAsia="zh-CN"/>
        </w:rPr>
        <w:t>相对应</w:t>
      </w:r>
      <w:r>
        <w:rPr>
          <w:rFonts w:hint="eastAsia" w:ascii="宋体" w:hAnsi="宋体"/>
          <w:color w:val="auto"/>
          <w:sz w:val="24"/>
        </w:rPr>
        <w:t>招标代理业务的企业；</w:t>
      </w:r>
    </w:p>
    <w:p w14:paraId="1B999691">
      <w:pPr>
        <w:widowControl/>
        <w:adjustRightInd w:val="0"/>
        <w:snapToGrid w:val="0"/>
        <w:spacing w:line="360" w:lineRule="auto"/>
        <w:ind w:firstLine="480" w:firstLineChars="200"/>
        <w:textAlignment w:val="top"/>
        <w:rPr>
          <w:rFonts w:ascii="宋体" w:hAnsi="宋体"/>
          <w:color w:val="auto"/>
          <w:sz w:val="24"/>
        </w:rPr>
      </w:pPr>
      <w:r>
        <w:rPr>
          <w:rFonts w:hint="eastAsia" w:ascii="宋体" w:hAnsi="宋体"/>
          <w:color w:val="auto"/>
          <w:sz w:val="24"/>
        </w:rPr>
        <w:t>2.1.2</w:t>
      </w:r>
      <w:r>
        <w:rPr>
          <w:rFonts w:hint="eastAsia" w:ascii="宋体" w:hAnsi="宋体"/>
          <w:color w:val="auto"/>
          <w:sz w:val="24"/>
          <w:lang w:eastAsia="zh-CN"/>
        </w:rPr>
        <w:t>供应商</w:t>
      </w:r>
      <w:r>
        <w:rPr>
          <w:rFonts w:hint="eastAsia" w:ascii="宋体" w:hAnsi="宋体"/>
          <w:color w:val="auto"/>
          <w:sz w:val="24"/>
        </w:rPr>
        <w:t>在中华人民共和国财政部或湖南省财政厅网上成功注册（备案）、</w:t>
      </w:r>
      <w:r>
        <w:rPr>
          <w:rFonts w:hint="eastAsia" w:ascii="宋体" w:hAnsi="宋体"/>
          <w:color w:val="auto"/>
          <w:sz w:val="24"/>
          <w:lang w:eastAsia="zh-CN"/>
        </w:rPr>
        <w:t>娄底市公共资源交易中心</w:t>
      </w:r>
      <w:r>
        <w:rPr>
          <w:rFonts w:hint="eastAsia" w:ascii="宋体" w:hAnsi="宋体"/>
          <w:color w:val="auto"/>
          <w:sz w:val="24"/>
        </w:rPr>
        <w:t>备案提供网站查询结果；</w:t>
      </w:r>
    </w:p>
    <w:p w14:paraId="0F5E27DE">
      <w:pPr>
        <w:widowControl/>
        <w:adjustRightInd w:val="0"/>
        <w:snapToGrid w:val="0"/>
        <w:spacing w:line="360" w:lineRule="auto"/>
        <w:ind w:firstLine="480" w:firstLineChars="200"/>
        <w:textAlignment w:val="top"/>
        <w:rPr>
          <w:rFonts w:hint="eastAsia" w:ascii="宋体" w:hAnsi="宋体"/>
          <w:color w:val="auto"/>
          <w:sz w:val="24"/>
        </w:rPr>
      </w:pPr>
      <w:r>
        <w:rPr>
          <w:rFonts w:hint="eastAsia" w:ascii="宋体" w:hAnsi="宋体"/>
          <w:color w:val="auto"/>
          <w:sz w:val="24"/>
        </w:rPr>
        <w:t>2.1.3具有投资参股关系的关联企业，或具有直接管理和被管理关系的母子公司，或法定代表人为同一人</w:t>
      </w:r>
      <w:r>
        <w:rPr>
          <w:rFonts w:hint="eastAsia" w:ascii="宋体" w:hAnsi="宋体"/>
          <w:color w:val="auto"/>
          <w:sz w:val="24"/>
          <w:lang w:val="en-US" w:eastAsia="zh-CN"/>
        </w:rPr>
        <w:t>的</w:t>
      </w:r>
      <w:r>
        <w:rPr>
          <w:rFonts w:hint="eastAsia" w:ascii="宋体" w:hAnsi="宋体"/>
          <w:color w:val="auto"/>
          <w:sz w:val="24"/>
        </w:rPr>
        <w:t>两个及两个以上法人不得同时</w:t>
      </w:r>
      <w:r>
        <w:rPr>
          <w:rFonts w:hint="eastAsia" w:ascii="宋体" w:hAnsi="宋体"/>
          <w:color w:val="auto"/>
          <w:sz w:val="24"/>
          <w:lang w:val="en-US" w:eastAsia="zh-CN"/>
        </w:rPr>
        <w:t>参与</w:t>
      </w:r>
      <w:r>
        <w:rPr>
          <w:rFonts w:hint="eastAsia" w:ascii="宋体" w:hAnsi="宋体"/>
          <w:color w:val="auto"/>
          <w:sz w:val="24"/>
        </w:rPr>
        <w:t>该项目遴选；</w:t>
      </w:r>
    </w:p>
    <w:p w14:paraId="5C97E7FD">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right="0" w:firstLine="480" w:firstLineChars="200"/>
        <w:jc w:val="both"/>
        <w:textAlignment w:val="baseline"/>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2.1.4具有依法缴纳税收和社会保障资金的良好记录（提供湖南省供应商承诺函）。</w:t>
      </w:r>
    </w:p>
    <w:p w14:paraId="01AF11DE">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top"/>
        <w:rPr>
          <w:rFonts w:ascii="宋体" w:hAnsi="宋体"/>
          <w:color w:val="auto"/>
          <w:sz w:val="24"/>
        </w:rPr>
      </w:pPr>
      <w:r>
        <w:rPr>
          <w:rFonts w:ascii="宋体" w:hAnsi="宋体"/>
          <w:color w:val="auto"/>
          <w:sz w:val="24"/>
        </w:rPr>
        <w:t>2</w:t>
      </w:r>
      <w:r>
        <w:rPr>
          <w:rFonts w:hint="eastAsia" w:ascii="宋体" w:hAnsi="宋体"/>
          <w:color w:val="auto"/>
          <w:sz w:val="24"/>
        </w:rPr>
        <w:t>.</w:t>
      </w:r>
      <w:r>
        <w:rPr>
          <w:rFonts w:ascii="宋体" w:hAnsi="宋体"/>
          <w:color w:val="auto"/>
          <w:sz w:val="24"/>
        </w:rPr>
        <w:t>1</w:t>
      </w:r>
      <w:r>
        <w:rPr>
          <w:rFonts w:hint="eastAsia" w:ascii="宋体" w:hAnsi="宋体"/>
          <w:color w:val="auto"/>
          <w:sz w:val="24"/>
        </w:rPr>
        <w:t>.</w:t>
      </w:r>
      <w:r>
        <w:rPr>
          <w:rFonts w:hint="eastAsia" w:ascii="宋体" w:hAnsi="宋体"/>
          <w:color w:val="auto"/>
          <w:sz w:val="24"/>
          <w:lang w:val="en-US" w:eastAsia="zh-CN"/>
        </w:rPr>
        <w:t>5</w:t>
      </w:r>
      <w:r>
        <w:rPr>
          <w:rFonts w:hint="eastAsia" w:ascii="宋体" w:hAnsi="宋体"/>
          <w:color w:val="auto"/>
          <w:sz w:val="24"/>
        </w:rPr>
        <w:t>在国家企业信用信息公示系统（http://www.gsxt.gov.cn/）中被列入严重违法失信企业名单的</w:t>
      </w:r>
      <w:r>
        <w:rPr>
          <w:rFonts w:hint="eastAsia" w:ascii="宋体" w:hAnsi="宋体"/>
          <w:color w:val="auto"/>
          <w:sz w:val="24"/>
          <w:lang w:eastAsia="zh-CN"/>
        </w:rPr>
        <w:t>供应商</w:t>
      </w:r>
      <w:r>
        <w:rPr>
          <w:rFonts w:hint="eastAsia" w:ascii="宋体" w:hAnsi="宋体"/>
          <w:color w:val="auto"/>
          <w:sz w:val="24"/>
        </w:rPr>
        <w:t>或在“信用中国”网站（http://www.creditchina.gov.cn/）中被列入失信被执行人名单的</w:t>
      </w:r>
      <w:r>
        <w:rPr>
          <w:rFonts w:hint="eastAsia" w:ascii="宋体" w:hAnsi="宋体"/>
          <w:color w:val="auto"/>
          <w:sz w:val="24"/>
          <w:lang w:eastAsia="zh-CN"/>
        </w:rPr>
        <w:t>供应商</w:t>
      </w:r>
      <w:r>
        <w:rPr>
          <w:rFonts w:hint="eastAsia" w:ascii="宋体" w:hAnsi="宋体"/>
          <w:color w:val="auto"/>
          <w:sz w:val="24"/>
        </w:rPr>
        <w:t>，不得参</w:t>
      </w:r>
      <w:r>
        <w:rPr>
          <w:rFonts w:hint="eastAsia" w:ascii="宋体" w:hAnsi="宋体"/>
          <w:color w:val="auto"/>
          <w:sz w:val="24"/>
          <w:lang w:val="en-US" w:eastAsia="zh-CN"/>
        </w:rPr>
        <w:t>与</w:t>
      </w:r>
      <w:r>
        <w:rPr>
          <w:rFonts w:hint="eastAsia" w:ascii="宋体" w:hAnsi="宋体"/>
          <w:color w:val="auto"/>
          <w:sz w:val="24"/>
        </w:rPr>
        <w:t>本项目遴选；</w:t>
      </w:r>
    </w:p>
    <w:p w14:paraId="3254F799">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top"/>
        <w:rPr>
          <w:rFonts w:ascii="宋体" w:hAnsi="宋体"/>
          <w:color w:val="auto"/>
          <w:sz w:val="24"/>
        </w:rPr>
      </w:pPr>
      <w:r>
        <w:rPr>
          <w:rFonts w:hint="eastAsia" w:ascii="宋体" w:hAnsi="宋体"/>
          <w:color w:val="auto"/>
          <w:sz w:val="24"/>
        </w:rPr>
        <w:t>2.1.</w:t>
      </w:r>
      <w:r>
        <w:rPr>
          <w:rFonts w:hint="eastAsia" w:ascii="宋体" w:hAnsi="宋体"/>
          <w:color w:val="auto"/>
          <w:sz w:val="24"/>
          <w:lang w:val="en-US" w:eastAsia="zh-CN"/>
        </w:rPr>
        <w:t>6</w:t>
      </w:r>
      <w:r>
        <w:rPr>
          <w:rFonts w:hint="eastAsia" w:ascii="宋体" w:hAnsi="宋体"/>
          <w:color w:val="auto"/>
          <w:sz w:val="24"/>
        </w:rPr>
        <w:t>本项目不接受联合体遴选。</w:t>
      </w:r>
    </w:p>
    <w:p w14:paraId="01C8E70D">
      <w:pPr>
        <w:widowControl/>
        <w:adjustRightInd w:val="0"/>
        <w:snapToGrid w:val="0"/>
        <w:spacing w:line="360" w:lineRule="auto"/>
        <w:ind w:firstLine="482" w:firstLineChars="200"/>
        <w:jc w:val="left"/>
        <w:textAlignment w:val="top"/>
        <w:rPr>
          <w:rFonts w:ascii="宋体" w:hAnsi="宋体"/>
          <w:b/>
          <w:color w:val="auto"/>
          <w:sz w:val="24"/>
        </w:rPr>
      </w:pPr>
      <w:r>
        <w:rPr>
          <w:rFonts w:hint="eastAsia" w:ascii="宋体" w:hAnsi="宋体"/>
          <w:b/>
          <w:color w:val="auto"/>
          <w:sz w:val="24"/>
        </w:rPr>
        <w:t>2.2第二包</w:t>
      </w:r>
      <w:r>
        <w:rPr>
          <w:rFonts w:hint="eastAsia" w:ascii="宋体" w:hAnsi="宋体"/>
          <w:b/>
          <w:color w:val="auto"/>
          <w:sz w:val="24"/>
          <w:lang w:eastAsia="zh-CN"/>
        </w:rPr>
        <w:t>供应商</w:t>
      </w:r>
      <w:r>
        <w:rPr>
          <w:rFonts w:hint="eastAsia" w:ascii="宋体" w:hAnsi="宋体"/>
          <w:b/>
          <w:color w:val="auto"/>
          <w:sz w:val="24"/>
        </w:rPr>
        <w:t>资格要求：</w:t>
      </w:r>
    </w:p>
    <w:p w14:paraId="2FA71CC8">
      <w:pPr>
        <w:widowControl/>
        <w:adjustRightInd w:val="0"/>
        <w:snapToGrid w:val="0"/>
        <w:spacing w:line="360" w:lineRule="auto"/>
        <w:ind w:firstLine="480" w:firstLineChars="200"/>
        <w:jc w:val="left"/>
        <w:textAlignment w:val="top"/>
        <w:rPr>
          <w:rFonts w:ascii="宋体" w:hAnsi="宋体"/>
          <w:color w:val="auto"/>
          <w:sz w:val="24"/>
        </w:rPr>
      </w:pPr>
      <w:r>
        <w:rPr>
          <w:rFonts w:hint="eastAsia" w:ascii="宋体" w:hAnsi="宋体"/>
          <w:color w:val="auto"/>
          <w:sz w:val="24"/>
        </w:rPr>
        <w:t>2.2.1</w:t>
      </w:r>
      <w:r>
        <w:rPr>
          <w:rFonts w:hint="eastAsia" w:ascii="宋体" w:hAnsi="宋体"/>
          <w:color w:val="auto"/>
          <w:sz w:val="24"/>
          <w:lang w:eastAsia="zh-CN"/>
        </w:rPr>
        <w:t>供应商</w:t>
      </w:r>
      <w:r>
        <w:rPr>
          <w:rFonts w:hint="eastAsia" w:ascii="宋体" w:hAnsi="宋体"/>
          <w:color w:val="auto"/>
          <w:sz w:val="24"/>
        </w:rPr>
        <w:t>具有中华人民共和国独立法人资格，具有独立履约能力，经政府主管部门批准，依法登记设立，营业执照处于有效期，且营业执照的经营范围具备</w:t>
      </w:r>
      <w:r>
        <w:rPr>
          <w:rFonts w:hint="eastAsia" w:ascii="宋体" w:hAnsi="宋体"/>
          <w:color w:val="auto"/>
          <w:sz w:val="24"/>
          <w:lang w:eastAsia="zh-CN"/>
        </w:rPr>
        <w:t>相对应</w:t>
      </w:r>
      <w:r>
        <w:rPr>
          <w:rFonts w:hint="eastAsia" w:ascii="宋体" w:hAnsi="宋体"/>
          <w:color w:val="auto"/>
          <w:sz w:val="24"/>
        </w:rPr>
        <w:t>招标代理业务的企业；</w:t>
      </w:r>
    </w:p>
    <w:p w14:paraId="1AF07C62">
      <w:pPr>
        <w:widowControl/>
        <w:adjustRightInd w:val="0"/>
        <w:snapToGrid w:val="0"/>
        <w:spacing w:line="360" w:lineRule="auto"/>
        <w:ind w:firstLine="480" w:firstLineChars="200"/>
        <w:textAlignment w:val="top"/>
        <w:rPr>
          <w:rFonts w:ascii="宋体" w:hAnsi="宋体"/>
          <w:color w:val="auto"/>
          <w:sz w:val="24"/>
        </w:rPr>
      </w:pPr>
      <w:r>
        <w:rPr>
          <w:rFonts w:hint="eastAsia" w:ascii="宋体" w:hAnsi="宋体"/>
          <w:color w:val="auto"/>
          <w:sz w:val="24"/>
        </w:rPr>
        <w:t>2.2.2</w:t>
      </w:r>
      <w:r>
        <w:rPr>
          <w:rFonts w:hint="eastAsia" w:ascii="宋体" w:hAnsi="宋体"/>
          <w:color w:val="auto"/>
          <w:sz w:val="24"/>
          <w:lang w:eastAsia="zh-CN"/>
        </w:rPr>
        <w:t>供应商</w:t>
      </w:r>
      <w:r>
        <w:rPr>
          <w:rFonts w:hint="eastAsia" w:ascii="宋体" w:hAnsi="宋体"/>
          <w:color w:val="auto"/>
          <w:sz w:val="24"/>
        </w:rPr>
        <w:t>在中华人民共和国财政部或湖南省财政厅网上成功注册（备案）</w:t>
      </w:r>
      <w:r>
        <w:rPr>
          <w:rFonts w:hint="eastAsia" w:ascii="宋体" w:hAnsi="宋体"/>
          <w:color w:val="auto"/>
          <w:sz w:val="24"/>
          <w:lang w:eastAsia="zh-CN"/>
        </w:rPr>
        <w:t>、娄底市公共资源交易中心</w:t>
      </w:r>
      <w:r>
        <w:rPr>
          <w:rFonts w:hint="eastAsia" w:ascii="宋体" w:hAnsi="宋体"/>
          <w:color w:val="auto"/>
          <w:sz w:val="24"/>
        </w:rPr>
        <w:t>备案和在湖南省工程项目动态监管平台已上报，提供网站查询结果；</w:t>
      </w:r>
    </w:p>
    <w:p w14:paraId="18A953A0">
      <w:pPr>
        <w:widowControl/>
        <w:adjustRightInd w:val="0"/>
        <w:snapToGrid w:val="0"/>
        <w:spacing w:line="360" w:lineRule="auto"/>
        <w:ind w:firstLine="480" w:firstLineChars="200"/>
        <w:textAlignment w:val="top"/>
        <w:rPr>
          <w:rFonts w:hint="eastAsia" w:ascii="宋体" w:hAnsi="宋体"/>
          <w:color w:val="auto"/>
          <w:sz w:val="24"/>
        </w:rPr>
      </w:pPr>
      <w:r>
        <w:rPr>
          <w:rFonts w:hint="eastAsia" w:ascii="宋体" w:hAnsi="宋体"/>
          <w:color w:val="auto"/>
          <w:sz w:val="24"/>
        </w:rPr>
        <w:t>2.2.3 具有投资参股关系的关联企业，或具有直接管理和被管理关系的母子公司，或法定代表人为同一人</w:t>
      </w:r>
      <w:r>
        <w:rPr>
          <w:rFonts w:hint="eastAsia" w:ascii="宋体" w:hAnsi="宋体"/>
          <w:color w:val="auto"/>
          <w:sz w:val="24"/>
          <w:lang w:eastAsia="zh-CN"/>
        </w:rPr>
        <w:t>的</w:t>
      </w:r>
      <w:r>
        <w:rPr>
          <w:rFonts w:hint="eastAsia" w:ascii="宋体" w:hAnsi="宋体"/>
          <w:color w:val="auto"/>
          <w:sz w:val="24"/>
        </w:rPr>
        <w:t>两个及两个以上法人不得同时</w:t>
      </w:r>
      <w:r>
        <w:rPr>
          <w:rFonts w:hint="eastAsia" w:ascii="宋体" w:hAnsi="宋体"/>
          <w:color w:val="auto"/>
          <w:sz w:val="24"/>
          <w:lang w:val="en-US" w:eastAsia="zh-CN"/>
        </w:rPr>
        <w:t>参与</w:t>
      </w:r>
      <w:r>
        <w:rPr>
          <w:rFonts w:hint="eastAsia" w:ascii="宋体" w:hAnsi="宋体"/>
          <w:color w:val="auto"/>
          <w:sz w:val="24"/>
        </w:rPr>
        <w:t>该项目遴选；</w:t>
      </w:r>
    </w:p>
    <w:p w14:paraId="7D3FA1B0">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right="0" w:firstLine="480" w:firstLineChars="200"/>
        <w:jc w:val="both"/>
        <w:textAlignment w:val="baseline"/>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2.</w:t>
      </w:r>
      <w:r>
        <w:rPr>
          <w:rFonts w:hint="eastAsia" w:cs="Times New Roman"/>
          <w:color w:val="auto"/>
          <w:kern w:val="2"/>
          <w:sz w:val="24"/>
          <w:szCs w:val="24"/>
          <w:lang w:val="en-US" w:eastAsia="zh-CN" w:bidi="ar-SA"/>
        </w:rPr>
        <w:t>2</w:t>
      </w:r>
      <w:r>
        <w:rPr>
          <w:rFonts w:hint="eastAsia" w:ascii="宋体" w:hAnsi="宋体" w:eastAsia="宋体" w:cs="Times New Roman"/>
          <w:color w:val="auto"/>
          <w:kern w:val="2"/>
          <w:sz w:val="24"/>
          <w:szCs w:val="24"/>
          <w:lang w:val="en-US" w:eastAsia="zh-CN" w:bidi="ar-SA"/>
        </w:rPr>
        <w:t>.4具有依法缴纳税收和社会保障资金的良好记录（提供湖南省供应商承诺函）。</w:t>
      </w:r>
    </w:p>
    <w:p w14:paraId="3706AA47">
      <w:pPr>
        <w:widowControl/>
        <w:adjustRightInd w:val="0"/>
        <w:snapToGrid w:val="0"/>
        <w:spacing w:line="360" w:lineRule="auto"/>
        <w:ind w:firstLine="480" w:firstLineChars="200"/>
        <w:textAlignment w:val="top"/>
        <w:rPr>
          <w:rFonts w:ascii="宋体" w:hAnsi="宋体"/>
          <w:color w:val="auto"/>
          <w:sz w:val="24"/>
        </w:rPr>
      </w:pPr>
      <w:r>
        <w:rPr>
          <w:rFonts w:hint="eastAsia" w:ascii="宋体" w:hAnsi="宋体"/>
          <w:color w:val="auto"/>
          <w:sz w:val="24"/>
        </w:rPr>
        <w:t>2.2.</w:t>
      </w:r>
      <w:r>
        <w:rPr>
          <w:rFonts w:hint="eastAsia" w:ascii="宋体" w:hAnsi="宋体"/>
          <w:color w:val="auto"/>
          <w:sz w:val="24"/>
          <w:lang w:val="en-US" w:eastAsia="zh-CN"/>
        </w:rPr>
        <w:t>5</w:t>
      </w:r>
      <w:r>
        <w:rPr>
          <w:rFonts w:hint="eastAsia" w:ascii="宋体" w:hAnsi="宋体"/>
          <w:color w:val="auto"/>
          <w:sz w:val="24"/>
        </w:rPr>
        <w:t>在国家企业信用信息公示系统（http://www.gsxt.gov.cn/）中被列入严重违法失信企业名单的</w:t>
      </w:r>
      <w:r>
        <w:rPr>
          <w:rFonts w:hint="eastAsia" w:ascii="宋体" w:hAnsi="宋体"/>
          <w:color w:val="auto"/>
          <w:sz w:val="24"/>
          <w:lang w:eastAsia="zh-CN"/>
        </w:rPr>
        <w:t>供应商</w:t>
      </w:r>
      <w:r>
        <w:rPr>
          <w:rFonts w:hint="eastAsia" w:ascii="宋体" w:hAnsi="宋体"/>
          <w:color w:val="auto"/>
          <w:sz w:val="24"/>
        </w:rPr>
        <w:t>或在“信用中国”网站（http://www.creditchina.gov.cn/）中被列入失信被执行人名单的</w:t>
      </w:r>
      <w:r>
        <w:rPr>
          <w:rFonts w:hint="eastAsia" w:ascii="宋体" w:hAnsi="宋体"/>
          <w:color w:val="auto"/>
          <w:sz w:val="24"/>
          <w:lang w:eastAsia="zh-CN"/>
        </w:rPr>
        <w:t>供应商</w:t>
      </w:r>
      <w:r>
        <w:rPr>
          <w:rFonts w:hint="eastAsia" w:ascii="宋体" w:hAnsi="宋体"/>
          <w:color w:val="auto"/>
          <w:sz w:val="24"/>
        </w:rPr>
        <w:t>，不得参</w:t>
      </w:r>
      <w:r>
        <w:rPr>
          <w:rFonts w:hint="eastAsia" w:ascii="宋体" w:hAnsi="宋体"/>
          <w:color w:val="auto"/>
          <w:sz w:val="24"/>
          <w:lang w:val="en-US" w:eastAsia="zh-CN"/>
        </w:rPr>
        <w:t>与</w:t>
      </w:r>
      <w:r>
        <w:rPr>
          <w:rFonts w:hint="eastAsia" w:ascii="宋体" w:hAnsi="宋体"/>
          <w:color w:val="auto"/>
          <w:sz w:val="24"/>
        </w:rPr>
        <w:t>本项目遴选；</w:t>
      </w:r>
    </w:p>
    <w:p w14:paraId="5344697D">
      <w:pPr>
        <w:widowControl/>
        <w:adjustRightInd w:val="0"/>
        <w:snapToGrid w:val="0"/>
        <w:spacing w:line="360" w:lineRule="auto"/>
        <w:ind w:firstLine="480" w:firstLineChars="200"/>
        <w:textAlignment w:val="top"/>
        <w:rPr>
          <w:rFonts w:hint="eastAsia" w:ascii="宋体" w:hAnsi="宋体"/>
          <w:color w:val="auto"/>
          <w:sz w:val="24"/>
        </w:rPr>
      </w:pPr>
      <w:r>
        <w:rPr>
          <w:rFonts w:hint="eastAsia" w:ascii="宋体" w:hAnsi="宋体"/>
          <w:color w:val="auto"/>
          <w:sz w:val="24"/>
        </w:rPr>
        <w:t>2.2.</w:t>
      </w:r>
      <w:r>
        <w:rPr>
          <w:rFonts w:hint="eastAsia" w:ascii="宋体" w:hAnsi="宋体"/>
          <w:color w:val="auto"/>
          <w:sz w:val="24"/>
          <w:lang w:val="en-US" w:eastAsia="zh-CN"/>
        </w:rPr>
        <w:t>6</w:t>
      </w:r>
      <w:r>
        <w:rPr>
          <w:rFonts w:hint="eastAsia" w:ascii="宋体" w:hAnsi="宋体"/>
          <w:color w:val="auto"/>
          <w:sz w:val="24"/>
        </w:rPr>
        <w:t>本项目不接受联合体遴选。</w:t>
      </w:r>
    </w:p>
    <w:p w14:paraId="160600A7">
      <w:pPr>
        <w:widowControl/>
        <w:adjustRightInd w:val="0"/>
        <w:snapToGrid w:val="0"/>
        <w:spacing w:line="360" w:lineRule="auto"/>
        <w:ind w:firstLine="482" w:firstLineChars="200"/>
        <w:textAlignment w:val="top"/>
        <w:outlineLvl w:val="0"/>
        <w:rPr>
          <w:rFonts w:ascii="宋体" w:hAnsi="宋体"/>
          <w:b/>
          <w:color w:val="auto"/>
          <w:sz w:val="24"/>
        </w:rPr>
      </w:pPr>
      <w:r>
        <w:rPr>
          <w:rFonts w:hint="eastAsia" w:ascii="宋体" w:hAnsi="宋体"/>
          <w:b/>
          <w:color w:val="auto"/>
          <w:sz w:val="24"/>
        </w:rPr>
        <w:t>3.报名和遴选文件的获取</w:t>
      </w:r>
    </w:p>
    <w:p w14:paraId="3B85BF27">
      <w:pPr>
        <w:keepNext w:val="0"/>
        <w:keepLines w:val="0"/>
        <w:pageBreakBefore w:val="0"/>
        <w:widowControl/>
        <w:kinsoku/>
        <w:wordWrap/>
        <w:overflowPunct/>
        <w:topLinePunct w:val="0"/>
        <w:autoSpaceDE/>
        <w:autoSpaceDN/>
        <w:bidi w:val="0"/>
        <w:adjustRightInd w:val="0"/>
        <w:snapToGrid w:val="0"/>
        <w:spacing w:line="360" w:lineRule="auto"/>
        <w:ind w:left="0" w:leftChars="0" w:firstLine="480" w:firstLineChars="200"/>
        <w:textAlignment w:val="top"/>
        <w:rPr>
          <w:rFonts w:hint="default" w:ascii="宋体" w:hAnsi="宋体" w:eastAsia="宋体"/>
          <w:color w:val="auto"/>
          <w:sz w:val="24"/>
          <w:highlight w:val="green"/>
          <w:lang w:val="en-US" w:eastAsia="zh-CN"/>
        </w:rPr>
      </w:pPr>
      <w:r>
        <w:rPr>
          <w:rFonts w:hint="eastAsia" w:ascii="宋体" w:hAnsi="宋体"/>
          <w:color w:val="auto"/>
          <w:sz w:val="24"/>
        </w:rPr>
        <w:t>3.1凡有意参加招标代理机构遴选的符合条件的</w:t>
      </w:r>
      <w:r>
        <w:rPr>
          <w:rFonts w:hint="eastAsia" w:ascii="宋体" w:hAnsi="宋体"/>
          <w:color w:val="auto"/>
          <w:sz w:val="24"/>
          <w:lang w:val="en-US" w:eastAsia="zh-CN"/>
        </w:rPr>
        <w:t>供应商</w:t>
      </w:r>
      <w:r>
        <w:rPr>
          <w:rFonts w:hint="eastAsia" w:ascii="宋体" w:hAnsi="宋体"/>
          <w:color w:val="auto"/>
          <w:sz w:val="24"/>
        </w:rPr>
        <w:t>，请</w:t>
      </w:r>
      <w:r>
        <w:rPr>
          <w:rFonts w:hint="eastAsia" w:ascii="宋体" w:hAnsi="宋体"/>
          <w:color w:val="auto"/>
          <w:sz w:val="24"/>
          <w:lang w:eastAsia="zh-CN"/>
        </w:rPr>
        <w:t>在娄底市中心医院官网自行下载相关文件</w:t>
      </w:r>
      <w:r>
        <w:rPr>
          <w:rFonts w:hint="eastAsia" w:ascii="宋体" w:hAnsi="宋体"/>
          <w:color w:val="auto"/>
          <w:sz w:val="24"/>
        </w:rPr>
        <w:t>，</w:t>
      </w:r>
      <w:r>
        <w:rPr>
          <w:rFonts w:hint="eastAsia" w:ascii="宋体" w:hAnsi="宋体"/>
          <w:color w:val="auto"/>
          <w:sz w:val="24"/>
          <w:lang w:val="en-US" w:eastAsia="zh-CN"/>
        </w:rPr>
        <w:t>并</w:t>
      </w:r>
      <w:r>
        <w:rPr>
          <w:rFonts w:hint="eastAsia" w:ascii="宋体" w:hAnsi="宋体"/>
          <w:color w:val="auto"/>
          <w:sz w:val="24"/>
          <w:lang w:eastAsia="zh-CN"/>
        </w:rPr>
        <w:t>通过</w:t>
      </w:r>
      <w:r>
        <w:rPr>
          <w:rFonts w:hint="eastAsia" w:ascii="宋体" w:hAnsi="宋体"/>
          <w:color w:val="auto"/>
          <w:sz w:val="24"/>
          <w:lang w:val="en-US" w:eastAsia="zh-CN"/>
        </w:rPr>
        <w:t>手机</w:t>
      </w:r>
      <w:r>
        <w:rPr>
          <w:rFonts w:hint="eastAsia" w:ascii="宋体" w:hAnsi="宋体"/>
          <w:color w:val="auto"/>
          <w:sz w:val="24"/>
          <w:lang w:eastAsia="zh-CN"/>
        </w:rPr>
        <w:t>短信的方式报名，将</w:t>
      </w:r>
      <w:r>
        <w:rPr>
          <w:rFonts w:hint="eastAsia" w:ascii="宋体" w:hAnsi="宋体"/>
          <w:color w:val="auto"/>
          <w:sz w:val="24"/>
          <w:lang w:val="en-US" w:eastAsia="zh-CN"/>
        </w:rPr>
        <w:t>供应商</w:t>
      </w:r>
      <w:r>
        <w:rPr>
          <w:rFonts w:hint="eastAsia" w:ascii="宋体" w:hAnsi="宋体"/>
          <w:color w:val="auto"/>
          <w:sz w:val="24"/>
          <w:lang w:eastAsia="zh-CN"/>
        </w:rPr>
        <w:t>单位全称、</w:t>
      </w:r>
      <w:r>
        <w:rPr>
          <w:rFonts w:hint="eastAsia" w:ascii="宋体" w:hAnsi="宋体"/>
          <w:color w:val="auto"/>
          <w:sz w:val="24"/>
          <w:lang w:val="en-US" w:eastAsia="zh-CN"/>
        </w:rPr>
        <w:t>遴选</w:t>
      </w:r>
      <w:r>
        <w:rPr>
          <w:rFonts w:hint="eastAsia" w:ascii="宋体" w:hAnsi="宋体"/>
          <w:color w:val="auto"/>
          <w:sz w:val="24"/>
          <w:lang w:eastAsia="zh-CN"/>
        </w:rPr>
        <w:t>包数、联系人、联系电话编辑</w:t>
      </w:r>
      <w:r>
        <w:rPr>
          <w:rFonts w:hint="eastAsia" w:ascii="宋体" w:hAnsi="宋体"/>
          <w:color w:val="auto"/>
          <w:sz w:val="24"/>
          <w:lang w:val="en-US" w:eastAsia="zh-CN"/>
        </w:rPr>
        <w:t>手机</w:t>
      </w:r>
      <w:r>
        <w:rPr>
          <w:rFonts w:hint="eastAsia" w:ascii="宋体" w:hAnsi="宋体"/>
          <w:color w:val="auto"/>
          <w:sz w:val="24"/>
          <w:lang w:eastAsia="zh-CN"/>
        </w:rPr>
        <w:t>短信发送至：</w:t>
      </w:r>
      <w:r>
        <w:rPr>
          <w:rFonts w:hint="eastAsia" w:ascii="宋体" w:hAnsi="宋体"/>
          <w:color w:val="auto"/>
          <w:sz w:val="24"/>
          <w:u w:val="single"/>
          <w:lang w:val="en-US" w:eastAsia="zh-CN"/>
        </w:rPr>
        <w:t>15115875288</w:t>
      </w:r>
      <w:r>
        <w:rPr>
          <w:rFonts w:hint="eastAsia" w:ascii="宋体" w:hAnsi="宋体"/>
          <w:color w:val="auto"/>
          <w:sz w:val="24"/>
        </w:rPr>
        <w:t>。</w:t>
      </w:r>
    </w:p>
    <w:p w14:paraId="7E1BC4D1">
      <w:pPr>
        <w:keepNext w:val="0"/>
        <w:keepLines w:val="0"/>
        <w:pageBreakBefore w:val="0"/>
        <w:widowControl/>
        <w:kinsoku/>
        <w:wordWrap/>
        <w:overflowPunct/>
        <w:topLinePunct w:val="0"/>
        <w:autoSpaceDE/>
        <w:autoSpaceDN/>
        <w:bidi w:val="0"/>
        <w:adjustRightInd w:val="0"/>
        <w:snapToGrid w:val="0"/>
        <w:spacing w:line="360" w:lineRule="auto"/>
        <w:ind w:left="0" w:leftChars="0" w:firstLine="480" w:firstLineChars="200"/>
        <w:textAlignment w:val="top"/>
        <w:rPr>
          <w:rFonts w:ascii="宋体" w:hAnsi="宋体"/>
          <w:color w:val="auto"/>
          <w:sz w:val="24"/>
        </w:rPr>
      </w:pPr>
      <w:r>
        <w:rPr>
          <w:rFonts w:hint="eastAsia" w:ascii="宋体" w:hAnsi="宋体"/>
          <w:color w:val="auto"/>
          <w:sz w:val="24"/>
          <w:lang w:val="en-US" w:eastAsia="zh-CN"/>
        </w:rPr>
        <w:t>3.2凡</w:t>
      </w:r>
      <w:r>
        <w:rPr>
          <w:rFonts w:hint="eastAsia" w:ascii="宋体" w:hAnsi="宋体"/>
          <w:color w:val="auto"/>
          <w:sz w:val="24"/>
        </w:rPr>
        <w:t>未在规定的时间内报名的</w:t>
      </w:r>
      <w:r>
        <w:rPr>
          <w:rFonts w:hint="eastAsia" w:ascii="宋体" w:hAnsi="宋体"/>
          <w:color w:val="auto"/>
          <w:sz w:val="24"/>
          <w:lang w:eastAsia="zh-CN"/>
        </w:rPr>
        <w:t>供应商</w:t>
      </w:r>
      <w:r>
        <w:rPr>
          <w:rFonts w:hint="eastAsia" w:ascii="宋体" w:hAnsi="宋体"/>
          <w:color w:val="auto"/>
          <w:sz w:val="24"/>
        </w:rPr>
        <w:t>，其递交的</w:t>
      </w:r>
      <w:r>
        <w:rPr>
          <w:rFonts w:hint="eastAsia" w:ascii="宋体" w:hAnsi="宋体"/>
          <w:color w:val="auto"/>
          <w:kern w:val="0"/>
          <w:sz w:val="24"/>
          <w:lang w:val="en-US" w:eastAsia="zh-CN"/>
        </w:rPr>
        <w:t>响应</w:t>
      </w:r>
      <w:r>
        <w:rPr>
          <w:rFonts w:hint="eastAsia" w:ascii="宋体" w:hAnsi="宋体"/>
          <w:color w:val="auto"/>
          <w:sz w:val="24"/>
        </w:rPr>
        <w:t>文件将被拒绝。</w:t>
      </w:r>
    </w:p>
    <w:p w14:paraId="0E355355">
      <w:pPr>
        <w:widowControl/>
        <w:adjustRightInd w:val="0"/>
        <w:snapToGrid w:val="0"/>
        <w:spacing w:line="360" w:lineRule="auto"/>
        <w:ind w:firstLine="482" w:firstLineChars="200"/>
        <w:textAlignment w:val="top"/>
        <w:outlineLvl w:val="0"/>
        <w:rPr>
          <w:rFonts w:ascii="宋体" w:hAnsi="宋体"/>
          <w:b/>
          <w:color w:val="auto"/>
          <w:sz w:val="24"/>
        </w:rPr>
      </w:pPr>
      <w:r>
        <w:rPr>
          <w:rFonts w:hint="eastAsia" w:ascii="宋体" w:hAnsi="宋体"/>
          <w:b/>
          <w:color w:val="auto"/>
          <w:sz w:val="24"/>
        </w:rPr>
        <w:t>4.</w:t>
      </w:r>
      <w:r>
        <w:rPr>
          <w:rFonts w:hint="eastAsia" w:ascii="宋体" w:hAnsi="宋体"/>
          <w:color w:val="auto"/>
          <w:sz w:val="24"/>
        </w:rPr>
        <w:t xml:space="preserve"> </w:t>
      </w:r>
      <w:r>
        <w:rPr>
          <w:rFonts w:hint="eastAsia" w:ascii="宋体" w:hAnsi="宋体"/>
          <w:b/>
          <w:color w:val="auto"/>
          <w:sz w:val="24"/>
          <w:lang w:val="en-US" w:eastAsia="zh-CN"/>
        </w:rPr>
        <w:t>响应</w:t>
      </w:r>
      <w:r>
        <w:rPr>
          <w:rFonts w:hint="eastAsia" w:ascii="宋体" w:hAnsi="宋体"/>
          <w:b/>
          <w:color w:val="auto"/>
          <w:sz w:val="24"/>
        </w:rPr>
        <w:t>文件的递交</w:t>
      </w:r>
    </w:p>
    <w:p w14:paraId="20B2AA19">
      <w:pPr>
        <w:widowControl/>
        <w:adjustRightInd w:val="0"/>
        <w:snapToGrid w:val="0"/>
        <w:spacing w:line="360" w:lineRule="auto"/>
        <w:ind w:firstLine="480" w:firstLineChars="200"/>
        <w:rPr>
          <w:rFonts w:ascii="宋体" w:hAnsi="宋体"/>
          <w:color w:val="auto"/>
          <w:sz w:val="24"/>
        </w:rPr>
      </w:pPr>
      <w:r>
        <w:rPr>
          <w:rFonts w:hint="eastAsia" w:ascii="宋体" w:hAnsi="宋体"/>
          <w:color w:val="auto"/>
          <w:sz w:val="24"/>
        </w:rPr>
        <w:t>4.1</w:t>
      </w:r>
      <w:r>
        <w:rPr>
          <w:rFonts w:hint="eastAsia" w:ascii="宋体" w:hAnsi="宋体"/>
          <w:color w:val="auto"/>
          <w:kern w:val="0"/>
          <w:sz w:val="24"/>
          <w:lang w:val="en-US" w:eastAsia="zh-CN"/>
        </w:rPr>
        <w:t>响应</w:t>
      </w:r>
      <w:r>
        <w:rPr>
          <w:rFonts w:hint="eastAsia" w:ascii="宋体" w:hAnsi="宋体"/>
          <w:color w:val="auto"/>
          <w:sz w:val="24"/>
        </w:rPr>
        <w:t>文件递交时间为</w:t>
      </w:r>
      <w:r>
        <w:rPr>
          <w:rFonts w:hint="eastAsia" w:ascii="宋体" w:hAnsi="宋体"/>
          <w:color w:val="auto"/>
          <w:sz w:val="24"/>
          <w:lang w:eastAsia="zh-CN"/>
        </w:rPr>
        <w:t>遴选开</w:t>
      </w:r>
      <w:r>
        <w:rPr>
          <w:rFonts w:hint="eastAsia" w:ascii="宋体" w:hAnsi="宋体"/>
          <w:color w:val="auto"/>
          <w:sz w:val="24"/>
          <w:lang w:val="en-US" w:eastAsia="zh-CN"/>
        </w:rPr>
        <w:t>始</w:t>
      </w:r>
      <w:r>
        <w:rPr>
          <w:rFonts w:hint="eastAsia" w:ascii="宋体" w:hAnsi="宋体"/>
          <w:color w:val="auto"/>
          <w:sz w:val="24"/>
          <w:lang w:eastAsia="zh-CN"/>
        </w:rPr>
        <w:t>时间</w:t>
      </w:r>
      <w:r>
        <w:rPr>
          <w:rFonts w:hint="eastAsia" w:ascii="宋体" w:hAnsi="宋体"/>
          <w:color w:val="auto"/>
          <w:sz w:val="24"/>
        </w:rPr>
        <w:t>，</w:t>
      </w:r>
      <w:r>
        <w:rPr>
          <w:rFonts w:hint="eastAsia" w:ascii="宋体" w:hAnsi="宋体"/>
          <w:color w:val="auto"/>
          <w:sz w:val="24"/>
          <w:lang w:eastAsia="zh-CN"/>
        </w:rPr>
        <w:t>遴选</w:t>
      </w:r>
      <w:r>
        <w:rPr>
          <w:rFonts w:hint="eastAsia" w:ascii="宋体" w:hAnsi="宋体"/>
          <w:color w:val="auto"/>
          <w:sz w:val="24"/>
        </w:rPr>
        <w:t>地点</w:t>
      </w:r>
      <w:r>
        <w:rPr>
          <w:rFonts w:hint="eastAsia" w:ascii="宋体" w:hAnsi="宋体"/>
          <w:color w:val="auto"/>
          <w:sz w:val="24"/>
          <w:lang w:val="en-US" w:eastAsia="zh-CN"/>
        </w:rPr>
        <w:t>暂定</w:t>
      </w:r>
      <w:r>
        <w:rPr>
          <w:rFonts w:hint="eastAsia" w:ascii="宋体" w:hAnsi="宋体"/>
          <w:color w:val="auto"/>
          <w:sz w:val="24"/>
        </w:rPr>
        <w:t>为</w:t>
      </w:r>
      <w:r>
        <w:rPr>
          <w:rFonts w:hint="eastAsia" w:ascii="宋体" w:hAnsi="宋体"/>
          <w:color w:val="auto"/>
          <w:sz w:val="24"/>
          <w:lang w:eastAsia="zh-CN"/>
        </w:rPr>
        <w:t>娄底市中心医院综合楼</w:t>
      </w:r>
      <w:r>
        <w:rPr>
          <w:rFonts w:hint="eastAsia" w:ascii="宋体" w:hAnsi="宋体"/>
          <w:color w:val="auto"/>
          <w:sz w:val="24"/>
          <w:lang w:val="en-US" w:eastAsia="zh-CN"/>
        </w:rPr>
        <w:t>418会议室</w:t>
      </w:r>
      <w:r>
        <w:rPr>
          <w:rFonts w:hint="eastAsia" w:ascii="宋体" w:hAnsi="宋体"/>
          <w:color w:val="auto"/>
          <w:sz w:val="24"/>
        </w:rPr>
        <w:t>（地址：</w:t>
      </w:r>
      <w:r>
        <w:rPr>
          <w:rFonts w:hint="eastAsia" w:ascii="宋体" w:hAnsi="宋体"/>
          <w:color w:val="auto"/>
          <w:sz w:val="24"/>
          <w:lang w:eastAsia="zh-CN"/>
        </w:rPr>
        <w:t>湖南省娄底市长青中街51号</w:t>
      </w:r>
      <w:r>
        <w:rPr>
          <w:rFonts w:hint="eastAsia" w:ascii="宋体" w:hAnsi="宋体"/>
          <w:color w:val="auto"/>
          <w:sz w:val="24"/>
        </w:rPr>
        <w:t>）。</w:t>
      </w:r>
      <w:r>
        <w:rPr>
          <w:rFonts w:hint="eastAsia" w:ascii="宋体" w:hAnsi="宋体"/>
          <w:color w:val="auto"/>
          <w:sz w:val="24"/>
          <w:lang w:eastAsia="zh-CN"/>
        </w:rPr>
        <w:t>具体遴选开</w:t>
      </w:r>
      <w:r>
        <w:rPr>
          <w:rFonts w:hint="eastAsia" w:ascii="宋体" w:hAnsi="宋体"/>
          <w:color w:val="auto"/>
          <w:sz w:val="24"/>
          <w:lang w:val="en-US" w:eastAsia="zh-CN"/>
        </w:rPr>
        <w:t>始</w:t>
      </w:r>
      <w:r>
        <w:rPr>
          <w:rFonts w:hint="eastAsia" w:ascii="宋体" w:hAnsi="宋体"/>
          <w:color w:val="auto"/>
          <w:sz w:val="24"/>
        </w:rPr>
        <w:t>时间、</w:t>
      </w:r>
      <w:r>
        <w:rPr>
          <w:rFonts w:hint="eastAsia" w:ascii="宋体" w:hAnsi="宋体"/>
          <w:color w:val="auto"/>
          <w:sz w:val="24"/>
          <w:lang w:eastAsia="zh-CN"/>
        </w:rPr>
        <w:t>遴选</w:t>
      </w:r>
      <w:r>
        <w:rPr>
          <w:rFonts w:hint="eastAsia" w:ascii="宋体" w:hAnsi="宋体"/>
          <w:color w:val="auto"/>
          <w:sz w:val="24"/>
        </w:rPr>
        <w:t>地点</w:t>
      </w:r>
      <w:r>
        <w:rPr>
          <w:rFonts w:hint="eastAsia" w:ascii="宋体" w:hAnsi="宋体"/>
          <w:color w:val="auto"/>
          <w:sz w:val="24"/>
          <w:lang w:val="en-US" w:eastAsia="zh-CN"/>
        </w:rPr>
        <w:t>详见官网公告</w:t>
      </w:r>
      <w:r>
        <w:rPr>
          <w:rFonts w:hint="eastAsia" w:ascii="宋体" w:hAnsi="宋体"/>
          <w:color w:val="auto"/>
          <w:sz w:val="24"/>
        </w:rPr>
        <w:t>。</w:t>
      </w:r>
    </w:p>
    <w:p w14:paraId="27FDC83A">
      <w:pPr>
        <w:widowControl/>
        <w:adjustRightInd w:val="0"/>
        <w:snapToGrid w:val="0"/>
        <w:spacing w:line="360" w:lineRule="auto"/>
        <w:ind w:firstLine="480" w:firstLineChars="200"/>
        <w:rPr>
          <w:rFonts w:ascii="宋体" w:hAnsi="宋体"/>
          <w:color w:val="auto"/>
          <w:sz w:val="24"/>
        </w:rPr>
      </w:pPr>
      <w:r>
        <w:rPr>
          <w:rFonts w:hint="eastAsia" w:ascii="宋体" w:hAnsi="宋体"/>
          <w:color w:val="auto"/>
          <w:sz w:val="24"/>
        </w:rPr>
        <w:t>4.2.</w:t>
      </w:r>
      <w:r>
        <w:rPr>
          <w:rFonts w:hint="eastAsia" w:ascii="宋体" w:hAnsi="宋体"/>
          <w:color w:val="auto"/>
          <w:sz w:val="24"/>
          <w:lang w:eastAsia="zh-CN"/>
        </w:rPr>
        <w:t>供应商</w:t>
      </w:r>
      <w:r>
        <w:rPr>
          <w:rFonts w:hint="eastAsia" w:ascii="宋体" w:hAnsi="宋体"/>
          <w:color w:val="auto"/>
          <w:sz w:val="24"/>
        </w:rPr>
        <w:t>须指派本单位法定代表人或法定代表人的授权委托人携带本人身份证及遴选文件要求的资格（证书）证明资料，授权委托人参加遴选活动的还需携带《法定代表人授权委托书》原件。</w:t>
      </w:r>
    </w:p>
    <w:p w14:paraId="330A5973">
      <w:pPr>
        <w:widowControl/>
        <w:adjustRightInd w:val="0"/>
        <w:snapToGrid w:val="0"/>
        <w:spacing w:line="360" w:lineRule="auto"/>
        <w:ind w:firstLine="405" w:firstLineChars="150"/>
        <w:jc w:val="both"/>
        <w:textAlignment w:val="top"/>
        <w:rPr>
          <w:rFonts w:ascii="宋体" w:hAnsi="宋体" w:cs="宋体"/>
          <w:color w:val="auto"/>
          <w:spacing w:val="15"/>
          <w:kern w:val="0"/>
          <w:sz w:val="24"/>
        </w:rPr>
      </w:pPr>
      <w:r>
        <w:rPr>
          <w:rFonts w:hint="eastAsia" w:ascii="宋体" w:hAnsi="宋体" w:cs="宋体"/>
          <w:color w:val="auto"/>
          <w:spacing w:val="15"/>
          <w:kern w:val="0"/>
          <w:sz w:val="24"/>
        </w:rPr>
        <w:t>4.3逾期</w:t>
      </w:r>
      <w:r>
        <w:rPr>
          <w:rFonts w:hint="eastAsia" w:ascii="宋体" w:hAnsi="宋体" w:cs="宋体"/>
          <w:color w:val="auto"/>
          <w:spacing w:val="15"/>
          <w:kern w:val="0"/>
          <w:sz w:val="24"/>
          <w:lang w:eastAsia="zh-CN"/>
        </w:rPr>
        <w:t>递交</w:t>
      </w:r>
      <w:r>
        <w:rPr>
          <w:rFonts w:hint="eastAsia" w:ascii="宋体" w:hAnsi="宋体" w:cs="宋体"/>
          <w:color w:val="auto"/>
          <w:spacing w:val="15"/>
          <w:kern w:val="0"/>
          <w:sz w:val="24"/>
        </w:rPr>
        <w:t>的或者未</w:t>
      </w:r>
      <w:r>
        <w:rPr>
          <w:rFonts w:hint="eastAsia" w:ascii="宋体" w:hAnsi="宋体" w:cs="宋体"/>
          <w:color w:val="auto"/>
          <w:spacing w:val="15"/>
          <w:kern w:val="0"/>
          <w:sz w:val="24"/>
          <w:lang w:eastAsia="zh-CN"/>
        </w:rPr>
        <w:t>递交至</w:t>
      </w:r>
      <w:r>
        <w:rPr>
          <w:rFonts w:hint="eastAsia" w:ascii="宋体" w:hAnsi="宋体" w:cs="宋体"/>
          <w:color w:val="auto"/>
          <w:spacing w:val="15"/>
          <w:kern w:val="0"/>
          <w:sz w:val="24"/>
        </w:rPr>
        <w:t>指定地点的</w:t>
      </w:r>
      <w:r>
        <w:rPr>
          <w:rFonts w:hint="eastAsia" w:ascii="宋体" w:hAnsi="宋体"/>
          <w:color w:val="auto"/>
          <w:kern w:val="0"/>
          <w:sz w:val="24"/>
          <w:lang w:val="en-US" w:eastAsia="zh-CN"/>
        </w:rPr>
        <w:t>响应</w:t>
      </w:r>
      <w:r>
        <w:rPr>
          <w:rFonts w:hint="eastAsia" w:ascii="宋体" w:hAnsi="宋体"/>
          <w:color w:val="auto"/>
          <w:sz w:val="24"/>
          <w:lang w:eastAsia="zh-CN"/>
        </w:rPr>
        <w:t>文件</w:t>
      </w:r>
      <w:r>
        <w:rPr>
          <w:rFonts w:hint="eastAsia" w:ascii="宋体" w:hAnsi="宋体" w:cs="宋体"/>
          <w:color w:val="auto"/>
          <w:spacing w:val="15"/>
          <w:kern w:val="0"/>
          <w:sz w:val="24"/>
        </w:rPr>
        <w:t>，</w:t>
      </w:r>
      <w:r>
        <w:rPr>
          <w:rFonts w:hint="eastAsia" w:ascii="宋体" w:hAnsi="宋体" w:cs="宋体"/>
          <w:color w:val="auto"/>
          <w:spacing w:val="15"/>
          <w:kern w:val="0"/>
          <w:sz w:val="24"/>
          <w:highlight w:val="none"/>
          <w:lang w:eastAsia="zh-CN"/>
        </w:rPr>
        <w:t>采购人</w:t>
      </w:r>
      <w:r>
        <w:rPr>
          <w:rFonts w:hint="eastAsia" w:ascii="宋体" w:hAnsi="宋体" w:cs="宋体"/>
          <w:color w:val="auto"/>
          <w:spacing w:val="15"/>
          <w:kern w:val="0"/>
          <w:sz w:val="24"/>
        </w:rPr>
        <w:t>不予受理。</w:t>
      </w:r>
    </w:p>
    <w:p w14:paraId="4DC64A0E">
      <w:pPr>
        <w:widowControl/>
        <w:adjustRightInd w:val="0"/>
        <w:snapToGrid w:val="0"/>
        <w:spacing w:line="360" w:lineRule="auto"/>
        <w:ind w:firstLine="542" w:firstLineChars="200"/>
        <w:textAlignment w:val="top"/>
        <w:rPr>
          <w:rFonts w:ascii="宋体" w:hAnsi="宋体" w:cs="宋体"/>
          <w:b/>
          <w:color w:val="auto"/>
          <w:spacing w:val="15"/>
          <w:kern w:val="0"/>
          <w:sz w:val="24"/>
        </w:rPr>
      </w:pPr>
      <w:r>
        <w:rPr>
          <w:rFonts w:ascii="宋体" w:hAnsi="宋体" w:cs="宋体"/>
          <w:b/>
          <w:color w:val="auto"/>
          <w:spacing w:val="15"/>
          <w:kern w:val="0"/>
          <w:sz w:val="24"/>
        </w:rPr>
        <w:t>5</w:t>
      </w:r>
      <w:r>
        <w:rPr>
          <w:rFonts w:hint="eastAsia" w:ascii="宋体" w:hAnsi="宋体" w:cs="宋体"/>
          <w:b/>
          <w:color w:val="auto"/>
          <w:spacing w:val="15"/>
          <w:kern w:val="0"/>
          <w:sz w:val="24"/>
        </w:rPr>
        <w:t>.遴选办法：</w:t>
      </w:r>
    </w:p>
    <w:p w14:paraId="736F8E95">
      <w:pPr>
        <w:widowControl/>
        <w:adjustRightInd w:val="0"/>
        <w:snapToGrid w:val="0"/>
        <w:spacing w:line="360" w:lineRule="auto"/>
        <w:ind w:firstLine="480" w:firstLineChars="200"/>
        <w:textAlignment w:val="top"/>
        <w:rPr>
          <w:rFonts w:ascii="宋体" w:hAnsi="宋体"/>
          <w:color w:val="auto"/>
          <w:sz w:val="24"/>
        </w:rPr>
      </w:pPr>
      <w:r>
        <w:rPr>
          <w:rFonts w:hint="eastAsia" w:ascii="宋体" w:hAnsi="宋体"/>
          <w:color w:val="auto"/>
          <w:sz w:val="24"/>
        </w:rPr>
        <w:t>本项目遴选办法采用</w:t>
      </w:r>
      <w:r>
        <w:rPr>
          <w:rFonts w:hint="eastAsia" w:ascii="宋体" w:hAnsi="宋体"/>
          <w:color w:val="auto"/>
          <w:sz w:val="24"/>
          <w:lang w:eastAsia="zh-CN"/>
        </w:rPr>
        <w:t>综合评分法</w:t>
      </w:r>
      <w:r>
        <w:rPr>
          <w:rFonts w:hint="eastAsia" w:ascii="宋体" w:hAnsi="宋体"/>
          <w:color w:val="auto"/>
          <w:sz w:val="24"/>
        </w:rPr>
        <w:t>执行。</w:t>
      </w:r>
      <w:r>
        <w:rPr>
          <w:rFonts w:hint="eastAsia" w:ascii="宋体" w:hAnsi="宋体"/>
          <w:color w:val="auto"/>
          <w:sz w:val="24"/>
          <w:lang w:eastAsia="zh-CN"/>
        </w:rPr>
        <w:t>采购人</w:t>
      </w:r>
      <w:r>
        <w:rPr>
          <w:rFonts w:hint="eastAsia" w:ascii="宋体" w:hAnsi="宋体"/>
          <w:color w:val="auto"/>
          <w:sz w:val="24"/>
        </w:rPr>
        <w:t>将根据得分高低等因素择优选择</w:t>
      </w:r>
      <w:r>
        <w:rPr>
          <w:rFonts w:hint="eastAsia" w:ascii="宋体" w:hAnsi="宋体"/>
          <w:color w:val="auto"/>
          <w:sz w:val="24"/>
          <w:lang w:val="en-US" w:eastAsia="zh-CN"/>
        </w:rPr>
        <w:t>成交供应商（</w:t>
      </w:r>
      <w:r>
        <w:rPr>
          <w:rFonts w:hint="eastAsia" w:ascii="宋体" w:hAnsi="宋体"/>
          <w:color w:val="auto"/>
          <w:sz w:val="24"/>
        </w:rPr>
        <w:t>招标采购代理机构</w:t>
      </w:r>
      <w:r>
        <w:rPr>
          <w:rFonts w:hint="eastAsia" w:ascii="宋体" w:hAnsi="宋体"/>
          <w:color w:val="auto"/>
          <w:sz w:val="24"/>
          <w:lang w:eastAsia="zh-CN"/>
        </w:rPr>
        <w:t>）</w:t>
      </w:r>
      <w:r>
        <w:rPr>
          <w:rFonts w:hint="eastAsia" w:ascii="宋体" w:hAnsi="宋体"/>
          <w:color w:val="auto"/>
          <w:sz w:val="24"/>
        </w:rPr>
        <w:t>入库。</w:t>
      </w:r>
    </w:p>
    <w:p w14:paraId="2FD39399">
      <w:pPr>
        <w:widowControl/>
        <w:adjustRightInd w:val="0"/>
        <w:snapToGrid w:val="0"/>
        <w:spacing w:line="360" w:lineRule="auto"/>
        <w:ind w:firstLine="542" w:firstLineChars="200"/>
        <w:textAlignment w:val="top"/>
        <w:rPr>
          <w:rFonts w:ascii="宋体" w:hAnsi="宋体" w:cs="宋体"/>
          <w:b/>
          <w:color w:val="auto"/>
          <w:spacing w:val="15"/>
          <w:kern w:val="0"/>
          <w:sz w:val="24"/>
        </w:rPr>
      </w:pPr>
      <w:r>
        <w:rPr>
          <w:rFonts w:ascii="宋体" w:hAnsi="宋体" w:cs="宋体"/>
          <w:b/>
          <w:color w:val="auto"/>
          <w:spacing w:val="15"/>
          <w:kern w:val="0"/>
          <w:sz w:val="24"/>
        </w:rPr>
        <w:t>6</w:t>
      </w:r>
      <w:r>
        <w:rPr>
          <w:rFonts w:hint="eastAsia" w:ascii="宋体" w:hAnsi="宋体" w:cs="宋体"/>
          <w:b/>
          <w:color w:val="auto"/>
          <w:spacing w:val="15"/>
          <w:kern w:val="0"/>
          <w:sz w:val="24"/>
        </w:rPr>
        <w:t>.入选原则</w:t>
      </w:r>
    </w:p>
    <w:p w14:paraId="700DDBA9">
      <w:pPr>
        <w:widowControl/>
        <w:adjustRightInd w:val="0"/>
        <w:snapToGrid w:val="0"/>
        <w:spacing w:line="360" w:lineRule="auto"/>
        <w:ind w:firstLine="480" w:firstLineChars="200"/>
        <w:textAlignment w:val="top"/>
        <w:rPr>
          <w:rFonts w:hint="eastAsia" w:ascii="宋体" w:hAnsi="宋体" w:eastAsia="宋体"/>
          <w:color w:val="auto"/>
          <w:sz w:val="24"/>
          <w:lang w:eastAsia="zh-CN"/>
        </w:rPr>
      </w:pPr>
      <w:r>
        <w:rPr>
          <w:rFonts w:hint="eastAsia" w:ascii="宋体" w:hAnsi="宋体"/>
          <w:color w:val="auto"/>
          <w:sz w:val="24"/>
          <w:lang w:eastAsia="zh-CN"/>
        </w:rPr>
        <w:t>采购人</w:t>
      </w:r>
      <w:r>
        <w:rPr>
          <w:rFonts w:hint="eastAsia" w:ascii="宋体" w:hAnsi="宋体"/>
          <w:color w:val="auto"/>
          <w:sz w:val="24"/>
        </w:rPr>
        <w:t>依据遴选</w:t>
      </w:r>
      <w:r>
        <w:rPr>
          <w:rFonts w:hint="eastAsia" w:ascii="宋体" w:hAnsi="宋体"/>
          <w:color w:val="auto"/>
          <w:sz w:val="24"/>
          <w:lang w:val="en-US" w:eastAsia="zh-CN"/>
        </w:rPr>
        <w:t>小组</w:t>
      </w:r>
      <w:r>
        <w:rPr>
          <w:rFonts w:hint="eastAsia" w:ascii="宋体" w:hAnsi="宋体"/>
          <w:color w:val="auto"/>
          <w:sz w:val="24"/>
        </w:rPr>
        <w:t>提出的书面报告和推荐的入库候选人确定</w:t>
      </w:r>
      <w:r>
        <w:rPr>
          <w:rFonts w:hint="eastAsia" w:ascii="宋体" w:hAnsi="宋体"/>
          <w:color w:val="auto"/>
          <w:sz w:val="24"/>
          <w:lang w:val="en-US" w:eastAsia="zh-CN"/>
        </w:rPr>
        <w:t>成交供应商</w:t>
      </w:r>
      <w:r>
        <w:rPr>
          <w:rFonts w:hint="eastAsia" w:ascii="宋体" w:hAnsi="宋体"/>
          <w:color w:val="auto"/>
          <w:sz w:val="24"/>
        </w:rPr>
        <w:t>。评审结果，综合得分按从高到低分排序</w:t>
      </w:r>
      <w:r>
        <w:rPr>
          <w:rFonts w:hint="eastAsia" w:ascii="宋体" w:hAnsi="宋体"/>
          <w:color w:val="auto"/>
          <w:sz w:val="24"/>
          <w:lang w:eastAsia="zh-CN"/>
        </w:rPr>
        <w:t>。</w:t>
      </w:r>
    </w:p>
    <w:p w14:paraId="4988296E">
      <w:pPr>
        <w:widowControl/>
        <w:adjustRightInd w:val="0"/>
        <w:snapToGrid w:val="0"/>
        <w:spacing w:line="360" w:lineRule="auto"/>
        <w:ind w:firstLine="542" w:firstLineChars="200"/>
        <w:jc w:val="left"/>
        <w:textAlignment w:val="top"/>
        <w:rPr>
          <w:rFonts w:ascii="宋体" w:hAnsi="宋体" w:cs="宋体"/>
          <w:b/>
          <w:color w:val="auto"/>
          <w:spacing w:val="15"/>
          <w:kern w:val="0"/>
          <w:sz w:val="24"/>
        </w:rPr>
      </w:pPr>
      <w:r>
        <w:rPr>
          <w:rFonts w:ascii="宋体" w:hAnsi="宋体" w:cs="宋体"/>
          <w:b/>
          <w:color w:val="auto"/>
          <w:spacing w:val="15"/>
          <w:kern w:val="0"/>
          <w:sz w:val="24"/>
        </w:rPr>
        <w:t>7</w:t>
      </w:r>
      <w:r>
        <w:rPr>
          <w:rFonts w:hint="eastAsia" w:ascii="宋体" w:hAnsi="宋体" w:cs="宋体"/>
          <w:b/>
          <w:color w:val="auto"/>
          <w:spacing w:val="15"/>
          <w:kern w:val="0"/>
          <w:sz w:val="24"/>
        </w:rPr>
        <w:t>.发布公告的媒介</w:t>
      </w:r>
    </w:p>
    <w:p w14:paraId="15A242DF">
      <w:pPr>
        <w:widowControl/>
        <w:adjustRightInd w:val="0"/>
        <w:snapToGrid w:val="0"/>
        <w:spacing w:line="360" w:lineRule="auto"/>
        <w:ind w:firstLine="482" w:firstLineChars="200"/>
        <w:jc w:val="left"/>
        <w:textAlignment w:val="top"/>
        <w:rPr>
          <w:rFonts w:ascii="宋体" w:hAnsi="宋体"/>
          <w:b/>
          <w:bCs/>
          <w:color w:val="auto"/>
          <w:sz w:val="24"/>
        </w:rPr>
      </w:pPr>
      <w:r>
        <w:rPr>
          <w:rFonts w:hint="eastAsia" w:ascii="宋体" w:hAnsi="宋体"/>
          <w:b/>
          <w:bCs/>
          <w:color w:val="auto"/>
          <w:sz w:val="24"/>
        </w:rPr>
        <w:t>本次遴选公告在</w:t>
      </w:r>
      <w:r>
        <w:rPr>
          <w:rFonts w:hint="eastAsia" w:ascii="宋体" w:hAnsi="宋体"/>
          <w:b/>
          <w:bCs/>
          <w:color w:val="auto"/>
          <w:sz w:val="24"/>
          <w:lang w:eastAsia="zh-CN"/>
        </w:rPr>
        <w:t>娄底市中心医院</w:t>
      </w:r>
      <w:r>
        <w:rPr>
          <w:rFonts w:hint="eastAsia" w:ascii="宋体" w:hAnsi="宋体"/>
          <w:b/>
          <w:bCs/>
          <w:color w:val="auto"/>
          <w:sz w:val="24"/>
        </w:rPr>
        <w:t>官网上发布。</w:t>
      </w:r>
    </w:p>
    <w:p w14:paraId="5E0ECD9E">
      <w:pPr>
        <w:widowControl/>
        <w:adjustRightInd w:val="0"/>
        <w:snapToGrid w:val="0"/>
        <w:spacing w:line="360" w:lineRule="auto"/>
        <w:ind w:firstLine="542" w:firstLineChars="200"/>
        <w:jc w:val="left"/>
        <w:textAlignment w:val="top"/>
        <w:rPr>
          <w:rFonts w:ascii="宋体" w:hAnsi="宋体" w:cs="宋体"/>
          <w:b/>
          <w:color w:val="auto"/>
          <w:spacing w:val="15"/>
          <w:kern w:val="0"/>
          <w:sz w:val="24"/>
        </w:rPr>
      </w:pPr>
      <w:r>
        <w:rPr>
          <w:rFonts w:ascii="宋体" w:hAnsi="宋体" w:cs="宋体"/>
          <w:b/>
          <w:color w:val="auto"/>
          <w:spacing w:val="15"/>
          <w:kern w:val="0"/>
          <w:sz w:val="24"/>
        </w:rPr>
        <w:t>8</w:t>
      </w:r>
      <w:r>
        <w:rPr>
          <w:rFonts w:hint="eastAsia" w:ascii="宋体" w:hAnsi="宋体" w:cs="宋体"/>
          <w:b/>
          <w:color w:val="auto"/>
          <w:spacing w:val="15"/>
          <w:kern w:val="0"/>
          <w:sz w:val="24"/>
        </w:rPr>
        <w:t>.联系方式</w:t>
      </w:r>
    </w:p>
    <w:p w14:paraId="218FDAB8">
      <w:pPr>
        <w:widowControl/>
        <w:adjustRightInd w:val="0"/>
        <w:snapToGrid w:val="0"/>
        <w:spacing w:line="360" w:lineRule="auto"/>
        <w:ind w:firstLine="482" w:firstLineChars="200"/>
        <w:jc w:val="left"/>
        <w:textAlignment w:val="top"/>
        <w:rPr>
          <w:rFonts w:ascii="宋体" w:hAnsi="宋体"/>
          <w:b/>
          <w:bCs/>
          <w:color w:val="auto"/>
          <w:sz w:val="24"/>
        </w:rPr>
      </w:pPr>
      <w:r>
        <w:rPr>
          <w:rFonts w:hint="eastAsia" w:ascii="宋体" w:hAnsi="宋体"/>
          <w:b/>
          <w:bCs/>
          <w:color w:val="auto"/>
          <w:sz w:val="24"/>
          <w:lang w:eastAsia="zh-CN"/>
        </w:rPr>
        <w:t>采购人</w:t>
      </w:r>
      <w:r>
        <w:rPr>
          <w:rFonts w:hint="eastAsia" w:ascii="宋体" w:hAnsi="宋体"/>
          <w:b/>
          <w:bCs/>
          <w:color w:val="auto"/>
          <w:sz w:val="24"/>
        </w:rPr>
        <w:t>：</w:t>
      </w:r>
      <w:r>
        <w:rPr>
          <w:rFonts w:hint="eastAsia" w:ascii="宋体" w:hAnsi="宋体"/>
          <w:b/>
          <w:bCs/>
          <w:color w:val="auto"/>
          <w:sz w:val="24"/>
          <w:lang w:eastAsia="zh-CN"/>
        </w:rPr>
        <w:t>娄底市中心医院</w:t>
      </w:r>
    </w:p>
    <w:p w14:paraId="1745A0CC">
      <w:pPr>
        <w:widowControl/>
        <w:adjustRightInd w:val="0"/>
        <w:snapToGrid w:val="0"/>
        <w:spacing w:line="360" w:lineRule="auto"/>
        <w:ind w:firstLine="482" w:firstLineChars="200"/>
        <w:jc w:val="left"/>
        <w:textAlignment w:val="top"/>
        <w:rPr>
          <w:rFonts w:hint="eastAsia" w:ascii="宋体" w:hAnsi="宋体" w:eastAsia="宋体"/>
          <w:b/>
          <w:bCs/>
          <w:color w:val="auto"/>
          <w:sz w:val="24"/>
          <w:lang w:eastAsia="zh-CN"/>
        </w:rPr>
      </w:pPr>
      <w:r>
        <w:rPr>
          <w:rFonts w:hint="eastAsia" w:ascii="宋体" w:hAnsi="宋体"/>
          <w:b/>
          <w:bCs/>
          <w:color w:val="auto"/>
          <w:sz w:val="24"/>
        </w:rPr>
        <w:t>地    址：</w:t>
      </w:r>
      <w:r>
        <w:rPr>
          <w:rFonts w:hint="eastAsia" w:ascii="宋体" w:hAnsi="宋体"/>
          <w:b/>
          <w:bCs/>
          <w:color w:val="auto"/>
          <w:sz w:val="24"/>
          <w:lang w:eastAsia="zh-CN"/>
        </w:rPr>
        <w:t>湖南省娄底市长青中街51号</w:t>
      </w:r>
    </w:p>
    <w:p w14:paraId="0465670C">
      <w:pPr>
        <w:widowControl/>
        <w:adjustRightInd w:val="0"/>
        <w:snapToGrid w:val="0"/>
        <w:spacing w:line="360" w:lineRule="auto"/>
        <w:ind w:firstLine="482" w:firstLineChars="200"/>
        <w:jc w:val="left"/>
        <w:textAlignment w:val="top"/>
        <w:rPr>
          <w:rFonts w:hint="eastAsia" w:ascii="宋体" w:hAnsi="宋体" w:eastAsia="宋体"/>
          <w:b/>
          <w:bCs/>
          <w:color w:val="auto"/>
          <w:sz w:val="24"/>
          <w:highlight w:val="none"/>
          <w:lang w:eastAsia="zh-CN"/>
        </w:rPr>
      </w:pPr>
      <w:r>
        <w:rPr>
          <w:rFonts w:hint="eastAsia" w:ascii="宋体" w:hAnsi="宋体"/>
          <w:b/>
          <w:bCs/>
          <w:color w:val="auto"/>
          <w:sz w:val="24"/>
          <w:highlight w:val="none"/>
        </w:rPr>
        <w:t>联 系 人：</w:t>
      </w:r>
      <w:r>
        <w:rPr>
          <w:rFonts w:hint="eastAsia" w:ascii="宋体" w:hAnsi="宋体"/>
          <w:b/>
          <w:bCs/>
          <w:color w:val="auto"/>
          <w:sz w:val="24"/>
          <w:highlight w:val="none"/>
          <w:lang w:eastAsia="zh-CN"/>
        </w:rPr>
        <w:t>张思远</w:t>
      </w:r>
    </w:p>
    <w:p w14:paraId="47ED1487">
      <w:pPr>
        <w:widowControl/>
        <w:adjustRightInd w:val="0"/>
        <w:snapToGrid w:val="0"/>
        <w:spacing w:line="360" w:lineRule="auto"/>
        <w:ind w:firstLine="482" w:firstLineChars="200"/>
        <w:jc w:val="left"/>
        <w:textAlignment w:val="top"/>
        <w:rPr>
          <w:rFonts w:hint="default" w:ascii="宋体" w:hAnsi="宋体" w:eastAsia="宋体"/>
          <w:b/>
          <w:bCs/>
          <w:color w:val="auto"/>
          <w:sz w:val="24"/>
          <w:highlight w:val="none"/>
          <w:lang w:val="en-US" w:eastAsia="zh-CN"/>
        </w:rPr>
      </w:pPr>
      <w:r>
        <w:rPr>
          <w:rFonts w:hint="eastAsia" w:ascii="宋体" w:hAnsi="宋体"/>
          <w:b/>
          <w:bCs/>
          <w:color w:val="auto"/>
          <w:sz w:val="24"/>
          <w:highlight w:val="none"/>
        </w:rPr>
        <w:t>电    话：</w:t>
      </w:r>
      <w:r>
        <w:rPr>
          <w:rFonts w:hint="eastAsia" w:ascii="宋体" w:hAnsi="宋体"/>
          <w:b/>
          <w:bCs/>
          <w:color w:val="auto"/>
          <w:sz w:val="24"/>
          <w:highlight w:val="none"/>
          <w:lang w:val="en-US" w:eastAsia="zh-CN"/>
        </w:rPr>
        <w:t>15115875288</w:t>
      </w:r>
    </w:p>
    <w:p w14:paraId="38E94A36">
      <w:pPr>
        <w:widowControl/>
        <w:spacing w:line="520" w:lineRule="exact"/>
        <w:ind w:firstLine="3080"/>
        <w:jc w:val="left"/>
        <w:textAlignment w:val="top"/>
        <w:rPr>
          <w:rFonts w:ascii="宋体" w:hAnsi="宋体"/>
          <w:color w:val="auto"/>
          <w:sz w:val="28"/>
          <w:szCs w:val="28"/>
        </w:rPr>
      </w:pPr>
      <w:r>
        <w:rPr>
          <w:rFonts w:ascii="宋体" w:hAnsi="宋体"/>
          <w:color w:val="auto"/>
          <w:sz w:val="28"/>
          <w:szCs w:val="28"/>
        </w:rPr>
        <w:br w:type="page"/>
      </w:r>
    </w:p>
    <w:p w14:paraId="5FE27704">
      <w:pPr>
        <w:widowControl/>
        <w:adjustRightInd w:val="0"/>
        <w:snapToGrid w:val="0"/>
        <w:spacing w:line="520" w:lineRule="exact"/>
        <w:jc w:val="center"/>
        <w:textAlignment w:val="top"/>
        <w:rPr>
          <w:rFonts w:ascii="宋体" w:hAnsi="宋体"/>
          <w:b/>
          <w:bCs/>
          <w:color w:val="auto"/>
          <w:kern w:val="0"/>
          <w:sz w:val="32"/>
          <w:szCs w:val="32"/>
        </w:rPr>
      </w:pPr>
      <w:r>
        <w:rPr>
          <w:rFonts w:hint="eastAsia" w:ascii="宋体" w:hAnsi="宋体"/>
          <w:b/>
          <w:bCs/>
          <w:color w:val="auto"/>
          <w:kern w:val="0"/>
          <w:sz w:val="32"/>
          <w:szCs w:val="32"/>
        </w:rPr>
        <w:t xml:space="preserve">第二章 </w:t>
      </w:r>
      <w:r>
        <w:rPr>
          <w:rFonts w:hint="eastAsia" w:ascii="宋体" w:hAnsi="宋体"/>
          <w:b/>
          <w:bCs/>
          <w:color w:val="auto"/>
          <w:kern w:val="0"/>
          <w:sz w:val="32"/>
          <w:szCs w:val="32"/>
          <w:lang w:eastAsia="zh-CN"/>
        </w:rPr>
        <w:t>供应商</w:t>
      </w:r>
      <w:r>
        <w:rPr>
          <w:rFonts w:hint="eastAsia" w:ascii="宋体" w:hAnsi="宋体"/>
          <w:b/>
          <w:bCs/>
          <w:color w:val="auto"/>
          <w:kern w:val="0"/>
          <w:sz w:val="32"/>
          <w:szCs w:val="32"/>
        </w:rPr>
        <w:t>须知</w:t>
      </w:r>
    </w:p>
    <w:p w14:paraId="680197ED">
      <w:pPr>
        <w:widowControl/>
        <w:adjustRightInd w:val="0"/>
        <w:snapToGrid w:val="0"/>
        <w:spacing w:line="360" w:lineRule="auto"/>
        <w:jc w:val="center"/>
        <w:outlineLvl w:val="0"/>
        <w:rPr>
          <w:rFonts w:ascii="宋体" w:hAnsi="宋体"/>
          <w:b/>
          <w:bCs/>
          <w:color w:val="auto"/>
          <w:kern w:val="0"/>
          <w:sz w:val="28"/>
          <w:szCs w:val="28"/>
        </w:rPr>
      </w:pPr>
      <w:r>
        <w:rPr>
          <w:rFonts w:hint="eastAsia" w:ascii="宋体" w:hAnsi="宋体"/>
          <w:b/>
          <w:bCs/>
          <w:color w:val="auto"/>
          <w:kern w:val="0"/>
          <w:sz w:val="28"/>
          <w:szCs w:val="28"/>
        </w:rPr>
        <w:t>一、</w:t>
      </w:r>
      <w:r>
        <w:rPr>
          <w:rFonts w:hint="eastAsia" w:ascii="宋体" w:hAnsi="宋体"/>
          <w:b/>
          <w:bCs/>
          <w:color w:val="auto"/>
          <w:kern w:val="0"/>
          <w:sz w:val="28"/>
          <w:szCs w:val="28"/>
          <w:lang w:eastAsia="zh-CN"/>
        </w:rPr>
        <w:t>供应商</w:t>
      </w:r>
      <w:r>
        <w:rPr>
          <w:rFonts w:hint="eastAsia" w:ascii="宋体" w:hAnsi="宋体"/>
          <w:b/>
          <w:bCs/>
          <w:color w:val="auto"/>
          <w:kern w:val="0"/>
          <w:sz w:val="28"/>
          <w:szCs w:val="28"/>
        </w:rPr>
        <w:t>须知前附表</w:t>
      </w:r>
    </w:p>
    <w:tbl>
      <w:tblPr>
        <w:tblStyle w:val="21"/>
        <w:tblW w:w="10031" w:type="dxa"/>
        <w:jc w:val="center"/>
        <w:tblLayout w:type="fixed"/>
        <w:tblCellMar>
          <w:top w:w="0" w:type="dxa"/>
          <w:left w:w="108" w:type="dxa"/>
          <w:bottom w:w="0" w:type="dxa"/>
          <w:right w:w="108" w:type="dxa"/>
        </w:tblCellMar>
      </w:tblPr>
      <w:tblGrid>
        <w:gridCol w:w="713"/>
        <w:gridCol w:w="2700"/>
        <w:gridCol w:w="6618"/>
      </w:tblGrid>
      <w:tr w14:paraId="75C17342">
        <w:tblPrEx>
          <w:tblCellMar>
            <w:top w:w="0" w:type="dxa"/>
            <w:left w:w="108" w:type="dxa"/>
            <w:bottom w:w="0" w:type="dxa"/>
            <w:right w:w="108" w:type="dxa"/>
          </w:tblCellMar>
        </w:tblPrEx>
        <w:trPr>
          <w:jc w:val="center"/>
        </w:trPr>
        <w:tc>
          <w:tcPr>
            <w:tcW w:w="713" w:type="dxa"/>
            <w:tcBorders>
              <w:top w:val="single" w:color="000000" w:sz="4" w:space="0"/>
              <w:left w:val="single" w:color="000000" w:sz="4" w:space="0"/>
              <w:bottom w:val="single" w:color="000000" w:sz="4" w:space="0"/>
              <w:right w:val="single" w:color="000000" w:sz="4" w:space="0"/>
            </w:tcBorders>
          </w:tcPr>
          <w:p w14:paraId="65820DD2">
            <w:pPr>
              <w:widowControl/>
              <w:spacing w:line="400" w:lineRule="exact"/>
              <w:jc w:val="center"/>
              <w:rPr>
                <w:rFonts w:ascii="宋体" w:hAnsi="宋体"/>
                <w:b/>
                <w:bCs/>
                <w:color w:val="auto"/>
                <w:kern w:val="0"/>
                <w:sz w:val="24"/>
              </w:rPr>
            </w:pPr>
            <w:r>
              <w:rPr>
                <w:rFonts w:hint="eastAsia" w:ascii="宋体" w:hAnsi="宋体"/>
                <w:b/>
                <w:bCs/>
                <w:color w:val="auto"/>
                <w:kern w:val="0"/>
                <w:sz w:val="24"/>
              </w:rPr>
              <w:t>序号</w:t>
            </w:r>
          </w:p>
        </w:tc>
        <w:tc>
          <w:tcPr>
            <w:tcW w:w="2700" w:type="dxa"/>
            <w:tcBorders>
              <w:top w:val="single" w:color="000000" w:sz="4" w:space="0"/>
              <w:left w:val="nil"/>
              <w:bottom w:val="single" w:color="000000" w:sz="4" w:space="0"/>
              <w:right w:val="single" w:color="000000" w:sz="4" w:space="0"/>
            </w:tcBorders>
          </w:tcPr>
          <w:p w14:paraId="2146DDE7">
            <w:pPr>
              <w:widowControl/>
              <w:spacing w:line="400" w:lineRule="exact"/>
              <w:jc w:val="center"/>
              <w:rPr>
                <w:rFonts w:ascii="宋体" w:hAnsi="宋体"/>
                <w:b/>
                <w:bCs/>
                <w:color w:val="auto"/>
                <w:kern w:val="0"/>
                <w:sz w:val="24"/>
              </w:rPr>
            </w:pPr>
            <w:r>
              <w:rPr>
                <w:rFonts w:hint="eastAsia" w:ascii="宋体" w:hAnsi="宋体"/>
                <w:b/>
                <w:bCs/>
                <w:color w:val="auto"/>
                <w:kern w:val="0"/>
                <w:sz w:val="24"/>
              </w:rPr>
              <w:t>名称</w:t>
            </w:r>
          </w:p>
        </w:tc>
        <w:tc>
          <w:tcPr>
            <w:tcW w:w="6618" w:type="dxa"/>
            <w:tcBorders>
              <w:top w:val="single" w:color="000000" w:sz="4" w:space="0"/>
              <w:left w:val="nil"/>
              <w:bottom w:val="single" w:color="000000" w:sz="4" w:space="0"/>
              <w:right w:val="single" w:color="000000" w:sz="4" w:space="0"/>
            </w:tcBorders>
          </w:tcPr>
          <w:p w14:paraId="63F71FD2">
            <w:pPr>
              <w:widowControl/>
              <w:spacing w:line="400" w:lineRule="exact"/>
              <w:jc w:val="center"/>
              <w:rPr>
                <w:rFonts w:ascii="宋体" w:hAnsi="宋体"/>
                <w:b/>
                <w:bCs/>
                <w:color w:val="auto"/>
                <w:kern w:val="0"/>
                <w:sz w:val="24"/>
              </w:rPr>
            </w:pPr>
            <w:r>
              <w:rPr>
                <w:rFonts w:hint="eastAsia" w:ascii="宋体" w:hAnsi="宋体"/>
                <w:b/>
                <w:bCs/>
                <w:color w:val="auto"/>
                <w:kern w:val="0"/>
                <w:sz w:val="24"/>
              </w:rPr>
              <w:t>内容规定</w:t>
            </w:r>
          </w:p>
        </w:tc>
      </w:tr>
      <w:tr w14:paraId="1CFB700A">
        <w:tblPrEx>
          <w:tblCellMar>
            <w:top w:w="0" w:type="dxa"/>
            <w:left w:w="108" w:type="dxa"/>
            <w:bottom w:w="0" w:type="dxa"/>
            <w:right w:w="108" w:type="dxa"/>
          </w:tblCellMar>
        </w:tblPrEx>
        <w:trPr>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46D61E24">
            <w:pPr>
              <w:widowControl/>
              <w:spacing w:line="400" w:lineRule="exact"/>
              <w:jc w:val="center"/>
              <w:rPr>
                <w:rFonts w:ascii="宋体" w:hAnsi="宋体"/>
                <w:b/>
                <w:bCs/>
                <w:color w:val="auto"/>
                <w:kern w:val="0"/>
                <w:sz w:val="24"/>
              </w:rPr>
            </w:pPr>
            <w:r>
              <w:rPr>
                <w:rFonts w:hint="eastAsia" w:ascii="宋体" w:hAnsi="宋体"/>
                <w:b/>
                <w:bCs/>
                <w:color w:val="auto"/>
                <w:kern w:val="0"/>
                <w:sz w:val="24"/>
              </w:rPr>
              <w:t>1</w:t>
            </w:r>
          </w:p>
        </w:tc>
        <w:tc>
          <w:tcPr>
            <w:tcW w:w="2700" w:type="dxa"/>
            <w:tcBorders>
              <w:top w:val="single" w:color="000000" w:sz="4" w:space="0"/>
              <w:left w:val="nil"/>
              <w:bottom w:val="single" w:color="000000" w:sz="4" w:space="0"/>
              <w:right w:val="single" w:color="000000" w:sz="4" w:space="0"/>
            </w:tcBorders>
            <w:vAlign w:val="center"/>
          </w:tcPr>
          <w:p w14:paraId="40FF7C85">
            <w:pPr>
              <w:widowControl/>
              <w:adjustRightInd w:val="0"/>
              <w:snapToGrid w:val="0"/>
              <w:spacing w:line="360" w:lineRule="exact"/>
              <w:jc w:val="center"/>
              <w:rPr>
                <w:rFonts w:hint="eastAsia" w:ascii="宋体" w:hAnsi="宋体" w:eastAsia="宋体"/>
                <w:b/>
                <w:bCs/>
                <w:color w:val="auto"/>
                <w:kern w:val="0"/>
                <w:sz w:val="24"/>
                <w:lang w:eastAsia="zh-CN"/>
              </w:rPr>
            </w:pPr>
            <w:r>
              <w:rPr>
                <w:rFonts w:hint="eastAsia" w:ascii="宋体" w:hAnsi="宋体"/>
                <w:b/>
                <w:bCs/>
                <w:color w:val="auto"/>
                <w:kern w:val="0"/>
                <w:sz w:val="24"/>
                <w:lang w:eastAsia="zh-CN"/>
              </w:rPr>
              <w:t>采购人</w:t>
            </w:r>
          </w:p>
        </w:tc>
        <w:tc>
          <w:tcPr>
            <w:tcW w:w="6618" w:type="dxa"/>
            <w:tcBorders>
              <w:top w:val="single" w:color="000000" w:sz="4" w:space="0"/>
              <w:left w:val="nil"/>
              <w:bottom w:val="single" w:color="000000" w:sz="4" w:space="0"/>
              <w:right w:val="single" w:color="000000" w:sz="4" w:space="0"/>
            </w:tcBorders>
          </w:tcPr>
          <w:p w14:paraId="486499D4">
            <w:pPr>
              <w:widowControl/>
              <w:adjustRightInd w:val="0"/>
              <w:snapToGrid w:val="0"/>
              <w:spacing w:line="320" w:lineRule="exact"/>
              <w:rPr>
                <w:rFonts w:hint="eastAsia" w:ascii="宋体" w:hAnsi="宋体" w:eastAsia="宋体"/>
                <w:b/>
                <w:bCs/>
                <w:color w:val="auto"/>
                <w:kern w:val="0"/>
                <w:sz w:val="24"/>
                <w:lang w:eastAsia="zh-CN"/>
              </w:rPr>
            </w:pPr>
            <w:r>
              <w:rPr>
                <w:rFonts w:hint="eastAsia" w:ascii="宋体" w:hAnsi="宋体"/>
                <w:b/>
                <w:bCs/>
                <w:color w:val="auto"/>
                <w:kern w:val="0"/>
                <w:sz w:val="24"/>
                <w:lang w:val="en-US" w:eastAsia="zh-CN"/>
              </w:rPr>
              <w:t>采 购</w:t>
            </w:r>
            <w:r>
              <w:rPr>
                <w:rFonts w:hint="eastAsia" w:ascii="宋体" w:hAnsi="宋体"/>
                <w:b/>
                <w:bCs/>
                <w:color w:val="auto"/>
                <w:kern w:val="0"/>
                <w:sz w:val="24"/>
              </w:rPr>
              <w:t xml:space="preserve"> 人：</w:t>
            </w:r>
            <w:r>
              <w:rPr>
                <w:rFonts w:hint="eastAsia" w:ascii="宋体" w:hAnsi="宋体"/>
                <w:b/>
                <w:bCs/>
                <w:color w:val="auto"/>
                <w:kern w:val="0"/>
                <w:sz w:val="24"/>
                <w:lang w:eastAsia="zh-CN"/>
              </w:rPr>
              <w:t>娄底市中心医院</w:t>
            </w:r>
          </w:p>
          <w:p w14:paraId="57C6E803">
            <w:pPr>
              <w:widowControl/>
              <w:adjustRightInd w:val="0"/>
              <w:snapToGrid w:val="0"/>
              <w:spacing w:line="320" w:lineRule="exact"/>
              <w:rPr>
                <w:rFonts w:hint="eastAsia" w:ascii="宋体" w:hAnsi="宋体" w:eastAsia="宋体"/>
                <w:b/>
                <w:bCs/>
                <w:color w:val="auto"/>
                <w:kern w:val="0"/>
                <w:sz w:val="24"/>
                <w:lang w:eastAsia="zh-CN"/>
              </w:rPr>
            </w:pPr>
            <w:r>
              <w:rPr>
                <w:rFonts w:hint="eastAsia" w:ascii="宋体" w:hAnsi="宋体"/>
                <w:b/>
                <w:bCs/>
                <w:color w:val="auto"/>
                <w:kern w:val="0"/>
                <w:sz w:val="24"/>
              </w:rPr>
              <w:t>地    址：</w:t>
            </w:r>
            <w:r>
              <w:rPr>
                <w:rFonts w:hint="eastAsia" w:ascii="宋体" w:hAnsi="宋体"/>
                <w:b/>
                <w:bCs/>
                <w:color w:val="auto"/>
                <w:sz w:val="24"/>
                <w:lang w:eastAsia="zh-CN"/>
              </w:rPr>
              <w:t>湖南省娄底市长青中街51号</w:t>
            </w:r>
          </w:p>
          <w:p w14:paraId="39F7BB4C">
            <w:pPr>
              <w:widowControl/>
              <w:adjustRightInd w:val="0"/>
              <w:snapToGrid w:val="0"/>
              <w:spacing w:line="320" w:lineRule="exact"/>
              <w:rPr>
                <w:rFonts w:hint="eastAsia" w:ascii="宋体" w:hAnsi="宋体" w:eastAsia="宋体"/>
                <w:b/>
                <w:bCs/>
                <w:color w:val="auto"/>
                <w:kern w:val="0"/>
                <w:sz w:val="24"/>
                <w:lang w:eastAsia="zh-CN"/>
              </w:rPr>
            </w:pPr>
            <w:r>
              <w:rPr>
                <w:rFonts w:hint="eastAsia" w:ascii="宋体" w:hAnsi="宋体"/>
                <w:b/>
                <w:bCs/>
                <w:color w:val="auto"/>
                <w:kern w:val="0"/>
                <w:sz w:val="24"/>
              </w:rPr>
              <w:t>联 系 人：</w:t>
            </w:r>
            <w:r>
              <w:rPr>
                <w:rFonts w:hint="eastAsia" w:ascii="宋体" w:hAnsi="宋体"/>
                <w:b/>
                <w:bCs/>
                <w:color w:val="auto"/>
                <w:kern w:val="0"/>
                <w:sz w:val="24"/>
                <w:lang w:eastAsia="zh-CN"/>
              </w:rPr>
              <w:t>张思远</w:t>
            </w:r>
          </w:p>
          <w:p w14:paraId="70DEDB1B">
            <w:pPr>
              <w:widowControl/>
              <w:adjustRightInd w:val="0"/>
              <w:snapToGrid w:val="0"/>
              <w:spacing w:line="320" w:lineRule="exact"/>
              <w:rPr>
                <w:rFonts w:hint="default" w:ascii="宋体" w:hAnsi="宋体" w:eastAsia="宋体"/>
                <w:b/>
                <w:bCs/>
                <w:color w:val="auto"/>
                <w:kern w:val="0"/>
                <w:sz w:val="24"/>
                <w:lang w:val="en-US" w:eastAsia="zh-CN"/>
              </w:rPr>
            </w:pPr>
            <w:r>
              <w:rPr>
                <w:rFonts w:hint="eastAsia" w:ascii="宋体" w:hAnsi="宋体"/>
                <w:b/>
                <w:bCs/>
                <w:color w:val="auto"/>
                <w:kern w:val="0"/>
                <w:sz w:val="24"/>
              </w:rPr>
              <w:t>电    话：</w:t>
            </w:r>
            <w:r>
              <w:rPr>
                <w:rFonts w:hint="eastAsia" w:ascii="宋体" w:hAnsi="宋体"/>
                <w:b/>
                <w:bCs/>
                <w:color w:val="auto"/>
                <w:kern w:val="0"/>
                <w:sz w:val="24"/>
                <w:lang w:val="en-US" w:eastAsia="zh-CN"/>
              </w:rPr>
              <w:t>15115875288</w:t>
            </w:r>
          </w:p>
        </w:tc>
      </w:tr>
      <w:tr w14:paraId="54F0A4CF">
        <w:tblPrEx>
          <w:tblCellMar>
            <w:top w:w="0" w:type="dxa"/>
            <w:left w:w="108" w:type="dxa"/>
            <w:bottom w:w="0" w:type="dxa"/>
            <w:right w:w="108" w:type="dxa"/>
          </w:tblCellMar>
        </w:tblPrEx>
        <w:trPr>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6C47B841">
            <w:pPr>
              <w:widowControl/>
              <w:spacing w:line="400" w:lineRule="exact"/>
              <w:jc w:val="center"/>
              <w:rPr>
                <w:rFonts w:ascii="宋体" w:hAnsi="宋体"/>
                <w:b/>
                <w:bCs/>
                <w:color w:val="auto"/>
                <w:kern w:val="0"/>
                <w:sz w:val="24"/>
              </w:rPr>
            </w:pPr>
            <w:r>
              <w:rPr>
                <w:rFonts w:hint="eastAsia" w:ascii="宋体" w:hAnsi="宋体"/>
                <w:b/>
                <w:bCs/>
                <w:color w:val="auto"/>
                <w:kern w:val="0"/>
                <w:sz w:val="24"/>
              </w:rPr>
              <w:t>2</w:t>
            </w:r>
          </w:p>
        </w:tc>
        <w:tc>
          <w:tcPr>
            <w:tcW w:w="2700" w:type="dxa"/>
            <w:tcBorders>
              <w:top w:val="single" w:color="000000" w:sz="4" w:space="0"/>
              <w:left w:val="nil"/>
              <w:bottom w:val="single" w:color="000000" w:sz="4" w:space="0"/>
              <w:right w:val="single" w:color="000000" w:sz="4" w:space="0"/>
            </w:tcBorders>
            <w:vAlign w:val="center"/>
          </w:tcPr>
          <w:p w14:paraId="4CC2EB85">
            <w:pPr>
              <w:widowControl/>
              <w:adjustRightInd w:val="0"/>
              <w:snapToGrid w:val="0"/>
              <w:spacing w:line="360" w:lineRule="exact"/>
              <w:jc w:val="center"/>
              <w:rPr>
                <w:rFonts w:ascii="宋体" w:hAnsi="宋体"/>
                <w:color w:val="auto"/>
                <w:kern w:val="0"/>
                <w:sz w:val="24"/>
              </w:rPr>
            </w:pPr>
            <w:r>
              <w:rPr>
                <w:rFonts w:hint="eastAsia" w:ascii="宋体" w:hAnsi="宋体"/>
                <w:color w:val="auto"/>
                <w:kern w:val="0"/>
                <w:sz w:val="24"/>
              </w:rPr>
              <w:t>遴选项目名称</w:t>
            </w:r>
          </w:p>
        </w:tc>
        <w:tc>
          <w:tcPr>
            <w:tcW w:w="6618" w:type="dxa"/>
            <w:tcBorders>
              <w:top w:val="single" w:color="000000" w:sz="4" w:space="0"/>
              <w:left w:val="nil"/>
              <w:bottom w:val="single" w:color="000000" w:sz="4" w:space="0"/>
              <w:right w:val="single" w:color="000000" w:sz="4" w:space="0"/>
            </w:tcBorders>
          </w:tcPr>
          <w:p w14:paraId="1CDBEA42">
            <w:pPr>
              <w:widowControl/>
              <w:adjustRightInd w:val="0"/>
              <w:snapToGrid w:val="0"/>
              <w:spacing w:line="360" w:lineRule="exact"/>
              <w:rPr>
                <w:rFonts w:ascii="宋体" w:hAnsi="宋体"/>
                <w:color w:val="auto"/>
                <w:kern w:val="0"/>
                <w:sz w:val="24"/>
              </w:rPr>
            </w:pPr>
            <w:r>
              <w:rPr>
                <w:rFonts w:hint="eastAsia" w:ascii="宋体" w:hAnsi="宋体"/>
                <w:color w:val="auto"/>
                <w:kern w:val="0"/>
                <w:sz w:val="24"/>
                <w:lang w:eastAsia="zh-CN"/>
              </w:rPr>
              <w:t>娄底市中心医院</w:t>
            </w:r>
            <w:r>
              <w:rPr>
                <w:rFonts w:ascii="宋体" w:hAnsi="宋体"/>
                <w:color w:val="auto"/>
                <w:kern w:val="0"/>
                <w:sz w:val="24"/>
              </w:rPr>
              <w:t>招标采购代理机构遴选项目</w:t>
            </w:r>
          </w:p>
        </w:tc>
      </w:tr>
      <w:tr w14:paraId="4C6502C2">
        <w:tblPrEx>
          <w:tblCellMar>
            <w:top w:w="0" w:type="dxa"/>
            <w:left w:w="108" w:type="dxa"/>
            <w:bottom w:w="0" w:type="dxa"/>
            <w:right w:w="108" w:type="dxa"/>
          </w:tblCellMar>
        </w:tblPrEx>
        <w:trPr>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5B647A55">
            <w:pPr>
              <w:widowControl/>
              <w:spacing w:line="400" w:lineRule="exact"/>
              <w:jc w:val="center"/>
              <w:rPr>
                <w:rFonts w:ascii="宋体" w:hAnsi="宋体"/>
                <w:b/>
                <w:bCs/>
                <w:color w:val="auto"/>
                <w:kern w:val="0"/>
                <w:sz w:val="24"/>
              </w:rPr>
            </w:pPr>
            <w:r>
              <w:rPr>
                <w:rFonts w:hint="eastAsia" w:ascii="宋体" w:hAnsi="宋体"/>
                <w:b/>
                <w:bCs/>
                <w:color w:val="auto"/>
                <w:kern w:val="0"/>
                <w:sz w:val="24"/>
              </w:rPr>
              <w:t>3</w:t>
            </w:r>
          </w:p>
        </w:tc>
        <w:tc>
          <w:tcPr>
            <w:tcW w:w="2700" w:type="dxa"/>
            <w:tcBorders>
              <w:top w:val="single" w:color="000000" w:sz="4" w:space="0"/>
              <w:left w:val="nil"/>
              <w:bottom w:val="single" w:color="000000" w:sz="4" w:space="0"/>
              <w:right w:val="single" w:color="000000" w:sz="4" w:space="0"/>
            </w:tcBorders>
            <w:vAlign w:val="center"/>
          </w:tcPr>
          <w:p w14:paraId="03C04DAA">
            <w:pPr>
              <w:widowControl/>
              <w:adjustRightInd w:val="0"/>
              <w:snapToGrid w:val="0"/>
              <w:spacing w:line="360" w:lineRule="exact"/>
              <w:jc w:val="center"/>
              <w:rPr>
                <w:rFonts w:ascii="宋体" w:hAnsi="宋体"/>
                <w:color w:val="auto"/>
                <w:kern w:val="0"/>
                <w:sz w:val="24"/>
              </w:rPr>
            </w:pPr>
            <w:r>
              <w:rPr>
                <w:rFonts w:hint="eastAsia" w:ascii="宋体" w:hAnsi="宋体"/>
                <w:color w:val="auto"/>
                <w:kern w:val="0"/>
                <w:sz w:val="24"/>
              </w:rPr>
              <w:t>遴选范围</w:t>
            </w:r>
          </w:p>
        </w:tc>
        <w:tc>
          <w:tcPr>
            <w:tcW w:w="6618" w:type="dxa"/>
            <w:tcBorders>
              <w:top w:val="single" w:color="000000" w:sz="4" w:space="0"/>
              <w:left w:val="nil"/>
              <w:bottom w:val="single" w:color="000000" w:sz="4" w:space="0"/>
              <w:right w:val="single" w:color="000000" w:sz="4" w:space="0"/>
            </w:tcBorders>
          </w:tcPr>
          <w:p w14:paraId="38703FAA">
            <w:pPr>
              <w:widowControl/>
              <w:adjustRightInd w:val="0"/>
              <w:snapToGrid w:val="0"/>
              <w:spacing w:line="360" w:lineRule="exact"/>
              <w:rPr>
                <w:rFonts w:hint="default" w:eastAsia="宋体"/>
                <w:color w:val="auto"/>
                <w:kern w:val="0"/>
                <w:sz w:val="24"/>
                <w:lang w:val="en-US" w:eastAsia="zh-CN"/>
              </w:rPr>
            </w:pPr>
            <w:r>
              <w:rPr>
                <w:rFonts w:hint="eastAsia" w:ascii="宋体" w:hAnsi="宋体"/>
                <w:color w:val="auto"/>
                <w:kern w:val="0"/>
                <w:sz w:val="24"/>
                <w:lang w:eastAsia="zh-CN"/>
              </w:rPr>
              <w:t>娄底市中心医院</w:t>
            </w:r>
            <w:r>
              <w:rPr>
                <w:rFonts w:hint="eastAsia"/>
                <w:color w:val="auto"/>
                <w:kern w:val="0"/>
                <w:sz w:val="24"/>
              </w:rPr>
              <w:t>招标采购代理机构库，本次遴选共分为</w:t>
            </w:r>
            <w:r>
              <w:rPr>
                <w:rFonts w:hint="eastAsia"/>
                <w:color w:val="auto"/>
                <w:kern w:val="0"/>
                <w:sz w:val="24"/>
                <w:lang w:val="en-US" w:eastAsia="zh-CN"/>
              </w:rPr>
              <w:t>两</w:t>
            </w:r>
            <w:r>
              <w:rPr>
                <w:rFonts w:hint="eastAsia"/>
                <w:color w:val="auto"/>
                <w:kern w:val="0"/>
                <w:sz w:val="24"/>
              </w:rPr>
              <w:t>个包：第一包：</w:t>
            </w:r>
            <w:r>
              <w:rPr>
                <w:rFonts w:hint="eastAsia" w:ascii="宋体" w:hAnsi="宋体" w:cs="宋体"/>
                <w:color w:val="auto"/>
                <w:sz w:val="24"/>
              </w:rPr>
              <w:t>代理机构库</w:t>
            </w:r>
            <w:r>
              <w:rPr>
                <w:rFonts w:hint="eastAsia" w:ascii="宋体" w:hAnsi="宋体" w:cs="宋体"/>
                <w:color w:val="auto"/>
                <w:sz w:val="24"/>
                <w:lang w:val="en-US" w:eastAsia="zh-CN"/>
              </w:rPr>
              <w:t>1</w:t>
            </w:r>
            <w:r>
              <w:rPr>
                <w:rFonts w:hint="eastAsia" w:ascii="宋体" w:hAnsi="宋体" w:cs="宋体"/>
                <w:color w:val="auto"/>
                <w:sz w:val="24"/>
              </w:rPr>
              <w:t>含货物</w:t>
            </w:r>
            <w:r>
              <w:rPr>
                <w:rFonts w:hint="eastAsia" w:ascii="宋体" w:hAnsi="宋体" w:cs="宋体"/>
                <w:color w:val="auto"/>
                <w:sz w:val="24"/>
                <w:lang w:eastAsia="zh-CN"/>
              </w:rPr>
              <w:t>（医疗器械）</w:t>
            </w:r>
            <w:r>
              <w:rPr>
                <w:rFonts w:hint="eastAsia" w:ascii="宋体" w:hAnsi="宋体" w:cs="宋体"/>
                <w:color w:val="auto"/>
                <w:sz w:val="24"/>
              </w:rPr>
              <w:t>、</w:t>
            </w:r>
            <w:r>
              <w:rPr>
                <w:rFonts w:hint="eastAsia" w:ascii="宋体" w:hAnsi="宋体" w:cs="宋体"/>
                <w:color w:val="auto"/>
                <w:sz w:val="24"/>
                <w:lang w:eastAsia="zh-CN"/>
              </w:rPr>
              <w:t>医用</w:t>
            </w:r>
            <w:r>
              <w:rPr>
                <w:rFonts w:hint="eastAsia" w:ascii="宋体" w:hAnsi="宋体" w:cs="宋体"/>
                <w:color w:val="auto"/>
                <w:sz w:val="24"/>
              </w:rPr>
              <w:t>试剂、</w:t>
            </w:r>
            <w:r>
              <w:rPr>
                <w:rFonts w:hint="eastAsia" w:ascii="宋体" w:hAnsi="宋体" w:cs="宋体"/>
                <w:color w:val="auto"/>
                <w:sz w:val="24"/>
                <w:lang w:eastAsia="zh-CN"/>
              </w:rPr>
              <w:t>医用</w:t>
            </w:r>
            <w:r>
              <w:rPr>
                <w:rFonts w:hint="eastAsia" w:ascii="宋体" w:hAnsi="宋体" w:cs="宋体"/>
                <w:color w:val="auto"/>
                <w:sz w:val="24"/>
              </w:rPr>
              <w:t>耗材项目招标（采购）</w:t>
            </w:r>
            <w:r>
              <w:rPr>
                <w:rFonts w:hint="eastAsia"/>
                <w:color w:val="auto"/>
                <w:kern w:val="0"/>
                <w:sz w:val="24"/>
              </w:rPr>
              <w:t>，共</w:t>
            </w:r>
            <w:r>
              <w:rPr>
                <w:rFonts w:hint="eastAsia"/>
                <w:color w:val="auto"/>
                <w:kern w:val="0"/>
                <w:sz w:val="24"/>
                <w:lang w:val="en-US" w:eastAsia="zh-CN"/>
              </w:rPr>
              <w:t>5</w:t>
            </w:r>
            <w:r>
              <w:rPr>
                <w:rFonts w:hint="eastAsia"/>
                <w:color w:val="auto"/>
                <w:kern w:val="0"/>
                <w:sz w:val="24"/>
              </w:rPr>
              <w:t>家。第二包：</w:t>
            </w:r>
            <w:r>
              <w:rPr>
                <w:rFonts w:hint="eastAsia" w:ascii="宋体" w:hAnsi="宋体" w:cs="宋体"/>
                <w:color w:val="auto"/>
                <w:sz w:val="24"/>
              </w:rPr>
              <w:t>代理机构库</w:t>
            </w:r>
            <w:r>
              <w:rPr>
                <w:rFonts w:hint="eastAsia" w:ascii="宋体" w:hAnsi="宋体" w:cs="宋体"/>
                <w:color w:val="auto"/>
                <w:sz w:val="24"/>
                <w:lang w:val="en-US" w:eastAsia="zh-CN"/>
              </w:rPr>
              <w:t>2</w:t>
            </w:r>
            <w:r>
              <w:rPr>
                <w:rFonts w:hint="eastAsia" w:ascii="宋体" w:hAnsi="宋体" w:cs="宋体"/>
                <w:color w:val="auto"/>
                <w:sz w:val="24"/>
                <w:lang w:eastAsia="zh-CN"/>
              </w:rPr>
              <w:t>含</w:t>
            </w:r>
            <w:r>
              <w:rPr>
                <w:rFonts w:hint="eastAsia" w:ascii="宋体" w:hAnsi="宋体" w:cs="宋体"/>
                <w:color w:val="auto"/>
                <w:sz w:val="24"/>
              </w:rPr>
              <w:t>货物</w:t>
            </w:r>
            <w:r>
              <w:rPr>
                <w:rFonts w:hint="eastAsia" w:ascii="宋体" w:hAnsi="宋体" w:cs="宋体"/>
                <w:color w:val="auto"/>
                <w:sz w:val="24"/>
                <w:lang w:eastAsia="zh-CN"/>
              </w:rPr>
              <w:t>（非医疗器械）</w:t>
            </w:r>
            <w:r>
              <w:rPr>
                <w:rFonts w:hint="eastAsia" w:ascii="宋体" w:hAnsi="宋体" w:cs="宋体"/>
                <w:color w:val="auto"/>
                <w:sz w:val="24"/>
              </w:rPr>
              <w:t>、服务</w:t>
            </w:r>
            <w:r>
              <w:rPr>
                <w:rFonts w:hint="eastAsia" w:ascii="宋体" w:hAnsi="宋体" w:cs="宋体"/>
                <w:color w:val="auto"/>
                <w:sz w:val="24"/>
                <w:lang w:val="en-US" w:eastAsia="zh-CN"/>
              </w:rPr>
              <w:t>、</w:t>
            </w:r>
            <w:r>
              <w:rPr>
                <w:rFonts w:hint="eastAsia" w:ascii="宋体" w:hAnsi="宋体" w:cs="宋体"/>
                <w:color w:val="auto"/>
                <w:sz w:val="24"/>
              </w:rPr>
              <w:t>工程项目招标</w:t>
            </w:r>
            <w:r>
              <w:rPr>
                <w:rFonts w:hint="eastAsia"/>
                <w:color w:val="auto"/>
                <w:kern w:val="0"/>
                <w:sz w:val="24"/>
              </w:rPr>
              <w:t>，共</w:t>
            </w:r>
            <w:r>
              <w:rPr>
                <w:rFonts w:hint="eastAsia"/>
                <w:color w:val="auto"/>
                <w:kern w:val="0"/>
                <w:sz w:val="24"/>
                <w:lang w:val="en-US" w:eastAsia="zh-CN"/>
              </w:rPr>
              <w:t>5</w:t>
            </w:r>
            <w:r>
              <w:rPr>
                <w:rFonts w:hint="eastAsia"/>
                <w:color w:val="auto"/>
                <w:kern w:val="0"/>
                <w:sz w:val="24"/>
              </w:rPr>
              <w:t>家。</w:t>
            </w:r>
          </w:p>
        </w:tc>
      </w:tr>
      <w:tr w14:paraId="66B2F84A">
        <w:tblPrEx>
          <w:tblCellMar>
            <w:top w:w="0" w:type="dxa"/>
            <w:left w:w="108" w:type="dxa"/>
            <w:bottom w:w="0" w:type="dxa"/>
            <w:right w:w="108" w:type="dxa"/>
          </w:tblCellMar>
        </w:tblPrEx>
        <w:trPr>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36C3C4A3">
            <w:pPr>
              <w:widowControl/>
              <w:spacing w:line="400" w:lineRule="exact"/>
              <w:jc w:val="center"/>
              <w:rPr>
                <w:rFonts w:ascii="宋体" w:hAnsi="宋体"/>
                <w:b/>
                <w:bCs/>
                <w:color w:val="auto"/>
                <w:kern w:val="0"/>
                <w:sz w:val="24"/>
              </w:rPr>
            </w:pPr>
            <w:r>
              <w:rPr>
                <w:rFonts w:hint="eastAsia" w:ascii="宋体" w:hAnsi="宋体"/>
                <w:b/>
                <w:bCs/>
                <w:color w:val="auto"/>
                <w:kern w:val="0"/>
                <w:sz w:val="24"/>
              </w:rPr>
              <w:t>4</w:t>
            </w:r>
          </w:p>
        </w:tc>
        <w:tc>
          <w:tcPr>
            <w:tcW w:w="2700" w:type="dxa"/>
            <w:tcBorders>
              <w:top w:val="single" w:color="000000" w:sz="4" w:space="0"/>
              <w:left w:val="nil"/>
              <w:bottom w:val="single" w:color="000000" w:sz="4" w:space="0"/>
              <w:right w:val="single" w:color="000000" w:sz="4" w:space="0"/>
            </w:tcBorders>
            <w:vAlign w:val="center"/>
          </w:tcPr>
          <w:p w14:paraId="4B16C2B7">
            <w:pPr>
              <w:widowControl/>
              <w:adjustRightInd w:val="0"/>
              <w:snapToGrid w:val="0"/>
              <w:spacing w:line="360" w:lineRule="exact"/>
              <w:jc w:val="center"/>
              <w:rPr>
                <w:rFonts w:ascii="宋体" w:hAnsi="宋体"/>
                <w:color w:val="auto"/>
                <w:kern w:val="0"/>
                <w:sz w:val="24"/>
              </w:rPr>
            </w:pPr>
            <w:r>
              <w:rPr>
                <w:rFonts w:hint="eastAsia" w:ascii="宋体" w:hAnsi="宋体"/>
                <w:color w:val="auto"/>
                <w:kern w:val="0"/>
                <w:sz w:val="24"/>
              </w:rPr>
              <w:t>服务期限</w:t>
            </w:r>
          </w:p>
        </w:tc>
        <w:tc>
          <w:tcPr>
            <w:tcW w:w="6618" w:type="dxa"/>
            <w:tcBorders>
              <w:top w:val="single" w:color="000000" w:sz="4" w:space="0"/>
              <w:left w:val="nil"/>
              <w:bottom w:val="single" w:color="000000" w:sz="4" w:space="0"/>
              <w:right w:val="single" w:color="000000" w:sz="4" w:space="0"/>
            </w:tcBorders>
          </w:tcPr>
          <w:p w14:paraId="43A87689">
            <w:pPr>
              <w:widowControl/>
              <w:adjustRightInd w:val="0"/>
              <w:snapToGrid w:val="0"/>
              <w:spacing w:line="360" w:lineRule="auto"/>
              <w:jc w:val="left"/>
              <w:textAlignment w:val="top"/>
              <w:rPr>
                <w:color w:val="auto"/>
                <w:kern w:val="0"/>
                <w:sz w:val="24"/>
              </w:rPr>
            </w:pPr>
            <w:r>
              <w:rPr>
                <w:color w:val="auto"/>
                <w:kern w:val="0"/>
                <w:sz w:val="24"/>
              </w:rPr>
              <w:t>3</w:t>
            </w:r>
            <w:r>
              <w:rPr>
                <w:rFonts w:hint="eastAsia"/>
                <w:color w:val="auto"/>
                <w:kern w:val="0"/>
                <w:sz w:val="24"/>
              </w:rPr>
              <w:t>年（</w:t>
            </w:r>
            <w:r>
              <w:rPr>
                <w:rFonts w:hint="eastAsia"/>
                <w:color w:val="auto"/>
                <w:kern w:val="0"/>
                <w:sz w:val="24"/>
                <w:lang w:val="en-US" w:eastAsia="zh-CN"/>
              </w:rPr>
              <w:t>以正式</w:t>
            </w:r>
            <w:r>
              <w:rPr>
                <w:rFonts w:hint="eastAsia"/>
                <w:color w:val="auto"/>
                <w:kern w:val="0"/>
                <w:sz w:val="24"/>
              </w:rPr>
              <w:t>签订合同</w:t>
            </w:r>
            <w:r>
              <w:rPr>
                <w:rFonts w:hint="eastAsia" w:ascii="Times New Roman" w:hAnsi="Times New Roman" w:cs="Times New Roman"/>
                <w:color w:val="auto"/>
                <w:kern w:val="0"/>
                <w:sz w:val="24"/>
                <w:lang w:val="en-US" w:eastAsia="zh-CN"/>
              </w:rPr>
              <w:t>约定</w:t>
            </w:r>
            <w:r>
              <w:rPr>
                <w:rFonts w:hint="eastAsia" w:cs="Times New Roman"/>
                <w:color w:val="auto"/>
                <w:kern w:val="0"/>
                <w:sz w:val="24"/>
                <w:lang w:val="en-US" w:eastAsia="zh-CN"/>
              </w:rPr>
              <w:t>的</w:t>
            </w:r>
            <w:r>
              <w:rPr>
                <w:rFonts w:hint="eastAsia" w:ascii="Times New Roman" w:hAnsi="Times New Roman" w:cs="Times New Roman"/>
                <w:color w:val="auto"/>
                <w:kern w:val="0"/>
                <w:sz w:val="24"/>
                <w:lang w:val="en-US" w:eastAsia="zh-CN"/>
              </w:rPr>
              <w:t>起止时间为准</w:t>
            </w:r>
            <w:r>
              <w:rPr>
                <w:rFonts w:hint="eastAsia"/>
                <w:color w:val="auto"/>
                <w:kern w:val="0"/>
                <w:sz w:val="24"/>
              </w:rPr>
              <w:t>）。</w:t>
            </w:r>
            <w:r>
              <w:rPr>
                <w:rFonts w:hint="eastAsia" w:ascii="宋体" w:hAnsi="宋体"/>
                <w:color w:val="auto"/>
                <w:sz w:val="24"/>
              </w:rPr>
              <w:t>若</w:t>
            </w:r>
            <w:r>
              <w:rPr>
                <w:rFonts w:hint="default" w:ascii="宋体" w:hAnsi="宋体"/>
                <w:color w:val="auto"/>
                <w:sz w:val="24"/>
                <w:lang w:val="en-US" w:eastAsia="zh-CN"/>
              </w:rPr>
              <w:t>国家法律法规或省级以上行政主管部门政策调整</w:t>
            </w:r>
            <w:r>
              <w:rPr>
                <w:rFonts w:hint="eastAsia" w:ascii="宋体" w:hAnsi="宋体"/>
                <w:color w:val="auto"/>
                <w:sz w:val="24"/>
                <w:lang w:val="en-US" w:eastAsia="zh-CN"/>
              </w:rPr>
              <w:t>或采购人招标办职能调整</w:t>
            </w:r>
            <w:r>
              <w:rPr>
                <w:rFonts w:hint="default" w:ascii="宋体" w:hAnsi="宋体"/>
                <w:color w:val="auto"/>
                <w:sz w:val="24"/>
                <w:lang w:val="en-US" w:eastAsia="zh-CN"/>
              </w:rPr>
              <w:t>导致本项目无法继续履行的</w:t>
            </w:r>
            <w:r>
              <w:rPr>
                <w:rFonts w:hint="eastAsia" w:ascii="宋体" w:hAnsi="宋体"/>
                <w:color w:val="auto"/>
                <w:sz w:val="24"/>
                <w:lang w:val="en-US" w:eastAsia="zh-CN"/>
              </w:rPr>
              <w:t>，</w:t>
            </w:r>
            <w:r>
              <w:rPr>
                <w:rFonts w:hint="eastAsia" w:ascii="宋体" w:hAnsi="宋体"/>
                <w:color w:val="auto"/>
                <w:kern w:val="0"/>
                <w:sz w:val="24"/>
                <w:lang w:eastAsia="zh-CN"/>
              </w:rPr>
              <w:t>采购人</w:t>
            </w:r>
            <w:r>
              <w:rPr>
                <w:rFonts w:hint="eastAsia" w:ascii="宋体" w:hAnsi="宋体"/>
                <w:color w:val="auto"/>
                <w:kern w:val="0"/>
                <w:sz w:val="24"/>
                <w:lang w:val="en-US" w:eastAsia="zh-CN"/>
              </w:rPr>
              <w:t>可单方解除合同。</w:t>
            </w:r>
          </w:p>
        </w:tc>
      </w:tr>
      <w:tr w14:paraId="7C219D85">
        <w:tblPrEx>
          <w:tblCellMar>
            <w:top w:w="0" w:type="dxa"/>
            <w:left w:w="108" w:type="dxa"/>
            <w:bottom w:w="0" w:type="dxa"/>
            <w:right w:w="108" w:type="dxa"/>
          </w:tblCellMar>
        </w:tblPrEx>
        <w:trPr>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33937F27">
            <w:pPr>
              <w:widowControl/>
              <w:spacing w:line="400" w:lineRule="exact"/>
              <w:jc w:val="center"/>
              <w:rPr>
                <w:rFonts w:ascii="宋体" w:hAnsi="宋体"/>
                <w:b/>
                <w:bCs/>
                <w:color w:val="auto"/>
                <w:kern w:val="0"/>
                <w:sz w:val="24"/>
              </w:rPr>
            </w:pPr>
            <w:r>
              <w:rPr>
                <w:rFonts w:hint="eastAsia" w:ascii="宋体" w:hAnsi="宋体"/>
                <w:b/>
                <w:bCs/>
                <w:color w:val="auto"/>
                <w:kern w:val="0"/>
                <w:sz w:val="24"/>
              </w:rPr>
              <w:t>5</w:t>
            </w:r>
          </w:p>
        </w:tc>
        <w:tc>
          <w:tcPr>
            <w:tcW w:w="2700" w:type="dxa"/>
            <w:tcBorders>
              <w:top w:val="single" w:color="000000" w:sz="4" w:space="0"/>
              <w:left w:val="nil"/>
              <w:bottom w:val="single" w:color="000000" w:sz="4" w:space="0"/>
              <w:right w:val="single" w:color="000000" w:sz="4" w:space="0"/>
            </w:tcBorders>
            <w:vAlign w:val="center"/>
          </w:tcPr>
          <w:p w14:paraId="37430CA1">
            <w:pPr>
              <w:widowControl/>
              <w:adjustRightInd w:val="0"/>
              <w:snapToGrid w:val="0"/>
              <w:spacing w:line="360" w:lineRule="exact"/>
              <w:jc w:val="center"/>
              <w:rPr>
                <w:rFonts w:ascii="宋体" w:hAnsi="宋体"/>
                <w:color w:val="auto"/>
                <w:kern w:val="0"/>
                <w:sz w:val="24"/>
              </w:rPr>
            </w:pPr>
            <w:r>
              <w:rPr>
                <w:rFonts w:hint="eastAsia" w:ascii="宋体" w:hAnsi="宋体"/>
                <w:color w:val="auto"/>
                <w:kern w:val="0"/>
                <w:sz w:val="24"/>
                <w:lang w:eastAsia="zh-CN"/>
              </w:rPr>
              <w:t>供应商</w:t>
            </w:r>
            <w:r>
              <w:rPr>
                <w:rFonts w:hint="eastAsia" w:ascii="宋体" w:hAnsi="宋体"/>
                <w:color w:val="auto"/>
                <w:kern w:val="0"/>
                <w:sz w:val="24"/>
              </w:rPr>
              <w:t>资质条件、能力和信誉</w:t>
            </w:r>
          </w:p>
        </w:tc>
        <w:tc>
          <w:tcPr>
            <w:tcW w:w="6618" w:type="dxa"/>
            <w:tcBorders>
              <w:top w:val="single" w:color="000000" w:sz="4" w:space="0"/>
              <w:left w:val="nil"/>
              <w:bottom w:val="single" w:color="000000" w:sz="4" w:space="0"/>
              <w:right w:val="single" w:color="000000" w:sz="4" w:space="0"/>
            </w:tcBorders>
            <w:vAlign w:val="center"/>
          </w:tcPr>
          <w:p w14:paraId="658AE6D2">
            <w:pPr>
              <w:widowControl/>
              <w:adjustRightInd w:val="0"/>
              <w:snapToGrid w:val="0"/>
              <w:spacing w:line="360" w:lineRule="exact"/>
              <w:jc w:val="left"/>
              <w:rPr>
                <w:rFonts w:ascii="宋体" w:hAnsi="宋体"/>
                <w:color w:val="auto"/>
                <w:kern w:val="0"/>
                <w:sz w:val="24"/>
              </w:rPr>
            </w:pPr>
            <w:r>
              <w:rPr>
                <w:rFonts w:hint="eastAsia" w:ascii="宋体" w:hAnsi="宋体"/>
                <w:color w:val="auto"/>
                <w:kern w:val="0"/>
                <w:sz w:val="24"/>
              </w:rPr>
              <w:t>详见遴选邀请公告</w:t>
            </w:r>
          </w:p>
        </w:tc>
      </w:tr>
      <w:tr w14:paraId="37E3A147">
        <w:tblPrEx>
          <w:tblCellMar>
            <w:top w:w="0" w:type="dxa"/>
            <w:left w:w="108" w:type="dxa"/>
            <w:bottom w:w="0" w:type="dxa"/>
            <w:right w:w="108" w:type="dxa"/>
          </w:tblCellMar>
        </w:tblPrEx>
        <w:trPr>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39857FB7">
            <w:pPr>
              <w:widowControl/>
              <w:spacing w:line="400" w:lineRule="exact"/>
              <w:jc w:val="center"/>
              <w:rPr>
                <w:rFonts w:ascii="宋体" w:hAnsi="宋体"/>
                <w:b/>
                <w:bCs/>
                <w:color w:val="auto"/>
                <w:kern w:val="0"/>
                <w:sz w:val="24"/>
              </w:rPr>
            </w:pPr>
            <w:r>
              <w:rPr>
                <w:rFonts w:hint="eastAsia" w:ascii="宋体" w:hAnsi="宋体"/>
                <w:b/>
                <w:bCs/>
                <w:color w:val="auto"/>
                <w:kern w:val="0"/>
                <w:sz w:val="24"/>
              </w:rPr>
              <w:t>6</w:t>
            </w:r>
          </w:p>
        </w:tc>
        <w:tc>
          <w:tcPr>
            <w:tcW w:w="2700" w:type="dxa"/>
            <w:tcBorders>
              <w:top w:val="single" w:color="000000" w:sz="4" w:space="0"/>
              <w:left w:val="nil"/>
              <w:bottom w:val="single" w:color="000000" w:sz="4" w:space="0"/>
              <w:right w:val="single" w:color="000000" w:sz="4" w:space="0"/>
            </w:tcBorders>
            <w:vAlign w:val="center"/>
          </w:tcPr>
          <w:p w14:paraId="2133B3D0">
            <w:pPr>
              <w:widowControl/>
              <w:adjustRightInd w:val="0"/>
              <w:snapToGrid w:val="0"/>
              <w:spacing w:line="360" w:lineRule="exact"/>
              <w:jc w:val="center"/>
              <w:rPr>
                <w:rFonts w:ascii="宋体" w:hAnsi="宋体"/>
                <w:b/>
                <w:bCs/>
                <w:color w:val="auto"/>
                <w:kern w:val="0"/>
                <w:sz w:val="24"/>
              </w:rPr>
            </w:pPr>
            <w:r>
              <w:rPr>
                <w:rFonts w:hint="eastAsia" w:ascii="宋体" w:hAnsi="宋体"/>
                <w:b/>
                <w:bCs/>
                <w:color w:val="auto"/>
                <w:kern w:val="0"/>
                <w:sz w:val="24"/>
                <w:lang w:eastAsia="zh-CN"/>
              </w:rPr>
              <w:t>供应商</w:t>
            </w:r>
            <w:r>
              <w:rPr>
                <w:rFonts w:hint="eastAsia" w:ascii="宋体" w:hAnsi="宋体"/>
                <w:b/>
                <w:bCs/>
                <w:color w:val="auto"/>
                <w:kern w:val="0"/>
                <w:sz w:val="24"/>
              </w:rPr>
              <w:t>提出问题的截止时间</w:t>
            </w:r>
          </w:p>
        </w:tc>
        <w:tc>
          <w:tcPr>
            <w:tcW w:w="6618" w:type="dxa"/>
            <w:tcBorders>
              <w:top w:val="single" w:color="000000" w:sz="4" w:space="0"/>
              <w:left w:val="nil"/>
              <w:bottom w:val="single" w:color="000000" w:sz="4" w:space="0"/>
              <w:right w:val="single" w:color="000000" w:sz="4" w:space="0"/>
            </w:tcBorders>
            <w:vAlign w:val="center"/>
          </w:tcPr>
          <w:p w14:paraId="0F1F62BA">
            <w:pPr>
              <w:widowControl/>
              <w:adjustRightInd w:val="0"/>
              <w:snapToGrid w:val="0"/>
              <w:spacing w:line="360" w:lineRule="exact"/>
              <w:rPr>
                <w:rFonts w:ascii="宋体" w:hAnsi="宋体"/>
                <w:b/>
                <w:bCs/>
                <w:color w:val="auto"/>
                <w:kern w:val="0"/>
                <w:sz w:val="24"/>
              </w:rPr>
            </w:pPr>
            <w:r>
              <w:rPr>
                <w:rFonts w:hint="eastAsia" w:ascii="宋体" w:hAnsi="宋体"/>
                <w:b/>
                <w:bCs/>
                <w:color w:val="auto"/>
                <w:kern w:val="0"/>
                <w:sz w:val="24"/>
                <w:u w:val="single"/>
              </w:rPr>
              <w:t>20</w:t>
            </w:r>
            <w:r>
              <w:rPr>
                <w:rFonts w:ascii="宋体" w:hAnsi="宋体"/>
                <w:b/>
                <w:bCs/>
                <w:color w:val="auto"/>
                <w:kern w:val="0"/>
                <w:sz w:val="24"/>
                <w:u w:val="single"/>
              </w:rPr>
              <w:t>2</w:t>
            </w:r>
            <w:r>
              <w:rPr>
                <w:rFonts w:hint="eastAsia" w:ascii="宋体" w:hAnsi="宋体"/>
                <w:b/>
                <w:bCs/>
                <w:color w:val="auto"/>
                <w:kern w:val="0"/>
                <w:sz w:val="24"/>
                <w:u w:val="single"/>
                <w:lang w:val="en-US" w:eastAsia="zh-CN"/>
              </w:rPr>
              <w:t>5</w:t>
            </w:r>
            <w:r>
              <w:rPr>
                <w:rFonts w:hint="eastAsia" w:ascii="宋体" w:hAnsi="宋体"/>
                <w:b/>
                <w:bCs/>
                <w:color w:val="auto"/>
                <w:kern w:val="0"/>
                <w:sz w:val="24"/>
              </w:rPr>
              <w:t>年</w:t>
            </w:r>
            <w:r>
              <w:rPr>
                <w:rFonts w:hint="eastAsia" w:ascii="宋体" w:hAnsi="宋体"/>
                <w:b/>
                <w:bCs/>
                <w:color w:val="auto"/>
                <w:kern w:val="0"/>
                <w:sz w:val="24"/>
                <w:u w:val="single"/>
                <w:lang w:val="en-US" w:eastAsia="zh-CN"/>
              </w:rPr>
              <w:t>12</w:t>
            </w:r>
            <w:r>
              <w:rPr>
                <w:rFonts w:hint="eastAsia" w:ascii="宋体" w:hAnsi="宋体"/>
                <w:b/>
                <w:bCs/>
                <w:color w:val="auto"/>
                <w:kern w:val="0"/>
                <w:sz w:val="24"/>
              </w:rPr>
              <w:t>月</w:t>
            </w:r>
            <w:r>
              <w:rPr>
                <w:rFonts w:hint="eastAsia" w:ascii="宋体" w:hAnsi="宋体"/>
                <w:b/>
                <w:bCs/>
                <w:color w:val="auto"/>
                <w:kern w:val="0"/>
                <w:sz w:val="24"/>
                <w:u w:val="single"/>
                <w:lang w:val="en-US" w:eastAsia="zh-CN"/>
              </w:rPr>
              <w:t>19</w:t>
            </w:r>
            <w:r>
              <w:rPr>
                <w:rFonts w:hint="eastAsia" w:ascii="宋体" w:hAnsi="宋体"/>
                <w:b/>
                <w:bCs/>
                <w:color w:val="auto"/>
                <w:kern w:val="0"/>
                <w:sz w:val="24"/>
              </w:rPr>
              <w:t>日</w:t>
            </w:r>
            <w:r>
              <w:rPr>
                <w:rFonts w:hint="eastAsia" w:ascii="宋体" w:hAnsi="宋体"/>
                <w:b/>
                <w:bCs/>
                <w:color w:val="auto"/>
                <w:kern w:val="0"/>
                <w:sz w:val="24"/>
                <w:u w:val="single"/>
              </w:rPr>
              <w:t>1</w:t>
            </w:r>
            <w:r>
              <w:rPr>
                <w:rFonts w:hint="eastAsia" w:ascii="宋体" w:hAnsi="宋体"/>
                <w:b/>
                <w:bCs/>
                <w:color w:val="auto"/>
                <w:kern w:val="0"/>
                <w:sz w:val="24"/>
                <w:u w:val="single"/>
                <w:lang w:val="en-US" w:eastAsia="zh-CN"/>
              </w:rPr>
              <w:t>7</w:t>
            </w:r>
            <w:r>
              <w:rPr>
                <w:rFonts w:hint="eastAsia" w:ascii="宋体" w:hAnsi="宋体"/>
                <w:b/>
                <w:bCs/>
                <w:color w:val="auto"/>
                <w:kern w:val="0"/>
                <w:sz w:val="24"/>
              </w:rPr>
              <w:t>时</w:t>
            </w:r>
            <w:r>
              <w:rPr>
                <w:rFonts w:hint="eastAsia" w:ascii="宋体" w:hAnsi="宋体"/>
                <w:b/>
                <w:bCs/>
                <w:color w:val="auto"/>
                <w:kern w:val="0"/>
                <w:sz w:val="24"/>
                <w:u w:val="single"/>
              </w:rPr>
              <w:t>00</w:t>
            </w:r>
            <w:r>
              <w:rPr>
                <w:rFonts w:hint="eastAsia" w:ascii="宋体" w:hAnsi="宋体"/>
                <w:b/>
                <w:bCs/>
                <w:color w:val="auto"/>
                <w:kern w:val="0"/>
                <w:sz w:val="24"/>
              </w:rPr>
              <w:t>分</w:t>
            </w:r>
          </w:p>
        </w:tc>
      </w:tr>
      <w:tr w14:paraId="3C5037A0">
        <w:tblPrEx>
          <w:tblCellMar>
            <w:top w:w="0" w:type="dxa"/>
            <w:left w:w="108" w:type="dxa"/>
            <w:bottom w:w="0" w:type="dxa"/>
            <w:right w:w="108" w:type="dxa"/>
          </w:tblCellMar>
        </w:tblPrEx>
        <w:trPr>
          <w:trHeight w:val="90" w:hRule="atLeast"/>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04A0D8BE">
            <w:pPr>
              <w:widowControl/>
              <w:spacing w:line="400" w:lineRule="exact"/>
              <w:jc w:val="center"/>
              <w:rPr>
                <w:rFonts w:ascii="宋体" w:hAnsi="宋体"/>
                <w:b/>
                <w:bCs/>
                <w:color w:val="auto"/>
                <w:kern w:val="0"/>
                <w:sz w:val="24"/>
              </w:rPr>
            </w:pPr>
            <w:r>
              <w:rPr>
                <w:rFonts w:hint="eastAsia" w:ascii="宋体" w:hAnsi="宋体"/>
                <w:b/>
                <w:bCs/>
                <w:color w:val="auto"/>
                <w:kern w:val="0"/>
                <w:sz w:val="24"/>
              </w:rPr>
              <w:t>7</w:t>
            </w:r>
          </w:p>
        </w:tc>
        <w:tc>
          <w:tcPr>
            <w:tcW w:w="2700" w:type="dxa"/>
            <w:tcBorders>
              <w:top w:val="single" w:color="000000" w:sz="4" w:space="0"/>
              <w:left w:val="nil"/>
              <w:bottom w:val="single" w:color="000000" w:sz="4" w:space="0"/>
              <w:right w:val="single" w:color="000000" w:sz="4" w:space="0"/>
            </w:tcBorders>
            <w:vAlign w:val="center"/>
          </w:tcPr>
          <w:p w14:paraId="73B5E0DB">
            <w:pPr>
              <w:widowControl/>
              <w:adjustRightInd w:val="0"/>
              <w:snapToGrid w:val="0"/>
              <w:spacing w:line="340" w:lineRule="exact"/>
              <w:jc w:val="center"/>
              <w:rPr>
                <w:rFonts w:ascii="宋体" w:hAnsi="宋体"/>
                <w:color w:val="auto"/>
                <w:kern w:val="0"/>
                <w:sz w:val="24"/>
              </w:rPr>
            </w:pPr>
            <w:r>
              <w:rPr>
                <w:rFonts w:hint="eastAsia" w:ascii="宋体" w:hAnsi="宋体"/>
                <w:color w:val="auto"/>
                <w:kern w:val="0"/>
                <w:sz w:val="24"/>
                <w:lang w:eastAsia="zh-CN"/>
              </w:rPr>
              <w:t>供应商</w:t>
            </w:r>
            <w:r>
              <w:rPr>
                <w:rFonts w:hint="eastAsia" w:ascii="宋体" w:hAnsi="宋体"/>
                <w:color w:val="auto"/>
                <w:kern w:val="0"/>
                <w:sz w:val="24"/>
              </w:rPr>
              <w:t>确认收到遴选文件澄清、修改及答疑的时间</w:t>
            </w:r>
          </w:p>
        </w:tc>
        <w:tc>
          <w:tcPr>
            <w:tcW w:w="6618" w:type="dxa"/>
            <w:tcBorders>
              <w:top w:val="single" w:color="000000" w:sz="4" w:space="0"/>
              <w:left w:val="nil"/>
              <w:bottom w:val="single" w:color="000000" w:sz="4" w:space="0"/>
              <w:right w:val="single" w:color="000000" w:sz="4" w:space="0"/>
            </w:tcBorders>
            <w:vAlign w:val="center"/>
          </w:tcPr>
          <w:p w14:paraId="5EEEF003">
            <w:pPr>
              <w:widowControl/>
              <w:adjustRightInd w:val="0"/>
              <w:snapToGrid w:val="0"/>
              <w:spacing w:line="360" w:lineRule="exact"/>
              <w:rPr>
                <w:rFonts w:ascii="宋体" w:hAnsi="宋体"/>
                <w:color w:val="auto"/>
                <w:kern w:val="0"/>
                <w:sz w:val="24"/>
                <w:u w:val="single"/>
              </w:rPr>
            </w:pPr>
            <w:r>
              <w:rPr>
                <w:rFonts w:hint="eastAsia" w:ascii="宋体" w:hAnsi="宋体"/>
                <w:color w:val="auto"/>
                <w:kern w:val="0"/>
                <w:sz w:val="24"/>
              </w:rPr>
              <w:t>以书面形式公布的遴选文件澄清、修改及答疑的时间为准</w:t>
            </w:r>
          </w:p>
        </w:tc>
      </w:tr>
      <w:tr w14:paraId="5FE0CBA5">
        <w:tblPrEx>
          <w:tblCellMar>
            <w:top w:w="0" w:type="dxa"/>
            <w:left w:w="108" w:type="dxa"/>
            <w:bottom w:w="0" w:type="dxa"/>
            <w:right w:w="108" w:type="dxa"/>
          </w:tblCellMar>
        </w:tblPrEx>
        <w:trPr>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333075FF">
            <w:pPr>
              <w:widowControl/>
              <w:spacing w:line="400" w:lineRule="exact"/>
              <w:jc w:val="center"/>
              <w:rPr>
                <w:rFonts w:ascii="宋体" w:hAnsi="宋体"/>
                <w:b/>
                <w:bCs/>
                <w:color w:val="auto"/>
                <w:kern w:val="0"/>
                <w:sz w:val="24"/>
              </w:rPr>
            </w:pPr>
            <w:r>
              <w:rPr>
                <w:rFonts w:hint="eastAsia" w:ascii="宋体" w:hAnsi="宋体"/>
                <w:b/>
                <w:bCs/>
                <w:color w:val="auto"/>
                <w:kern w:val="0"/>
                <w:sz w:val="24"/>
              </w:rPr>
              <w:t>8</w:t>
            </w:r>
          </w:p>
        </w:tc>
        <w:tc>
          <w:tcPr>
            <w:tcW w:w="2700" w:type="dxa"/>
            <w:tcBorders>
              <w:top w:val="single" w:color="000000" w:sz="4" w:space="0"/>
              <w:left w:val="nil"/>
              <w:bottom w:val="single" w:color="000000" w:sz="4" w:space="0"/>
              <w:right w:val="single" w:color="000000" w:sz="4" w:space="0"/>
            </w:tcBorders>
            <w:vAlign w:val="center"/>
          </w:tcPr>
          <w:p w14:paraId="77014ED5">
            <w:pPr>
              <w:widowControl/>
              <w:adjustRightInd w:val="0"/>
              <w:snapToGrid w:val="0"/>
              <w:spacing w:line="360" w:lineRule="exact"/>
              <w:jc w:val="center"/>
              <w:rPr>
                <w:rFonts w:ascii="宋体" w:hAnsi="宋体"/>
                <w:color w:val="auto"/>
                <w:kern w:val="0"/>
                <w:sz w:val="24"/>
              </w:rPr>
            </w:pPr>
            <w:r>
              <w:rPr>
                <w:rFonts w:hint="eastAsia" w:ascii="宋体" w:hAnsi="宋体"/>
                <w:color w:val="auto"/>
                <w:kern w:val="0"/>
                <w:sz w:val="24"/>
              </w:rPr>
              <w:t>报名时间</w:t>
            </w:r>
          </w:p>
        </w:tc>
        <w:tc>
          <w:tcPr>
            <w:tcW w:w="6618" w:type="dxa"/>
            <w:tcBorders>
              <w:top w:val="single" w:color="000000" w:sz="4" w:space="0"/>
              <w:left w:val="nil"/>
              <w:bottom w:val="single" w:color="000000" w:sz="4" w:space="0"/>
              <w:right w:val="single" w:color="000000" w:sz="4" w:space="0"/>
            </w:tcBorders>
            <w:vAlign w:val="center"/>
          </w:tcPr>
          <w:p w14:paraId="0CD3A23E">
            <w:pPr>
              <w:widowControl/>
              <w:adjustRightInd w:val="0"/>
              <w:snapToGrid w:val="0"/>
              <w:spacing w:line="360" w:lineRule="exact"/>
              <w:rPr>
                <w:rFonts w:ascii="宋体" w:hAnsi="宋体"/>
                <w:color w:val="auto"/>
                <w:kern w:val="0"/>
                <w:sz w:val="24"/>
              </w:rPr>
            </w:pPr>
            <w:r>
              <w:rPr>
                <w:rFonts w:hint="eastAsia" w:ascii="宋体" w:hAnsi="宋体"/>
                <w:color w:val="auto"/>
                <w:kern w:val="0"/>
                <w:sz w:val="24"/>
                <w:u w:val="single"/>
              </w:rPr>
              <w:t>20</w:t>
            </w:r>
            <w:r>
              <w:rPr>
                <w:rFonts w:ascii="宋体" w:hAnsi="宋体"/>
                <w:color w:val="auto"/>
                <w:kern w:val="0"/>
                <w:sz w:val="24"/>
                <w:u w:val="single"/>
              </w:rPr>
              <w:t>2</w:t>
            </w:r>
            <w:r>
              <w:rPr>
                <w:rFonts w:hint="eastAsia" w:ascii="宋体" w:hAnsi="宋体"/>
                <w:color w:val="auto"/>
                <w:kern w:val="0"/>
                <w:sz w:val="24"/>
                <w:u w:val="single"/>
                <w:lang w:val="en-US" w:eastAsia="zh-CN"/>
              </w:rPr>
              <w:t>5</w:t>
            </w:r>
            <w:r>
              <w:rPr>
                <w:rFonts w:hint="eastAsia" w:ascii="宋体" w:hAnsi="宋体"/>
                <w:color w:val="auto"/>
                <w:kern w:val="0"/>
                <w:sz w:val="24"/>
              </w:rPr>
              <w:t>年</w:t>
            </w:r>
            <w:r>
              <w:rPr>
                <w:rFonts w:hint="eastAsia" w:ascii="宋体" w:hAnsi="宋体"/>
                <w:color w:val="auto"/>
                <w:kern w:val="0"/>
                <w:sz w:val="24"/>
                <w:u w:val="single"/>
                <w:lang w:val="en-US" w:eastAsia="zh-CN"/>
              </w:rPr>
              <w:t>12</w:t>
            </w:r>
            <w:r>
              <w:rPr>
                <w:rFonts w:hint="eastAsia" w:ascii="宋体" w:hAnsi="宋体"/>
                <w:color w:val="auto"/>
                <w:kern w:val="0"/>
                <w:sz w:val="24"/>
              </w:rPr>
              <w:t>月</w:t>
            </w:r>
            <w:r>
              <w:rPr>
                <w:rFonts w:hint="eastAsia" w:ascii="宋体" w:hAnsi="宋体"/>
                <w:color w:val="auto"/>
                <w:kern w:val="0"/>
                <w:sz w:val="24"/>
                <w:u w:val="single"/>
                <w:lang w:val="en-US" w:eastAsia="zh-CN"/>
              </w:rPr>
              <w:t>15</w:t>
            </w:r>
            <w:r>
              <w:rPr>
                <w:rFonts w:hint="eastAsia" w:ascii="宋体" w:hAnsi="宋体"/>
                <w:color w:val="auto"/>
                <w:kern w:val="0"/>
                <w:sz w:val="24"/>
              </w:rPr>
              <w:t>日至</w:t>
            </w:r>
            <w:r>
              <w:rPr>
                <w:rFonts w:hint="eastAsia" w:ascii="宋体" w:hAnsi="宋体"/>
                <w:color w:val="auto"/>
                <w:kern w:val="0"/>
                <w:sz w:val="24"/>
                <w:u w:val="single"/>
              </w:rPr>
              <w:t>20</w:t>
            </w:r>
            <w:r>
              <w:rPr>
                <w:rFonts w:ascii="宋体" w:hAnsi="宋体"/>
                <w:color w:val="auto"/>
                <w:kern w:val="0"/>
                <w:sz w:val="24"/>
                <w:u w:val="single"/>
              </w:rPr>
              <w:t>2</w:t>
            </w:r>
            <w:r>
              <w:rPr>
                <w:rFonts w:hint="eastAsia" w:ascii="宋体" w:hAnsi="宋体"/>
                <w:color w:val="auto"/>
                <w:kern w:val="0"/>
                <w:sz w:val="24"/>
                <w:u w:val="single"/>
                <w:lang w:val="en-US" w:eastAsia="zh-CN"/>
              </w:rPr>
              <w:t>5</w:t>
            </w:r>
            <w:r>
              <w:rPr>
                <w:rFonts w:hint="eastAsia" w:ascii="宋体" w:hAnsi="宋体"/>
                <w:color w:val="auto"/>
                <w:kern w:val="0"/>
                <w:sz w:val="24"/>
              </w:rPr>
              <w:t>年</w:t>
            </w:r>
            <w:r>
              <w:rPr>
                <w:rFonts w:hint="eastAsia" w:ascii="宋体" w:hAnsi="宋体"/>
                <w:color w:val="auto"/>
                <w:kern w:val="0"/>
                <w:sz w:val="24"/>
                <w:u w:val="single"/>
                <w:lang w:val="en-US" w:eastAsia="zh-CN"/>
              </w:rPr>
              <w:t>12</w:t>
            </w:r>
            <w:r>
              <w:rPr>
                <w:rFonts w:hint="eastAsia" w:ascii="宋体" w:hAnsi="宋体"/>
                <w:color w:val="auto"/>
                <w:kern w:val="0"/>
                <w:sz w:val="24"/>
              </w:rPr>
              <w:t>月</w:t>
            </w:r>
            <w:r>
              <w:rPr>
                <w:rFonts w:hint="eastAsia" w:ascii="宋体" w:hAnsi="宋体"/>
                <w:color w:val="auto"/>
                <w:kern w:val="0"/>
                <w:sz w:val="24"/>
                <w:u w:val="single"/>
                <w:lang w:val="en-US" w:eastAsia="zh-CN"/>
              </w:rPr>
              <w:t>24</w:t>
            </w:r>
            <w:r>
              <w:rPr>
                <w:rFonts w:hint="eastAsia" w:ascii="宋体" w:hAnsi="宋体"/>
                <w:color w:val="auto"/>
                <w:kern w:val="0"/>
                <w:sz w:val="24"/>
              </w:rPr>
              <w:t>日</w:t>
            </w:r>
            <w:r>
              <w:rPr>
                <w:rFonts w:hint="eastAsia" w:ascii="宋体" w:hAnsi="宋体"/>
                <w:color w:val="auto"/>
                <w:kern w:val="0"/>
                <w:sz w:val="24"/>
                <w:u w:val="single"/>
              </w:rPr>
              <w:t>1</w:t>
            </w:r>
            <w:r>
              <w:rPr>
                <w:rFonts w:hint="eastAsia" w:ascii="宋体" w:hAnsi="宋体"/>
                <w:color w:val="auto"/>
                <w:kern w:val="0"/>
                <w:sz w:val="24"/>
                <w:u w:val="single"/>
                <w:lang w:val="en-US" w:eastAsia="zh-CN"/>
              </w:rPr>
              <w:t>8</w:t>
            </w:r>
            <w:r>
              <w:rPr>
                <w:rFonts w:hint="eastAsia" w:ascii="宋体" w:hAnsi="宋体"/>
                <w:color w:val="auto"/>
                <w:kern w:val="0"/>
                <w:sz w:val="24"/>
              </w:rPr>
              <w:t>时</w:t>
            </w:r>
            <w:r>
              <w:rPr>
                <w:rFonts w:hint="eastAsia" w:ascii="宋体" w:hAnsi="宋体"/>
                <w:color w:val="auto"/>
                <w:kern w:val="0"/>
                <w:sz w:val="24"/>
                <w:u w:val="single"/>
              </w:rPr>
              <w:t xml:space="preserve"> 00</w:t>
            </w:r>
            <w:r>
              <w:rPr>
                <w:rFonts w:hint="eastAsia" w:ascii="宋体" w:hAnsi="宋体"/>
                <w:color w:val="auto"/>
                <w:kern w:val="0"/>
                <w:sz w:val="24"/>
              </w:rPr>
              <w:t>分止</w:t>
            </w:r>
          </w:p>
        </w:tc>
      </w:tr>
      <w:tr w14:paraId="2B3EF558">
        <w:tblPrEx>
          <w:tblCellMar>
            <w:top w:w="0" w:type="dxa"/>
            <w:left w:w="108" w:type="dxa"/>
            <w:bottom w:w="0" w:type="dxa"/>
            <w:right w:w="108" w:type="dxa"/>
          </w:tblCellMar>
        </w:tblPrEx>
        <w:trPr>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398143ED">
            <w:pPr>
              <w:widowControl/>
              <w:spacing w:line="400" w:lineRule="exact"/>
              <w:jc w:val="center"/>
              <w:rPr>
                <w:rFonts w:ascii="宋体" w:hAnsi="宋体"/>
                <w:b/>
                <w:bCs/>
                <w:color w:val="auto"/>
                <w:kern w:val="0"/>
                <w:sz w:val="24"/>
              </w:rPr>
            </w:pPr>
            <w:r>
              <w:rPr>
                <w:rFonts w:hint="eastAsia" w:ascii="宋体" w:hAnsi="宋体"/>
                <w:b/>
                <w:bCs/>
                <w:color w:val="auto"/>
                <w:kern w:val="0"/>
                <w:sz w:val="24"/>
              </w:rPr>
              <w:t>9</w:t>
            </w:r>
          </w:p>
        </w:tc>
        <w:tc>
          <w:tcPr>
            <w:tcW w:w="2700" w:type="dxa"/>
            <w:tcBorders>
              <w:top w:val="single" w:color="000000" w:sz="4" w:space="0"/>
              <w:left w:val="nil"/>
              <w:bottom w:val="single" w:color="000000" w:sz="4" w:space="0"/>
              <w:right w:val="single" w:color="000000" w:sz="4" w:space="0"/>
            </w:tcBorders>
            <w:vAlign w:val="center"/>
          </w:tcPr>
          <w:p w14:paraId="3C950E2F">
            <w:pPr>
              <w:widowControl/>
              <w:adjustRightInd w:val="0"/>
              <w:snapToGrid w:val="0"/>
              <w:spacing w:line="360" w:lineRule="exact"/>
              <w:jc w:val="center"/>
              <w:rPr>
                <w:rFonts w:ascii="宋体" w:hAnsi="宋体"/>
                <w:color w:val="auto"/>
                <w:kern w:val="0"/>
                <w:sz w:val="24"/>
              </w:rPr>
            </w:pPr>
            <w:r>
              <w:rPr>
                <w:rFonts w:hint="eastAsia" w:ascii="宋体" w:hAnsi="宋体"/>
                <w:color w:val="auto"/>
                <w:kern w:val="0"/>
                <w:sz w:val="24"/>
                <w:lang w:val="en-US" w:eastAsia="zh-CN"/>
              </w:rPr>
              <w:t>响应</w:t>
            </w:r>
            <w:r>
              <w:rPr>
                <w:rFonts w:hint="eastAsia" w:ascii="宋体" w:hAnsi="宋体"/>
                <w:color w:val="auto"/>
                <w:kern w:val="0"/>
                <w:sz w:val="24"/>
                <w:lang w:eastAsia="zh-CN"/>
              </w:rPr>
              <w:t>文件</w:t>
            </w:r>
            <w:r>
              <w:rPr>
                <w:rFonts w:hint="eastAsia" w:ascii="宋体" w:hAnsi="宋体"/>
                <w:color w:val="auto"/>
                <w:kern w:val="0"/>
                <w:sz w:val="24"/>
              </w:rPr>
              <w:t>递交时间(即遴选时间)</w:t>
            </w:r>
          </w:p>
        </w:tc>
        <w:tc>
          <w:tcPr>
            <w:tcW w:w="6618" w:type="dxa"/>
            <w:tcBorders>
              <w:top w:val="single" w:color="000000" w:sz="4" w:space="0"/>
              <w:left w:val="nil"/>
              <w:bottom w:val="single" w:color="000000" w:sz="4" w:space="0"/>
              <w:right w:val="single" w:color="000000" w:sz="4" w:space="0"/>
            </w:tcBorders>
            <w:vAlign w:val="center"/>
          </w:tcPr>
          <w:p w14:paraId="7A87C9EE">
            <w:pPr>
              <w:widowControl/>
              <w:adjustRightInd w:val="0"/>
              <w:snapToGrid w:val="0"/>
              <w:spacing w:line="360" w:lineRule="exact"/>
              <w:rPr>
                <w:rFonts w:hint="eastAsia" w:ascii="宋体" w:hAnsi="宋体" w:eastAsia="宋体"/>
                <w:color w:val="auto"/>
                <w:kern w:val="0"/>
                <w:sz w:val="24"/>
                <w:lang w:eastAsia="zh-CN"/>
              </w:rPr>
            </w:pPr>
            <w:r>
              <w:rPr>
                <w:rFonts w:hint="eastAsia" w:ascii="宋体" w:hAnsi="宋体"/>
                <w:color w:val="auto"/>
                <w:kern w:val="0"/>
                <w:sz w:val="24"/>
                <w:lang w:eastAsia="zh-CN"/>
              </w:rPr>
              <w:t>报名截止后以</w:t>
            </w:r>
            <w:r>
              <w:rPr>
                <w:rFonts w:hint="eastAsia" w:ascii="宋体" w:hAnsi="宋体"/>
                <w:color w:val="auto"/>
                <w:kern w:val="0"/>
                <w:sz w:val="24"/>
                <w:lang w:val="en-US" w:eastAsia="zh-CN"/>
              </w:rPr>
              <w:t>采购人</w:t>
            </w:r>
            <w:r>
              <w:rPr>
                <w:rFonts w:hint="eastAsia" w:ascii="宋体" w:hAnsi="宋体"/>
                <w:color w:val="auto"/>
                <w:kern w:val="0"/>
                <w:sz w:val="24"/>
                <w:lang w:eastAsia="zh-CN"/>
              </w:rPr>
              <w:t>通知为准</w:t>
            </w:r>
            <w:bookmarkStart w:id="1" w:name="_GoBack"/>
            <w:bookmarkEnd w:id="1"/>
          </w:p>
        </w:tc>
      </w:tr>
      <w:tr w14:paraId="0C7B8BAC">
        <w:tblPrEx>
          <w:tblCellMar>
            <w:top w:w="0" w:type="dxa"/>
            <w:left w:w="108" w:type="dxa"/>
            <w:bottom w:w="0" w:type="dxa"/>
            <w:right w:w="108" w:type="dxa"/>
          </w:tblCellMar>
        </w:tblPrEx>
        <w:trPr>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342EEF35">
            <w:pPr>
              <w:widowControl/>
              <w:spacing w:line="400" w:lineRule="exact"/>
              <w:jc w:val="center"/>
              <w:rPr>
                <w:rFonts w:ascii="宋体" w:hAnsi="宋体"/>
                <w:b/>
                <w:bCs/>
                <w:color w:val="auto"/>
                <w:kern w:val="0"/>
                <w:sz w:val="24"/>
              </w:rPr>
            </w:pPr>
            <w:r>
              <w:rPr>
                <w:rFonts w:hint="eastAsia" w:ascii="宋体" w:hAnsi="宋体"/>
                <w:b/>
                <w:bCs/>
                <w:color w:val="auto"/>
                <w:kern w:val="0"/>
                <w:sz w:val="24"/>
              </w:rPr>
              <w:t>10</w:t>
            </w:r>
          </w:p>
        </w:tc>
        <w:tc>
          <w:tcPr>
            <w:tcW w:w="2700" w:type="dxa"/>
            <w:tcBorders>
              <w:top w:val="single" w:color="000000" w:sz="4" w:space="0"/>
              <w:left w:val="nil"/>
              <w:bottom w:val="single" w:color="000000" w:sz="4" w:space="0"/>
              <w:right w:val="single" w:color="000000" w:sz="4" w:space="0"/>
            </w:tcBorders>
            <w:vAlign w:val="center"/>
          </w:tcPr>
          <w:p w14:paraId="01857A96">
            <w:pPr>
              <w:widowControl/>
              <w:adjustRightInd w:val="0"/>
              <w:snapToGrid w:val="0"/>
              <w:spacing w:line="360" w:lineRule="exact"/>
              <w:jc w:val="center"/>
              <w:rPr>
                <w:rFonts w:ascii="宋体" w:hAnsi="宋体"/>
                <w:color w:val="auto"/>
                <w:kern w:val="0"/>
                <w:sz w:val="24"/>
              </w:rPr>
            </w:pPr>
            <w:r>
              <w:rPr>
                <w:rFonts w:hint="eastAsia" w:ascii="宋体" w:hAnsi="宋体"/>
                <w:color w:val="auto"/>
                <w:kern w:val="0"/>
                <w:sz w:val="24"/>
                <w:lang w:val="en-US" w:eastAsia="zh-CN"/>
              </w:rPr>
              <w:t>响应</w:t>
            </w:r>
            <w:r>
              <w:rPr>
                <w:rFonts w:hint="eastAsia" w:ascii="宋体" w:hAnsi="宋体"/>
                <w:color w:val="auto"/>
                <w:kern w:val="0"/>
                <w:sz w:val="24"/>
                <w:lang w:eastAsia="zh-CN"/>
              </w:rPr>
              <w:t>文件</w:t>
            </w:r>
            <w:r>
              <w:rPr>
                <w:rFonts w:hint="eastAsia" w:ascii="宋体" w:hAnsi="宋体"/>
                <w:color w:val="auto"/>
                <w:kern w:val="0"/>
                <w:sz w:val="24"/>
              </w:rPr>
              <w:t>递交的地点(即遴选地点)</w:t>
            </w:r>
          </w:p>
        </w:tc>
        <w:tc>
          <w:tcPr>
            <w:tcW w:w="6618" w:type="dxa"/>
            <w:tcBorders>
              <w:top w:val="single" w:color="000000" w:sz="4" w:space="0"/>
              <w:left w:val="nil"/>
              <w:bottom w:val="single" w:color="000000" w:sz="4" w:space="0"/>
              <w:right w:val="single" w:color="000000" w:sz="4" w:space="0"/>
            </w:tcBorders>
            <w:vAlign w:val="center"/>
          </w:tcPr>
          <w:p w14:paraId="6B3351DC">
            <w:pPr>
              <w:widowControl/>
              <w:adjustRightInd w:val="0"/>
              <w:snapToGrid w:val="0"/>
              <w:spacing w:line="360" w:lineRule="exact"/>
              <w:rPr>
                <w:rFonts w:hint="default" w:ascii="宋体" w:hAnsi="宋体" w:eastAsia="宋体"/>
                <w:color w:val="auto"/>
                <w:kern w:val="0"/>
                <w:sz w:val="24"/>
                <w:lang w:val="en-US" w:eastAsia="zh-CN"/>
              </w:rPr>
            </w:pPr>
            <w:r>
              <w:rPr>
                <w:rFonts w:hint="eastAsia" w:ascii="宋体" w:hAnsi="宋体"/>
                <w:color w:val="auto"/>
                <w:kern w:val="0"/>
                <w:sz w:val="24"/>
                <w:lang w:eastAsia="zh-CN"/>
              </w:rPr>
              <w:t>娄底市中心医院综合楼</w:t>
            </w:r>
            <w:r>
              <w:rPr>
                <w:rFonts w:hint="eastAsia" w:ascii="宋体" w:hAnsi="宋体"/>
                <w:color w:val="auto"/>
                <w:kern w:val="0"/>
                <w:sz w:val="24"/>
                <w:lang w:val="en-US" w:eastAsia="zh-CN"/>
              </w:rPr>
              <w:t>418会议室（</w:t>
            </w:r>
            <w:r>
              <w:rPr>
                <w:rFonts w:hint="eastAsia" w:ascii="宋体" w:hAnsi="宋体"/>
                <w:color w:val="auto"/>
                <w:kern w:val="0"/>
                <w:sz w:val="24"/>
                <w:lang w:eastAsia="zh-CN"/>
              </w:rPr>
              <w:t>报名截止后以医院通知为准）</w:t>
            </w:r>
          </w:p>
        </w:tc>
      </w:tr>
      <w:tr w14:paraId="5CA34F7D">
        <w:tblPrEx>
          <w:tblCellMar>
            <w:top w:w="0" w:type="dxa"/>
            <w:left w:w="108" w:type="dxa"/>
            <w:bottom w:w="0" w:type="dxa"/>
            <w:right w:w="108" w:type="dxa"/>
          </w:tblCellMar>
        </w:tblPrEx>
        <w:trPr>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5FFB2CEF">
            <w:pPr>
              <w:widowControl/>
              <w:spacing w:line="400" w:lineRule="exact"/>
              <w:jc w:val="center"/>
              <w:rPr>
                <w:rFonts w:ascii="宋体" w:hAnsi="宋体"/>
                <w:b/>
                <w:bCs/>
                <w:color w:val="auto"/>
                <w:kern w:val="0"/>
                <w:sz w:val="24"/>
              </w:rPr>
            </w:pPr>
            <w:r>
              <w:rPr>
                <w:rFonts w:hint="eastAsia" w:ascii="宋体" w:hAnsi="宋体"/>
                <w:b/>
                <w:bCs/>
                <w:color w:val="auto"/>
                <w:kern w:val="0"/>
                <w:sz w:val="24"/>
              </w:rPr>
              <w:t>11</w:t>
            </w:r>
          </w:p>
        </w:tc>
        <w:tc>
          <w:tcPr>
            <w:tcW w:w="2700" w:type="dxa"/>
            <w:tcBorders>
              <w:top w:val="single" w:color="000000" w:sz="4" w:space="0"/>
              <w:left w:val="nil"/>
              <w:bottom w:val="single" w:color="000000" w:sz="4" w:space="0"/>
              <w:right w:val="single" w:color="000000" w:sz="4" w:space="0"/>
            </w:tcBorders>
            <w:vAlign w:val="center"/>
          </w:tcPr>
          <w:p w14:paraId="4849988C">
            <w:pPr>
              <w:widowControl/>
              <w:adjustRightInd w:val="0"/>
              <w:snapToGrid w:val="0"/>
              <w:spacing w:line="360" w:lineRule="exact"/>
              <w:jc w:val="center"/>
              <w:rPr>
                <w:rFonts w:ascii="宋体" w:hAnsi="宋体"/>
                <w:color w:val="auto"/>
                <w:kern w:val="0"/>
                <w:sz w:val="24"/>
              </w:rPr>
            </w:pPr>
            <w:r>
              <w:rPr>
                <w:rFonts w:hint="eastAsia" w:ascii="宋体" w:hAnsi="宋体"/>
                <w:color w:val="auto"/>
                <w:kern w:val="0"/>
                <w:sz w:val="24"/>
                <w:lang w:val="en-US" w:eastAsia="zh-CN"/>
              </w:rPr>
              <w:t>响应</w:t>
            </w:r>
            <w:r>
              <w:rPr>
                <w:rFonts w:hint="eastAsia" w:ascii="宋体" w:hAnsi="宋体"/>
                <w:color w:val="auto"/>
                <w:kern w:val="0"/>
                <w:sz w:val="24"/>
                <w:lang w:eastAsia="zh-CN"/>
              </w:rPr>
              <w:t>文件</w:t>
            </w:r>
            <w:r>
              <w:rPr>
                <w:rFonts w:hint="eastAsia" w:ascii="宋体" w:hAnsi="宋体"/>
                <w:color w:val="auto"/>
                <w:kern w:val="0"/>
                <w:sz w:val="24"/>
              </w:rPr>
              <w:t>份数</w:t>
            </w:r>
          </w:p>
        </w:tc>
        <w:tc>
          <w:tcPr>
            <w:tcW w:w="6618" w:type="dxa"/>
            <w:tcBorders>
              <w:top w:val="single" w:color="000000" w:sz="4" w:space="0"/>
              <w:left w:val="nil"/>
              <w:bottom w:val="single" w:color="000000" w:sz="4" w:space="0"/>
              <w:right w:val="single" w:color="000000" w:sz="4" w:space="0"/>
            </w:tcBorders>
            <w:vAlign w:val="center"/>
          </w:tcPr>
          <w:p w14:paraId="7A9E3353">
            <w:pPr>
              <w:widowControl/>
              <w:adjustRightInd w:val="0"/>
              <w:snapToGrid w:val="0"/>
              <w:spacing w:line="360" w:lineRule="exact"/>
              <w:rPr>
                <w:rFonts w:ascii="宋体" w:hAnsi="宋体"/>
                <w:color w:val="auto"/>
                <w:kern w:val="0"/>
                <w:sz w:val="24"/>
              </w:rPr>
            </w:pPr>
            <w:r>
              <w:rPr>
                <w:rFonts w:hint="eastAsia" w:ascii="宋体" w:hAnsi="宋体"/>
                <w:color w:val="auto"/>
                <w:kern w:val="0"/>
                <w:sz w:val="24"/>
              </w:rPr>
              <w:t>每包</w:t>
            </w:r>
            <w:r>
              <w:rPr>
                <w:rFonts w:hint="eastAsia" w:ascii="宋体" w:hAnsi="宋体"/>
                <w:color w:val="auto"/>
                <w:kern w:val="0"/>
                <w:sz w:val="24"/>
                <w:lang w:eastAsia="zh-CN"/>
              </w:rPr>
              <w:t>纸质版</w:t>
            </w:r>
            <w:r>
              <w:rPr>
                <w:rFonts w:hint="eastAsia" w:ascii="宋体" w:hAnsi="宋体"/>
                <w:color w:val="auto"/>
                <w:kern w:val="0"/>
                <w:sz w:val="24"/>
                <w:lang w:val="en-US" w:eastAsia="zh-CN"/>
              </w:rPr>
              <w:t>2</w:t>
            </w:r>
            <w:r>
              <w:rPr>
                <w:rFonts w:hint="eastAsia" w:ascii="宋体" w:hAnsi="宋体"/>
                <w:color w:val="auto"/>
                <w:kern w:val="0"/>
                <w:sz w:val="24"/>
              </w:rPr>
              <w:t>份</w:t>
            </w:r>
            <w:r>
              <w:rPr>
                <w:rFonts w:hint="eastAsia" w:ascii="宋体" w:hAnsi="宋体"/>
                <w:color w:val="auto"/>
                <w:kern w:val="0"/>
                <w:sz w:val="24"/>
                <w:lang w:eastAsia="zh-CN"/>
              </w:rPr>
              <w:t>，电子</w:t>
            </w:r>
            <w:r>
              <w:rPr>
                <w:rFonts w:hint="eastAsia" w:ascii="宋体" w:hAnsi="宋体"/>
                <w:color w:val="auto"/>
                <w:kern w:val="0"/>
                <w:sz w:val="24"/>
                <w:lang w:val="en-US" w:eastAsia="zh-CN"/>
              </w:rPr>
              <w:t>U盘</w:t>
            </w:r>
            <w:r>
              <w:rPr>
                <w:rFonts w:hint="eastAsia" w:ascii="宋体" w:hAnsi="宋体"/>
                <w:color w:val="auto"/>
                <w:kern w:val="0"/>
                <w:sz w:val="24"/>
                <w:lang w:eastAsia="zh-CN"/>
              </w:rPr>
              <w:t>扫描版</w:t>
            </w:r>
            <w:r>
              <w:rPr>
                <w:rFonts w:hint="eastAsia" w:ascii="宋体" w:hAnsi="宋体"/>
                <w:color w:val="auto"/>
                <w:kern w:val="0"/>
                <w:sz w:val="24"/>
                <w:lang w:val="en-US" w:eastAsia="zh-CN"/>
              </w:rPr>
              <w:t>1份</w:t>
            </w:r>
            <w:r>
              <w:rPr>
                <w:rFonts w:hint="eastAsia" w:ascii="宋体" w:hAnsi="宋体"/>
                <w:color w:val="auto"/>
                <w:kern w:val="0"/>
                <w:sz w:val="24"/>
              </w:rPr>
              <w:t>(</w:t>
            </w:r>
            <w:r>
              <w:rPr>
                <w:rFonts w:hint="eastAsia" w:ascii="宋体" w:hAnsi="宋体"/>
                <w:color w:val="auto"/>
                <w:kern w:val="0"/>
                <w:sz w:val="24"/>
                <w:lang w:eastAsia="zh-CN"/>
              </w:rPr>
              <w:t>纸质版均需加盖公章，</w:t>
            </w:r>
            <w:r>
              <w:rPr>
                <w:rFonts w:hint="eastAsia" w:ascii="宋体" w:hAnsi="宋体"/>
                <w:color w:val="auto"/>
                <w:kern w:val="0"/>
                <w:sz w:val="24"/>
              </w:rPr>
              <w:t>相关文件</w:t>
            </w:r>
            <w:r>
              <w:rPr>
                <w:rFonts w:hint="eastAsia" w:ascii="宋体" w:hAnsi="宋体"/>
                <w:color w:val="auto"/>
                <w:kern w:val="0"/>
                <w:sz w:val="24"/>
                <w:lang w:eastAsia="zh-CN"/>
              </w:rPr>
              <w:t>、</w:t>
            </w:r>
            <w:r>
              <w:rPr>
                <w:rFonts w:hint="eastAsia" w:ascii="宋体" w:hAnsi="宋体"/>
                <w:color w:val="auto"/>
                <w:kern w:val="0"/>
                <w:sz w:val="24"/>
              </w:rPr>
              <w:t>资料</w:t>
            </w:r>
            <w:r>
              <w:rPr>
                <w:rFonts w:hint="eastAsia" w:ascii="宋体" w:hAnsi="宋体"/>
                <w:color w:val="auto"/>
                <w:kern w:val="0"/>
                <w:sz w:val="24"/>
                <w:lang w:eastAsia="zh-CN"/>
              </w:rPr>
              <w:t>及</w:t>
            </w:r>
            <w:r>
              <w:rPr>
                <w:rFonts w:hint="eastAsia" w:ascii="宋体" w:hAnsi="宋体"/>
                <w:color w:val="auto"/>
                <w:kern w:val="0"/>
                <w:sz w:val="24"/>
                <w:lang w:val="en-US" w:eastAsia="zh-CN"/>
              </w:rPr>
              <w:t>U盘</w:t>
            </w:r>
            <w:r>
              <w:rPr>
                <w:rFonts w:hint="eastAsia" w:ascii="宋体" w:hAnsi="宋体"/>
                <w:color w:val="auto"/>
                <w:kern w:val="0"/>
                <w:sz w:val="24"/>
              </w:rPr>
              <w:t>不退还)</w:t>
            </w:r>
          </w:p>
        </w:tc>
      </w:tr>
      <w:tr w14:paraId="5AF2CD03">
        <w:tblPrEx>
          <w:tblCellMar>
            <w:top w:w="0" w:type="dxa"/>
            <w:left w:w="108" w:type="dxa"/>
            <w:bottom w:w="0" w:type="dxa"/>
            <w:right w:w="108" w:type="dxa"/>
          </w:tblCellMar>
        </w:tblPrEx>
        <w:trPr>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7BD2144F">
            <w:pPr>
              <w:widowControl/>
              <w:spacing w:line="400" w:lineRule="exact"/>
              <w:jc w:val="center"/>
              <w:rPr>
                <w:rFonts w:ascii="宋体" w:hAnsi="宋体"/>
                <w:b/>
                <w:bCs/>
                <w:color w:val="auto"/>
                <w:kern w:val="0"/>
                <w:sz w:val="24"/>
              </w:rPr>
            </w:pPr>
            <w:r>
              <w:rPr>
                <w:rFonts w:hint="eastAsia" w:ascii="宋体" w:hAnsi="宋体"/>
                <w:b/>
                <w:bCs/>
                <w:color w:val="auto"/>
                <w:kern w:val="0"/>
                <w:sz w:val="24"/>
              </w:rPr>
              <w:t>12</w:t>
            </w:r>
          </w:p>
        </w:tc>
        <w:tc>
          <w:tcPr>
            <w:tcW w:w="2700" w:type="dxa"/>
            <w:tcBorders>
              <w:top w:val="single" w:color="000000" w:sz="4" w:space="0"/>
              <w:left w:val="nil"/>
              <w:bottom w:val="single" w:color="000000" w:sz="4" w:space="0"/>
              <w:right w:val="single" w:color="000000" w:sz="4" w:space="0"/>
            </w:tcBorders>
            <w:vAlign w:val="center"/>
          </w:tcPr>
          <w:p w14:paraId="721E0721">
            <w:pPr>
              <w:widowControl/>
              <w:adjustRightInd w:val="0"/>
              <w:snapToGrid w:val="0"/>
              <w:spacing w:line="360" w:lineRule="exact"/>
              <w:jc w:val="center"/>
              <w:rPr>
                <w:rFonts w:ascii="宋体" w:hAnsi="宋体"/>
                <w:color w:val="auto"/>
                <w:kern w:val="0"/>
                <w:sz w:val="24"/>
              </w:rPr>
            </w:pPr>
            <w:r>
              <w:rPr>
                <w:rFonts w:hint="eastAsia" w:ascii="宋体" w:hAnsi="宋体"/>
                <w:color w:val="auto"/>
                <w:kern w:val="0"/>
                <w:sz w:val="24"/>
              </w:rPr>
              <w:t>遴选有效期</w:t>
            </w:r>
          </w:p>
        </w:tc>
        <w:tc>
          <w:tcPr>
            <w:tcW w:w="6618" w:type="dxa"/>
            <w:tcBorders>
              <w:top w:val="single" w:color="000000" w:sz="4" w:space="0"/>
              <w:left w:val="nil"/>
              <w:bottom w:val="single" w:color="000000" w:sz="4" w:space="0"/>
              <w:right w:val="single" w:color="000000" w:sz="4" w:space="0"/>
            </w:tcBorders>
            <w:vAlign w:val="center"/>
          </w:tcPr>
          <w:p w14:paraId="7BBA51E0">
            <w:pPr>
              <w:widowControl/>
              <w:adjustRightInd w:val="0"/>
              <w:snapToGrid w:val="0"/>
              <w:spacing w:line="360" w:lineRule="exact"/>
              <w:rPr>
                <w:rFonts w:ascii="宋体" w:hAnsi="宋体"/>
                <w:color w:val="auto"/>
                <w:kern w:val="0"/>
                <w:sz w:val="24"/>
              </w:rPr>
            </w:pPr>
            <w:r>
              <w:rPr>
                <w:rFonts w:hint="eastAsia" w:ascii="宋体" w:hAnsi="宋体"/>
                <w:color w:val="auto"/>
                <w:kern w:val="0"/>
                <w:sz w:val="24"/>
              </w:rPr>
              <w:t>90天</w:t>
            </w:r>
          </w:p>
        </w:tc>
      </w:tr>
      <w:tr w14:paraId="4600FD64">
        <w:tblPrEx>
          <w:tblCellMar>
            <w:top w:w="0" w:type="dxa"/>
            <w:left w:w="108" w:type="dxa"/>
            <w:bottom w:w="0" w:type="dxa"/>
            <w:right w:w="108" w:type="dxa"/>
          </w:tblCellMar>
        </w:tblPrEx>
        <w:trPr>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7945759B">
            <w:pPr>
              <w:widowControl/>
              <w:spacing w:line="400" w:lineRule="exact"/>
              <w:jc w:val="center"/>
              <w:rPr>
                <w:rFonts w:ascii="宋体" w:hAnsi="宋体"/>
                <w:b/>
                <w:bCs/>
                <w:color w:val="auto"/>
                <w:kern w:val="0"/>
                <w:sz w:val="24"/>
              </w:rPr>
            </w:pPr>
            <w:r>
              <w:rPr>
                <w:rFonts w:hint="eastAsia" w:ascii="宋体" w:hAnsi="宋体"/>
                <w:b/>
                <w:bCs/>
                <w:color w:val="auto"/>
                <w:kern w:val="0"/>
                <w:sz w:val="24"/>
              </w:rPr>
              <w:t>13</w:t>
            </w:r>
          </w:p>
        </w:tc>
        <w:tc>
          <w:tcPr>
            <w:tcW w:w="2700" w:type="dxa"/>
            <w:tcBorders>
              <w:top w:val="single" w:color="000000" w:sz="4" w:space="0"/>
              <w:left w:val="nil"/>
              <w:bottom w:val="single" w:color="000000" w:sz="4" w:space="0"/>
              <w:right w:val="single" w:color="000000" w:sz="4" w:space="0"/>
            </w:tcBorders>
            <w:vAlign w:val="center"/>
          </w:tcPr>
          <w:p w14:paraId="18688396">
            <w:pPr>
              <w:widowControl/>
              <w:adjustRightInd w:val="0"/>
              <w:snapToGrid w:val="0"/>
              <w:spacing w:line="360" w:lineRule="exact"/>
              <w:jc w:val="center"/>
              <w:rPr>
                <w:rFonts w:hint="default" w:ascii="宋体" w:hAnsi="宋体" w:eastAsia="宋体"/>
                <w:bCs/>
                <w:color w:val="auto"/>
                <w:kern w:val="0"/>
                <w:sz w:val="24"/>
                <w:lang w:val="en-US" w:eastAsia="zh-CN"/>
              </w:rPr>
            </w:pPr>
            <w:r>
              <w:rPr>
                <w:rFonts w:hint="eastAsia" w:ascii="宋体" w:hAnsi="宋体"/>
                <w:color w:val="auto"/>
                <w:kern w:val="0"/>
                <w:sz w:val="24"/>
              </w:rPr>
              <w:t>遴选</w:t>
            </w:r>
            <w:r>
              <w:rPr>
                <w:rFonts w:hint="eastAsia" w:ascii="宋体" w:hAnsi="宋体"/>
                <w:bCs/>
                <w:color w:val="auto"/>
                <w:kern w:val="0"/>
                <w:sz w:val="24"/>
                <w:lang w:val="en-US" w:eastAsia="zh-CN"/>
              </w:rPr>
              <w:t>小组</w:t>
            </w:r>
          </w:p>
        </w:tc>
        <w:tc>
          <w:tcPr>
            <w:tcW w:w="6618" w:type="dxa"/>
            <w:tcBorders>
              <w:top w:val="single" w:color="000000" w:sz="4" w:space="0"/>
              <w:left w:val="nil"/>
              <w:bottom w:val="single" w:color="000000" w:sz="4" w:space="0"/>
              <w:right w:val="single" w:color="000000" w:sz="4" w:space="0"/>
            </w:tcBorders>
            <w:vAlign w:val="center"/>
          </w:tcPr>
          <w:p w14:paraId="5C7199D8">
            <w:pPr>
              <w:widowControl/>
              <w:adjustRightInd w:val="0"/>
              <w:snapToGrid w:val="0"/>
              <w:spacing w:line="360" w:lineRule="exact"/>
              <w:rPr>
                <w:rFonts w:ascii="宋体" w:hAnsi="宋体"/>
                <w:bCs/>
                <w:color w:val="auto"/>
                <w:kern w:val="0"/>
                <w:sz w:val="24"/>
              </w:rPr>
            </w:pPr>
            <w:r>
              <w:rPr>
                <w:rFonts w:hint="eastAsia" w:ascii="宋体" w:hAnsi="宋体"/>
                <w:color w:val="auto"/>
                <w:kern w:val="0"/>
                <w:sz w:val="24"/>
              </w:rPr>
              <w:t>遴选</w:t>
            </w:r>
            <w:r>
              <w:rPr>
                <w:rFonts w:hint="eastAsia" w:ascii="宋体" w:hAnsi="宋体"/>
                <w:bCs/>
                <w:color w:val="auto"/>
                <w:kern w:val="0"/>
                <w:sz w:val="24"/>
                <w:lang w:val="en-US" w:eastAsia="zh-CN"/>
              </w:rPr>
              <w:t>小组</w:t>
            </w:r>
            <w:r>
              <w:rPr>
                <w:rFonts w:hint="eastAsia" w:ascii="宋体" w:hAnsi="宋体"/>
                <w:bCs/>
                <w:color w:val="auto"/>
                <w:kern w:val="0"/>
                <w:sz w:val="24"/>
              </w:rPr>
              <w:t>构成：</w:t>
            </w:r>
            <w:r>
              <w:rPr>
                <w:rFonts w:hint="eastAsia" w:ascii="宋体" w:hAnsi="宋体"/>
                <w:bCs/>
                <w:color w:val="auto"/>
                <w:kern w:val="0"/>
                <w:sz w:val="24"/>
                <w:lang w:val="en-US" w:eastAsia="zh-CN"/>
              </w:rPr>
              <w:t>5</w:t>
            </w:r>
            <w:r>
              <w:rPr>
                <w:rFonts w:hint="eastAsia" w:ascii="宋体" w:hAnsi="宋体"/>
                <w:bCs/>
                <w:color w:val="auto"/>
                <w:kern w:val="0"/>
                <w:sz w:val="24"/>
              </w:rPr>
              <w:t>人或以上单数</w:t>
            </w:r>
          </w:p>
        </w:tc>
      </w:tr>
      <w:tr w14:paraId="55757BD7">
        <w:tblPrEx>
          <w:tblCellMar>
            <w:top w:w="0" w:type="dxa"/>
            <w:left w:w="108" w:type="dxa"/>
            <w:bottom w:w="0" w:type="dxa"/>
            <w:right w:w="108" w:type="dxa"/>
          </w:tblCellMar>
        </w:tblPrEx>
        <w:trPr>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62EA57DD">
            <w:pPr>
              <w:widowControl/>
              <w:spacing w:line="400" w:lineRule="exact"/>
              <w:jc w:val="center"/>
              <w:rPr>
                <w:rFonts w:ascii="宋体" w:hAnsi="宋体"/>
                <w:b/>
                <w:bCs/>
                <w:color w:val="auto"/>
                <w:kern w:val="0"/>
                <w:sz w:val="24"/>
              </w:rPr>
            </w:pPr>
            <w:r>
              <w:rPr>
                <w:rFonts w:hint="eastAsia" w:ascii="宋体" w:hAnsi="宋体"/>
                <w:b/>
                <w:bCs/>
                <w:color w:val="auto"/>
                <w:kern w:val="0"/>
                <w:sz w:val="24"/>
              </w:rPr>
              <w:t>14</w:t>
            </w:r>
          </w:p>
        </w:tc>
        <w:tc>
          <w:tcPr>
            <w:tcW w:w="2700" w:type="dxa"/>
            <w:tcBorders>
              <w:top w:val="single" w:color="000000" w:sz="4" w:space="0"/>
              <w:left w:val="nil"/>
              <w:bottom w:val="single" w:color="000000" w:sz="4" w:space="0"/>
              <w:right w:val="single" w:color="000000" w:sz="4" w:space="0"/>
            </w:tcBorders>
            <w:vAlign w:val="center"/>
          </w:tcPr>
          <w:p w14:paraId="76FB5AFB">
            <w:pPr>
              <w:widowControl/>
              <w:adjustRightInd w:val="0"/>
              <w:snapToGrid w:val="0"/>
              <w:spacing w:line="360" w:lineRule="exact"/>
              <w:jc w:val="center"/>
              <w:rPr>
                <w:rFonts w:ascii="宋体" w:hAnsi="宋体"/>
                <w:color w:val="auto"/>
                <w:kern w:val="0"/>
                <w:sz w:val="24"/>
              </w:rPr>
            </w:pPr>
            <w:r>
              <w:rPr>
                <w:rFonts w:hint="eastAsia" w:ascii="宋体" w:hAnsi="宋体"/>
                <w:color w:val="auto"/>
                <w:kern w:val="0"/>
                <w:sz w:val="24"/>
              </w:rPr>
              <w:t>入选公示</w:t>
            </w:r>
          </w:p>
        </w:tc>
        <w:tc>
          <w:tcPr>
            <w:tcW w:w="6618" w:type="dxa"/>
            <w:tcBorders>
              <w:top w:val="single" w:color="000000" w:sz="4" w:space="0"/>
              <w:left w:val="nil"/>
              <w:bottom w:val="single" w:color="000000" w:sz="4" w:space="0"/>
              <w:right w:val="single" w:color="000000" w:sz="4" w:space="0"/>
            </w:tcBorders>
            <w:vAlign w:val="center"/>
          </w:tcPr>
          <w:p w14:paraId="3859076A">
            <w:pPr>
              <w:widowControl/>
              <w:adjustRightInd w:val="0"/>
              <w:snapToGrid w:val="0"/>
              <w:spacing w:line="360" w:lineRule="exact"/>
              <w:rPr>
                <w:rFonts w:ascii="宋体" w:hAnsi="宋体"/>
                <w:color w:val="auto"/>
                <w:kern w:val="0"/>
                <w:sz w:val="24"/>
              </w:rPr>
            </w:pPr>
            <w:r>
              <w:rPr>
                <w:rFonts w:hint="eastAsia" w:ascii="宋体" w:hAnsi="宋体"/>
                <w:color w:val="auto"/>
                <w:kern w:val="0"/>
                <w:sz w:val="24"/>
              </w:rPr>
              <w:t>在入库通知书发出前，</w:t>
            </w:r>
            <w:r>
              <w:rPr>
                <w:rFonts w:hint="eastAsia" w:ascii="宋体" w:hAnsi="宋体"/>
                <w:color w:val="auto"/>
                <w:kern w:val="0"/>
                <w:sz w:val="24"/>
                <w:lang w:eastAsia="zh-CN"/>
              </w:rPr>
              <w:t>采购人</w:t>
            </w:r>
            <w:r>
              <w:rPr>
                <w:rFonts w:hint="eastAsia" w:ascii="宋体" w:hAnsi="宋体"/>
                <w:color w:val="auto"/>
                <w:kern w:val="0"/>
                <w:sz w:val="24"/>
              </w:rPr>
              <w:t>将入选候选人的情况在本项目选定公告发布的同一媒介予以公示，公示期</w:t>
            </w:r>
            <w:r>
              <w:rPr>
                <w:rFonts w:hint="eastAsia" w:ascii="宋体" w:hAnsi="宋体"/>
                <w:color w:val="auto"/>
                <w:kern w:val="0"/>
                <w:sz w:val="24"/>
                <w:lang w:val="en-US" w:eastAsia="zh-CN"/>
              </w:rPr>
              <w:t>5</w:t>
            </w:r>
            <w:r>
              <w:rPr>
                <w:rFonts w:hint="eastAsia" w:ascii="宋体" w:hAnsi="宋体"/>
                <w:color w:val="auto"/>
                <w:kern w:val="0"/>
                <w:sz w:val="24"/>
              </w:rPr>
              <w:t>个工作日。</w:t>
            </w:r>
          </w:p>
        </w:tc>
      </w:tr>
      <w:tr w14:paraId="1B01B70C">
        <w:tblPrEx>
          <w:tblCellMar>
            <w:top w:w="0" w:type="dxa"/>
            <w:left w:w="108" w:type="dxa"/>
            <w:bottom w:w="0" w:type="dxa"/>
            <w:right w:w="108" w:type="dxa"/>
          </w:tblCellMar>
        </w:tblPrEx>
        <w:trPr>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30C45761">
            <w:pPr>
              <w:widowControl/>
              <w:spacing w:line="400" w:lineRule="exact"/>
              <w:jc w:val="center"/>
              <w:rPr>
                <w:rFonts w:ascii="宋体" w:hAnsi="宋体"/>
                <w:b/>
                <w:bCs/>
                <w:color w:val="auto"/>
                <w:kern w:val="0"/>
                <w:sz w:val="24"/>
              </w:rPr>
            </w:pPr>
            <w:r>
              <w:rPr>
                <w:rFonts w:hint="eastAsia" w:ascii="宋体" w:hAnsi="宋体"/>
                <w:b/>
                <w:bCs/>
                <w:color w:val="auto"/>
                <w:kern w:val="0"/>
                <w:sz w:val="24"/>
              </w:rPr>
              <w:t>15</w:t>
            </w:r>
          </w:p>
        </w:tc>
        <w:tc>
          <w:tcPr>
            <w:tcW w:w="2700" w:type="dxa"/>
            <w:tcBorders>
              <w:top w:val="single" w:color="000000" w:sz="4" w:space="0"/>
              <w:left w:val="nil"/>
              <w:bottom w:val="single" w:color="000000" w:sz="4" w:space="0"/>
              <w:right w:val="single" w:color="000000" w:sz="4" w:space="0"/>
            </w:tcBorders>
            <w:vAlign w:val="center"/>
          </w:tcPr>
          <w:p w14:paraId="11758465">
            <w:pPr>
              <w:widowControl/>
              <w:adjustRightInd w:val="0"/>
              <w:snapToGrid w:val="0"/>
              <w:spacing w:line="360" w:lineRule="exact"/>
              <w:jc w:val="center"/>
              <w:rPr>
                <w:rFonts w:ascii="宋体" w:hAnsi="宋体"/>
                <w:color w:val="auto"/>
                <w:kern w:val="0"/>
                <w:sz w:val="24"/>
              </w:rPr>
            </w:pPr>
            <w:r>
              <w:rPr>
                <w:rFonts w:hint="eastAsia" w:ascii="宋体" w:hAnsi="宋体"/>
                <w:color w:val="auto"/>
                <w:kern w:val="0"/>
                <w:sz w:val="24"/>
              </w:rPr>
              <w:t>解释权</w:t>
            </w:r>
          </w:p>
        </w:tc>
        <w:tc>
          <w:tcPr>
            <w:tcW w:w="6618" w:type="dxa"/>
            <w:tcBorders>
              <w:top w:val="single" w:color="000000" w:sz="4" w:space="0"/>
              <w:left w:val="nil"/>
              <w:bottom w:val="single" w:color="000000" w:sz="4" w:space="0"/>
              <w:right w:val="single" w:color="000000" w:sz="4" w:space="0"/>
            </w:tcBorders>
            <w:vAlign w:val="center"/>
          </w:tcPr>
          <w:p w14:paraId="1AAFF770">
            <w:pPr>
              <w:widowControl/>
              <w:adjustRightInd w:val="0"/>
              <w:snapToGrid w:val="0"/>
              <w:spacing w:line="360" w:lineRule="exact"/>
              <w:rPr>
                <w:rFonts w:ascii="宋体" w:hAnsi="宋体"/>
                <w:color w:val="auto"/>
                <w:kern w:val="0"/>
                <w:sz w:val="24"/>
              </w:rPr>
            </w:pPr>
            <w:r>
              <w:rPr>
                <w:rFonts w:hint="eastAsia" w:ascii="宋体" w:hAnsi="宋体"/>
                <w:color w:val="auto"/>
                <w:kern w:val="0"/>
                <w:sz w:val="24"/>
              </w:rPr>
              <w:t>构成本遴选文件的各个组成文件应互为解释，互为说明；如有不明确或不一致，构成合同文件组成内容的，以合同文件约定内容为准，除遴选文件中有特别规定外，仅适用于遴选阶段的规定，由</w:t>
            </w:r>
            <w:r>
              <w:rPr>
                <w:rFonts w:hint="eastAsia" w:ascii="宋体" w:hAnsi="宋体"/>
                <w:color w:val="auto"/>
                <w:kern w:val="0"/>
                <w:sz w:val="24"/>
                <w:lang w:eastAsia="zh-CN"/>
              </w:rPr>
              <w:t>采购人</w:t>
            </w:r>
            <w:r>
              <w:rPr>
                <w:rFonts w:hint="eastAsia" w:ascii="宋体" w:hAnsi="宋体"/>
                <w:color w:val="auto"/>
                <w:kern w:val="0"/>
                <w:sz w:val="24"/>
              </w:rPr>
              <w:t>负责解释。</w:t>
            </w:r>
          </w:p>
        </w:tc>
      </w:tr>
      <w:tr w14:paraId="6CF42099">
        <w:tblPrEx>
          <w:tblCellMar>
            <w:top w:w="0" w:type="dxa"/>
            <w:left w:w="108" w:type="dxa"/>
            <w:bottom w:w="0" w:type="dxa"/>
            <w:right w:w="108" w:type="dxa"/>
          </w:tblCellMar>
        </w:tblPrEx>
        <w:trPr>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4391CB5C">
            <w:pPr>
              <w:widowControl/>
              <w:spacing w:line="400" w:lineRule="exact"/>
              <w:jc w:val="center"/>
              <w:rPr>
                <w:rFonts w:hint="default" w:ascii="宋体" w:hAnsi="宋体" w:eastAsia="宋体"/>
                <w:b/>
                <w:bCs/>
                <w:color w:val="auto"/>
                <w:kern w:val="0"/>
                <w:sz w:val="24"/>
                <w:lang w:val="en-US" w:eastAsia="zh-CN"/>
              </w:rPr>
            </w:pPr>
            <w:r>
              <w:rPr>
                <w:rFonts w:hint="eastAsia" w:ascii="宋体" w:hAnsi="宋体"/>
                <w:b/>
                <w:bCs/>
                <w:color w:val="auto"/>
                <w:kern w:val="0"/>
                <w:sz w:val="24"/>
                <w:lang w:val="en-US" w:eastAsia="zh-CN"/>
              </w:rPr>
              <w:t>16</w:t>
            </w:r>
          </w:p>
        </w:tc>
        <w:tc>
          <w:tcPr>
            <w:tcW w:w="2700" w:type="dxa"/>
            <w:tcBorders>
              <w:top w:val="single" w:color="000000" w:sz="4" w:space="0"/>
              <w:left w:val="nil"/>
              <w:bottom w:val="single" w:color="000000" w:sz="4" w:space="0"/>
              <w:right w:val="single" w:color="000000" w:sz="4" w:space="0"/>
            </w:tcBorders>
            <w:vAlign w:val="center"/>
          </w:tcPr>
          <w:p w14:paraId="246BB547">
            <w:pPr>
              <w:widowControl/>
              <w:adjustRightInd w:val="0"/>
              <w:snapToGrid w:val="0"/>
              <w:spacing w:line="360" w:lineRule="exact"/>
              <w:jc w:val="center"/>
              <w:rPr>
                <w:rFonts w:hint="eastAsia" w:ascii="宋体" w:hAnsi="宋体" w:eastAsia="宋体"/>
                <w:color w:val="auto"/>
                <w:kern w:val="0"/>
                <w:sz w:val="24"/>
                <w:lang w:eastAsia="zh-CN"/>
              </w:rPr>
            </w:pPr>
            <w:r>
              <w:rPr>
                <w:rFonts w:hint="eastAsia" w:ascii="宋体" w:hAnsi="宋体"/>
                <w:color w:val="auto"/>
                <w:kern w:val="0"/>
                <w:sz w:val="24"/>
                <w:lang w:eastAsia="zh-CN"/>
              </w:rPr>
              <w:t>其他</w:t>
            </w:r>
          </w:p>
        </w:tc>
        <w:tc>
          <w:tcPr>
            <w:tcW w:w="6618" w:type="dxa"/>
            <w:tcBorders>
              <w:top w:val="single" w:color="000000" w:sz="4" w:space="0"/>
              <w:left w:val="nil"/>
              <w:bottom w:val="single" w:color="000000" w:sz="4" w:space="0"/>
              <w:right w:val="single" w:color="000000" w:sz="4" w:space="0"/>
            </w:tcBorders>
            <w:vAlign w:val="center"/>
          </w:tcPr>
          <w:p w14:paraId="14716D70">
            <w:pPr>
              <w:widowControl/>
              <w:adjustRightInd w:val="0"/>
              <w:snapToGrid w:val="0"/>
              <w:spacing w:line="360" w:lineRule="exact"/>
              <w:rPr>
                <w:rFonts w:hint="default" w:ascii="宋体" w:hAnsi="宋体" w:eastAsia="宋体"/>
                <w:color w:val="auto"/>
                <w:kern w:val="0"/>
                <w:sz w:val="24"/>
                <w:lang w:val="en-US" w:eastAsia="zh-CN"/>
              </w:rPr>
            </w:pPr>
            <w:r>
              <w:rPr>
                <w:rFonts w:hint="eastAsia" w:ascii="宋体" w:hAnsi="宋体"/>
                <w:color w:val="auto"/>
                <w:kern w:val="0"/>
                <w:sz w:val="24"/>
              </w:rPr>
              <w:t>本项目采用遴选采购方式</w:t>
            </w:r>
            <w:r>
              <w:rPr>
                <w:rFonts w:hint="eastAsia" w:ascii="宋体" w:hAnsi="宋体"/>
                <w:color w:val="auto"/>
                <w:kern w:val="0"/>
                <w:sz w:val="24"/>
                <w:lang w:eastAsia="zh-CN"/>
              </w:rPr>
              <w:t>，报名期届满后，包</w:t>
            </w:r>
            <w:r>
              <w:rPr>
                <w:rFonts w:hint="eastAsia" w:ascii="宋体" w:hAnsi="宋体"/>
                <w:color w:val="auto"/>
                <w:kern w:val="0"/>
                <w:sz w:val="24"/>
                <w:lang w:val="en-US" w:eastAsia="zh-CN"/>
              </w:rPr>
              <w:t>1报名供应商不足6家，包2报名供应商不足6家，将终止遴选。</w:t>
            </w:r>
          </w:p>
        </w:tc>
      </w:tr>
    </w:tbl>
    <w:p w14:paraId="13032861">
      <w:pPr>
        <w:widowControl/>
        <w:spacing w:line="360" w:lineRule="auto"/>
        <w:jc w:val="center"/>
        <w:rPr>
          <w:rFonts w:ascii="宋体" w:hAnsi="宋体"/>
          <w:b/>
          <w:bCs/>
          <w:color w:val="auto"/>
          <w:kern w:val="0"/>
          <w:sz w:val="32"/>
          <w:szCs w:val="32"/>
        </w:rPr>
      </w:pPr>
      <w:r>
        <w:rPr>
          <w:rFonts w:ascii="宋体" w:hAnsi="宋体"/>
          <w:b/>
          <w:bCs/>
          <w:color w:val="auto"/>
          <w:kern w:val="0"/>
          <w:sz w:val="32"/>
          <w:szCs w:val="32"/>
        </w:rPr>
        <w:br w:type="page"/>
      </w:r>
      <w:r>
        <w:rPr>
          <w:rFonts w:hint="eastAsia" w:ascii="宋体" w:hAnsi="宋体"/>
          <w:b/>
          <w:bCs/>
          <w:color w:val="auto"/>
          <w:kern w:val="0"/>
          <w:sz w:val="32"/>
          <w:szCs w:val="32"/>
        </w:rPr>
        <w:t>二、</w:t>
      </w:r>
      <w:r>
        <w:rPr>
          <w:rFonts w:hint="eastAsia" w:ascii="宋体" w:hAnsi="宋体"/>
          <w:b/>
          <w:bCs/>
          <w:color w:val="auto"/>
          <w:kern w:val="0"/>
          <w:sz w:val="32"/>
          <w:szCs w:val="32"/>
          <w:lang w:eastAsia="zh-CN"/>
        </w:rPr>
        <w:t>供应商</w:t>
      </w:r>
      <w:r>
        <w:rPr>
          <w:rFonts w:hint="eastAsia" w:ascii="宋体" w:hAnsi="宋体"/>
          <w:b/>
          <w:bCs/>
          <w:color w:val="auto"/>
          <w:kern w:val="0"/>
          <w:sz w:val="32"/>
          <w:szCs w:val="32"/>
        </w:rPr>
        <w:t>须知</w:t>
      </w:r>
    </w:p>
    <w:p w14:paraId="338B9279">
      <w:pPr>
        <w:widowControl/>
        <w:spacing w:line="440" w:lineRule="exact"/>
        <w:ind w:left="5542" w:hanging="5122"/>
        <w:jc w:val="left"/>
        <w:outlineLvl w:val="0"/>
        <w:rPr>
          <w:rFonts w:ascii="宋体" w:hAnsi="宋体"/>
          <w:b/>
          <w:bCs/>
          <w:color w:val="auto"/>
          <w:kern w:val="0"/>
          <w:sz w:val="24"/>
        </w:rPr>
      </w:pPr>
      <w:r>
        <w:rPr>
          <w:rFonts w:hint="eastAsia" w:ascii="宋体" w:hAnsi="宋体"/>
          <w:b/>
          <w:bCs/>
          <w:color w:val="auto"/>
          <w:kern w:val="0"/>
          <w:sz w:val="24"/>
        </w:rPr>
        <w:t>（一）项目介绍：</w:t>
      </w:r>
    </w:p>
    <w:p w14:paraId="6BCFEE89">
      <w:pPr>
        <w:widowControl/>
        <w:numPr>
          <w:ilvl w:val="0"/>
          <w:numId w:val="2"/>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遴选项目名称：</w:t>
      </w:r>
      <w:r>
        <w:rPr>
          <w:rFonts w:hint="eastAsia" w:ascii="宋体" w:hAnsi="宋体"/>
          <w:color w:val="auto"/>
          <w:kern w:val="0"/>
          <w:sz w:val="24"/>
          <w:lang w:eastAsia="zh-CN"/>
        </w:rPr>
        <w:t>娄底市中心医院</w:t>
      </w:r>
      <w:r>
        <w:rPr>
          <w:rFonts w:ascii="宋体" w:hAnsi="宋体"/>
          <w:color w:val="auto"/>
          <w:kern w:val="0"/>
          <w:sz w:val="24"/>
        </w:rPr>
        <w:t>招标采购代理机构遴选项目</w:t>
      </w:r>
    </w:p>
    <w:p w14:paraId="3710C0BA">
      <w:pPr>
        <w:widowControl/>
        <w:numPr>
          <w:ilvl w:val="0"/>
          <w:numId w:val="2"/>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遴选范围：</w:t>
      </w:r>
      <w:r>
        <w:rPr>
          <w:rFonts w:hint="eastAsia" w:ascii="宋体" w:hAnsi="宋体"/>
          <w:color w:val="auto"/>
          <w:kern w:val="0"/>
          <w:sz w:val="24"/>
          <w:lang w:eastAsia="zh-CN"/>
        </w:rPr>
        <w:t>娄底市中心医院</w:t>
      </w:r>
      <w:r>
        <w:rPr>
          <w:rFonts w:hint="eastAsia" w:ascii="宋体" w:hAnsi="宋体"/>
          <w:color w:val="auto"/>
          <w:kern w:val="0"/>
          <w:sz w:val="24"/>
        </w:rPr>
        <w:t>招标采购代理机构库，本次遴选共分为</w:t>
      </w:r>
      <w:r>
        <w:rPr>
          <w:rFonts w:hint="eastAsia" w:ascii="宋体" w:hAnsi="宋体"/>
          <w:color w:val="auto"/>
          <w:kern w:val="0"/>
          <w:sz w:val="24"/>
          <w:lang w:eastAsia="zh-CN"/>
        </w:rPr>
        <w:t>二</w:t>
      </w:r>
      <w:r>
        <w:rPr>
          <w:rFonts w:hint="eastAsia" w:ascii="宋体" w:hAnsi="宋体"/>
          <w:color w:val="auto"/>
          <w:kern w:val="0"/>
          <w:sz w:val="24"/>
        </w:rPr>
        <w:t>个包：</w:t>
      </w:r>
    </w:p>
    <w:p w14:paraId="0F42AE6D">
      <w:pPr>
        <w:widowControl/>
        <w:spacing w:line="440" w:lineRule="exact"/>
        <w:ind w:firstLine="480" w:firstLineChars="200"/>
        <w:jc w:val="left"/>
        <w:rPr>
          <w:rFonts w:hint="default" w:ascii="宋体" w:hAnsi="宋体" w:eastAsia="宋体"/>
          <w:color w:val="auto"/>
          <w:kern w:val="0"/>
          <w:sz w:val="24"/>
          <w:lang w:val="en-US" w:eastAsia="zh-CN"/>
        </w:rPr>
      </w:pPr>
      <w:r>
        <w:rPr>
          <w:rFonts w:hint="eastAsia" w:ascii="宋体" w:hAnsi="宋体"/>
          <w:color w:val="auto"/>
          <w:kern w:val="0"/>
          <w:sz w:val="24"/>
        </w:rPr>
        <w:t>第一包：</w:t>
      </w:r>
      <w:r>
        <w:rPr>
          <w:rFonts w:hint="eastAsia" w:ascii="宋体" w:hAnsi="宋体" w:cs="宋体"/>
          <w:color w:val="auto"/>
          <w:sz w:val="24"/>
        </w:rPr>
        <w:t>代理机构库</w:t>
      </w:r>
      <w:r>
        <w:rPr>
          <w:rFonts w:hint="eastAsia" w:ascii="宋体" w:hAnsi="宋体" w:cs="宋体"/>
          <w:color w:val="auto"/>
          <w:sz w:val="24"/>
          <w:lang w:val="en-US" w:eastAsia="zh-CN"/>
        </w:rPr>
        <w:t>1</w:t>
      </w:r>
      <w:r>
        <w:rPr>
          <w:rFonts w:hint="eastAsia" w:ascii="宋体" w:hAnsi="宋体" w:cs="宋体"/>
          <w:color w:val="auto"/>
          <w:sz w:val="24"/>
        </w:rPr>
        <w:t>含货物</w:t>
      </w:r>
      <w:r>
        <w:rPr>
          <w:rFonts w:hint="eastAsia" w:ascii="宋体" w:hAnsi="宋体" w:cs="宋体"/>
          <w:color w:val="auto"/>
          <w:sz w:val="24"/>
          <w:lang w:eastAsia="zh-CN"/>
        </w:rPr>
        <w:t>（医疗器械）</w:t>
      </w:r>
      <w:r>
        <w:rPr>
          <w:rFonts w:hint="eastAsia" w:ascii="宋体" w:hAnsi="宋体" w:cs="宋体"/>
          <w:color w:val="auto"/>
          <w:sz w:val="24"/>
        </w:rPr>
        <w:t>、</w:t>
      </w:r>
      <w:r>
        <w:rPr>
          <w:rFonts w:hint="eastAsia" w:ascii="宋体" w:hAnsi="宋体" w:cs="宋体"/>
          <w:color w:val="auto"/>
          <w:sz w:val="24"/>
          <w:lang w:eastAsia="zh-CN"/>
        </w:rPr>
        <w:t>医用</w:t>
      </w:r>
      <w:r>
        <w:rPr>
          <w:rFonts w:hint="eastAsia" w:ascii="宋体" w:hAnsi="宋体" w:cs="宋体"/>
          <w:color w:val="auto"/>
          <w:sz w:val="24"/>
        </w:rPr>
        <w:t>试剂、</w:t>
      </w:r>
      <w:r>
        <w:rPr>
          <w:rFonts w:hint="eastAsia" w:ascii="宋体" w:hAnsi="宋体" w:cs="宋体"/>
          <w:color w:val="auto"/>
          <w:sz w:val="24"/>
          <w:lang w:eastAsia="zh-CN"/>
        </w:rPr>
        <w:t>医用</w:t>
      </w:r>
      <w:r>
        <w:rPr>
          <w:rFonts w:hint="eastAsia" w:ascii="宋体" w:hAnsi="宋体" w:cs="宋体"/>
          <w:color w:val="auto"/>
          <w:sz w:val="24"/>
        </w:rPr>
        <w:t>耗材项目招标（采购）</w:t>
      </w:r>
      <w:r>
        <w:rPr>
          <w:rFonts w:hint="eastAsia" w:ascii="宋体" w:hAnsi="宋体" w:cs="宋体"/>
          <w:color w:val="auto"/>
          <w:sz w:val="24"/>
          <w:lang w:eastAsia="zh-CN"/>
        </w:rPr>
        <w:t>，共</w:t>
      </w:r>
      <w:r>
        <w:rPr>
          <w:rFonts w:hint="eastAsia" w:ascii="宋体" w:hAnsi="宋体" w:cs="宋体"/>
          <w:color w:val="auto"/>
          <w:sz w:val="24"/>
          <w:lang w:val="en-US" w:eastAsia="zh-CN"/>
        </w:rPr>
        <w:t>5家</w:t>
      </w:r>
    </w:p>
    <w:p w14:paraId="59C9EA21">
      <w:pPr>
        <w:widowControl/>
        <w:spacing w:line="440" w:lineRule="exact"/>
        <w:ind w:firstLine="480" w:firstLineChars="200"/>
        <w:jc w:val="left"/>
        <w:rPr>
          <w:rFonts w:hint="eastAsia" w:ascii="宋体" w:hAnsi="宋体"/>
          <w:color w:val="auto"/>
          <w:kern w:val="0"/>
          <w:sz w:val="24"/>
        </w:rPr>
      </w:pPr>
      <w:r>
        <w:rPr>
          <w:rFonts w:hint="eastAsia" w:ascii="宋体" w:hAnsi="宋体"/>
          <w:color w:val="auto"/>
          <w:kern w:val="0"/>
          <w:sz w:val="24"/>
        </w:rPr>
        <w:t>第二包：</w:t>
      </w:r>
      <w:r>
        <w:rPr>
          <w:rFonts w:hint="eastAsia" w:ascii="宋体" w:hAnsi="宋体" w:cs="宋体"/>
          <w:color w:val="auto"/>
          <w:sz w:val="24"/>
        </w:rPr>
        <w:t>代理机构库</w:t>
      </w:r>
      <w:r>
        <w:rPr>
          <w:rFonts w:hint="eastAsia" w:ascii="宋体" w:hAnsi="宋体" w:cs="宋体"/>
          <w:color w:val="auto"/>
          <w:sz w:val="24"/>
          <w:lang w:val="en-US" w:eastAsia="zh-CN"/>
        </w:rPr>
        <w:t>2</w:t>
      </w:r>
      <w:r>
        <w:rPr>
          <w:rFonts w:hint="eastAsia" w:ascii="宋体" w:hAnsi="宋体" w:cs="宋体"/>
          <w:color w:val="auto"/>
          <w:sz w:val="24"/>
          <w:lang w:eastAsia="zh-CN"/>
        </w:rPr>
        <w:t>（含</w:t>
      </w:r>
      <w:r>
        <w:rPr>
          <w:rFonts w:hint="eastAsia" w:ascii="宋体" w:hAnsi="宋体" w:cs="宋体"/>
          <w:color w:val="auto"/>
          <w:sz w:val="24"/>
        </w:rPr>
        <w:t>货物</w:t>
      </w:r>
      <w:r>
        <w:rPr>
          <w:rFonts w:hint="eastAsia" w:ascii="宋体" w:hAnsi="宋体" w:cs="宋体"/>
          <w:color w:val="auto"/>
          <w:sz w:val="24"/>
          <w:lang w:eastAsia="zh-CN"/>
        </w:rPr>
        <w:t>（非医疗器械）</w:t>
      </w:r>
      <w:r>
        <w:rPr>
          <w:rFonts w:hint="eastAsia" w:ascii="宋体" w:hAnsi="宋体" w:cs="宋体"/>
          <w:color w:val="auto"/>
          <w:sz w:val="24"/>
        </w:rPr>
        <w:t>、服务</w:t>
      </w:r>
      <w:r>
        <w:rPr>
          <w:rFonts w:hint="eastAsia" w:ascii="宋体" w:hAnsi="宋体" w:cs="宋体"/>
          <w:color w:val="auto"/>
          <w:sz w:val="24"/>
          <w:lang w:eastAsia="zh-CN"/>
        </w:rPr>
        <w:t>、</w:t>
      </w:r>
      <w:r>
        <w:rPr>
          <w:rFonts w:hint="eastAsia" w:ascii="宋体" w:hAnsi="宋体" w:cs="宋体"/>
          <w:color w:val="auto"/>
          <w:sz w:val="24"/>
        </w:rPr>
        <w:t>工程项目招标</w:t>
      </w:r>
      <w:r>
        <w:rPr>
          <w:rFonts w:hint="eastAsia" w:ascii="宋体" w:hAnsi="宋体"/>
          <w:color w:val="auto"/>
          <w:kern w:val="0"/>
          <w:sz w:val="24"/>
        </w:rPr>
        <w:t>，共</w:t>
      </w:r>
      <w:r>
        <w:rPr>
          <w:rFonts w:hint="eastAsia" w:ascii="宋体" w:hAnsi="宋体"/>
          <w:color w:val="auto"/>
          <w:kern w:val="0"/>
          <w:sz w:val="24"/>
          <w:lang w:val="en-US" w:eastAsia="zh-CN"/>
        </w:rPr>
        <w:t>5</w:t>
      </w:r>
      <w:r>
        <w:rPr>
          <w:rFonts w:hint="eastAsia" w:ascii="宋体" w:hAnsi="宋体"/>
          <w:color w:val="auto"/>
          <w:kern w:val="0"/>
          <w:sz w:val="24"/>
        </w:rPr>
        <w:t>家。</w:t>
      </w:r>
    </w:p>
    <w:p w14:paraId="6805F386">
      <w:pPr>
        <w:widowControl/>
        <w:numPr>
          <w:ilvl w:val="0"/>
          <w:numId w:val="2"/>
        </w:numPr>
        <w:spacing w:line="440" w:lineRule="exact"/>
        <w:ind w:firstLine="480" w:firstLineChars="200"/>
        <w:jc w:val="left"/>
        <w:rPr>
          <w:rFonts w:ascii="宋体" w:hAnsi="宋体"/>
          <w:color w:val="auto"/>
          <w:kern w:val="0"/>
          <w:sz w:val="24"/>
        </w:rPr>
      </w:pPr>
      <w:r>
        <w:rPr>
          <w:rFonts w:hint="eastAsia" w:ascii="宋体" w:hAnsi="宋体"/>
          <w:color w:val="auto"/>
          <w:kern w:val="0"/>
          <w:sz w:val="24"/>
          <w:lang w:eastAsia="zh-CN"/>
        </w:rPr>
        <w:t>采购人</w:t>
      </w:r>
      <w:r>
        <w:rPr>
          <w:rFonts w:hint="eastAsia" w:ascii="宋体" w:hAnsi="宋体"/>
          <w:color w:val="auto"/>
          <w:kern w:val="0"/>
          <w:sz w:val="24"/>
        </w:rPr>
        <w:t>：</w:t>
      </w:r>
      <w:r>
        <w:rPr>
          <w:rFonts w:hint="eastAsia" w:ascii="宋体" w:hAnsi="宋体"/>
          <w:color w:val="auto"/>
          <w:kern w:val="0"/>
          <w:sz w:val="24"/>
          <w:lang w:eastAsia="zh-CN"/>
        </w:rPr>
        <w:t>娄底市中心医院</w:t>
      </w:r>
      <w:r>
        <w:rPr>
          <w:rFonts w:hint="eastAsia" w:ascii="宋体" w:hAnsi="宋体"/>
          <w:color w:val="auto"/>
          <w:kern w:val="0"/>
          <w:sz w:val="24"/>
        </w:rPr>
        <w:t>。</w:t>
      </w:r>
    </w:p>
    <w:p w14:paraId="7B4464CC">
      <w:pPr>
        <w:widowControl/>
        <w:numPr>
          <w:ilvl w:val="0"/>
          <w:numId w:val="2"/>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遴选</w:t>
      </w:r>
      <w:r>
        <w:rPr>
          <w:rFonts w:ascii="宋体" w:hAnsi="宋体"/>
          <w:color w:val="auto"/>
          <w:kern w:val="0"/>
          <w:sz w:val="24"/>
        </w:rPr>
        <w:t>方式：公开</w:t>
      </w:r>
      <w:r>
        <w:rPr>
          <w:rFonts w:hint="eastAsia" w:ascii="宋体" w:hAnsi="宋体"/>
          <w:color w:val="auto"/>
          <w:kern w:val="0"/>
          <w:sz w:val="24"/>
        </w:rPr>
        <w:t>遴选。</w:t>
      </w:r>
    </w:p>
    <w:p w14:paraId="67D3EBCD">
      <w:pPr>
        <w:widowControl/>
        <w:adjustRightInd w:val="0"/>
        <w:snapToGrid w:val="0"/>
        <w:spacing w:line="360" w:lineRule="auto"/>
        <w:ind w:firstLine="480" w:firstLineChars="200"/>
        <w:jc w:val="left"/>
        <w:textAlignment w:val="top"/>
        <w:rPr>
          <w:rFonts w:hint="default" w:ascii="宋体" w:hAnsi="宋体" w:eastAsia="宋体"/>
          <w:color w:val="auto"/>
          <w:sz w:val="24"/>
          <w:lang w:val="en-US" w:eastAsia="zh-CN"/>
        </w:rPr>
      </w:pPr>
      <w:r>
        <w:rPr>
          <w:rFonts w:hint="eastAsia" w:ascii="宋体" w:hAnsi="宋体"/>
          <w:color w:val="auto"/>
          <w:kern w:val="0"/>
          <w:sz w:val="24"/>
        </w:rPr>
        <w:t>服务期限：</w:t>
      </w:r>
      <w:r>
        <w:rPr>
          <w:rFonts w:ascii="宋体" w:hAnsi="宋体"/>
          <w:color w:val="auto"/>
          <w:kern w:val="0"/>
          <w:sz w:val="24"/>
        </w:rPr>
        <w:t>3</w:t>
      </w:r>
      <w:r>
        <w:rPr>
          <w:rFonts w:hint="eastAsia" w:ascii="宋体" w:hAnsi="宋体"/>
          <w:color w:val="auto"/>
          <w:kern w:val="0"/>
          <w:sz w:val="24"/>
        </w:rPr>
        <w:t>年（</w:t>
      </w:r>
      <w:r>
        <w:rPr>
          <w:rFonts w:hint="eastAsia" w:ascii="宋体" w:hAnsi="宋体"/>
          <w:color w:val="auto"/>
          <w:kern w:val="0"/>
          <w:sz w:val="24"/>
          <w:lang w:val="en-US" w:eastAsia="zh-CN"/>
        </w:rPr>
        <w:t>以正式</w:t>
      </w:r>
      <w:r>
        <w:rPr>
          <w:rFonts w:hint="eastAsia" w:ascii="宋体" w:hAnsi="宋体"/>
          <w:color w:val="auto"/>
          <w:kern w:val="0"/>
          <w:sz w:val="24"/>
        </w:rPr>
        <w:t>签订合同</w:t>
      </w:r>
      <w:r>
        <w:rPr>
          <w:rFonts w:hint="eastAsia" w:ascii="Times New Roman" w:hAnsi="Times New Roman" w:cs="Times New Roman"/>
          <w:color w:val="auto"/>
          <w:kern w:val="0"/>
          <w:sz w:val="24"/>
          <w:lang w:val="en-US" w:eastAsia="zh-CN"/>
        </w:rPr>
        <w:t>约定的起止时间为准</w:t>
      </w:r>
      <w:r>
        <w:rPr>
          <w:rFonts w:hint="eastAsia" w:ascii="宋体" w:hAnsi="宋体"/>
          <w:color w:val="auto"/>
          <w:kern w:val="0"/>
          <w:sz w:val="24"/>
        </w:rPr>
        <w:t>）。</w:t>
      </w:r>
      <w:r>
        <w:rPr>
          <w:rFonts w:hint="eastAsia" w:ascii="宋体" w:hAnsi="宋体"/>
          <w:color w:val="auto"/>
          <w:sz w:val="24"/>
        </w:rPr>
        <w:t>若</w:t>
      </w:r>
      <w:r>
        <w:rPr>
          <w:rFonts w:hint="default" w:ascii="宋体" w:hAnsi="宋体"/>
          <w:color w:val="auto"/>
          <w:sz w:val="24"/>
          <w:lang w:val="en-US" w:eastAsia="zh-CN"/>
        </w:rPr>
        <w:t>国家法律法规或省级以上行政主管部门政策调整</w:t>
      </w:r>
      <w:r>
        <w:rPr>
          <w:rFonts w:hint="eastAsia" w:ascii="宋体" w:hAnsi="宋体"/>
          <w:color w:val="auto"/>
          <w:sz w:val="24"/>
          <w:lang w:val="en-US" w:eastAsia="zh-CN"/>
        </w:rPr>
        <w:t>或采购人招标办职能调整</w:t>
      </w:r>
      <w:r>
        <w:rPr>
          <w:rFonts w:hint="default" w:ascii="宋体" w:hAnsi="宋体"/>
          <w:color w:val="auto"/>
          <w:sz w:val="24"/>
          <w:lang w:val="en-US" w:eastAsia="zh-CN"/>
        </w:rPr>
        <w:t>导致本项目无法继续履行的</w:t>
      </w:r>
      <w:r>
        <w:rPr>
          <w:rFonts w:hint="eastAsia" w:ascii="宋体" w:hAnsi="宋体"/>
          <w:color w:val="auto"/>
          <w:sz w:val="24"/>
          <w:lang w:val="en-US" w:eastAsia="zh-CN"/>
        </w:rPr>
        <w:t>，</w:t>
      </w:r>
      <w:r>
        <w:rPr>
          <w:rFonts w:hint="eastAsia" w:ascii="宋体" w:hAnsi="宋体"/>
          <w:color w:val="auto"/>
          <w:kern w:val="0"/>
          <w:sz w:val="24"/>
          <w:lang w:eastAsia="zh-CN"/>
        </w:rPr>
        <w:t>采购人</w:t>
      </w:r>
      <w:r>
        <w:rPr>
          <w:rFonts w:hint="eastAsia" w:ascii="宋体" w:hAnsi="宋体"/>
          <w:color w:val="auto"/>
          <w:kern w:val="0"/>
          <w:sz w:val="24"/>
          <w:lang w:val="en-US" w:eastAsia="zh-CN"/>
        </w:rPr>
        <w:t>可单方解除合同。</w:t>
      </w:r>
    </w:p>
    <w:p w14:paraId="7C8471BF">
      <w:pPr>
        <w:widowControl/>
        <w:spacing w:line="440" w:lineRule="exact"/>
        <w:ind w:firstLine="420"/>
        <w:outlineLvl w:val="0"/>
        <w:rPr>
          <w:rFonts w:ascii="宋体" w:hAnsi="宋体"/>
          <w:b/>
          <w:bCs/>
          <w:color w:val="auto"/>
          <w:kern w:val="0"/>
          <w:sz w:val="24"/>
        </w:rPr>
      </w:pPr>
      <w:r>
        <w:rPr>
          <w:rFonts w:hint="eastAsia" w:ascii="宋体" w:hAnsi="宋体"/>
          <w:b/>
          <w:bCs/>
          <w:color w:val="auto"/>
          <w:kern w:val="0"/>
          <w:sz w:val="24"/>
        </w:rPr>
        <w:t>（二）合格</w:t>
      </w:r>
      <w:r>
        <w:rPr>
          <w:rFonts w:hint="eastAsia" w:ascii="宋体" w:hAnsi="宋体"/>
          <w:b/>
          <w:bCs/>
          <w:color w:val="auto"/>
          <w:kern w:val="0"/>
          <w:sz w:val="24"/>
          <w:lang w:eastAsia="zh-CN"/>
        </w:rPr>
        <w:t>供应商</w:t>
      </w:r>
      <w:r>
        <w:rPr>
          <w:rFonts w:hint="eastAsia" w:ascii="宋体" w:hAnsi="宋体"/>
          <w:b/>
          <w:bCs/>
          <w:color w:val="auto"/>
          <w:kern w:val="0"/>
          <w:sz w:val="24"/>
        </w:rPr>
        <w:t>条件</w:t>
      </w:r>
    </w:p>
    <w:p w14:paraId="35624517">
      <w:pPr>
        <w:widowControl/>
        <w:spacing w:line="400" w:lineRule="exact"/>
        <w:ind w:firstLine="480" w:firstLineChars="200"/>
        <w:jc w:val="left"/>
        <w:rPr>
          <w:rFonts w:ascii="宋体" w:hAnsi="宋体"/>
          <w:color w:val="auto"/>
          <w:kern w:val="0"/>
          <w:sz w:val="24"/>
        </w:rPr>
      </w:pPr>
      <w:r>
        <w:rPr>
          <w:rFonts w:hint="eastAsia" w:ascii="宋体" w:hAnsi="宋体"/>
          <w:color w:val="auto"/>
          <w:kern w:val="0"/>
          <w:sz w:val="24"/>
        </w:rPr>
        <w:t>见遴选邀请公告</w:t>
      </w:r>
    </w:p>
    <w:p w14:paraId="7E072328">
      <w:pPr>
        <w:widowControl/>
        <w:spacing w:line="440" w:lineRule="exact"/>
        <w:ind w:left="5542" w:hanging="5122"/>
        <w:jc w:val="left"/>
        <w:outlineLvl w:val="0"/>
        <w:rPr>
          <w:rFonts w:ascii="宋体" w:hAnsi="宋体"/>
          <w:b/>
          <w:bCs/>
          <w:color w:val="auto"/>
          <w:kern w:val="0"/>
          <w:sz w:val="24"/>
        </w:rPr>
      </w:pPr>
      <w:r>
        <w:rPr>
          <w:rFonts w:hint="eastAsia" w:ascii="宋体" w:hAnsi="宋体"/>
          <w:b/>
          <w:bCs/>
          <w:color w:val="auto"/>
          <w:kern w:val="0"/>
          <w:sz w:val="24"/>
        </w:rPr>
        <w:t>（三）遴选文件说明</w:t>
      </w:r>
    </w:p>
    <w:p w14:paraId="7B8AC096">
      <w:pPr>
        <w:widowControl/>
        <w:spacing w:line="440" w:lineRule="exact"/>
        <w:ind w:firstLine="420"/>
        <w:jc w:val="left"/>
        <w:rPr>
          <w:rFonts w:ascii="宋体" w:hAnsi="宋体"/>
          <w:color w:val="auto"/>
          <w:kern w:val="0"/>
          <w:sz w:val="24"/>
        </w:rPr>
      </w:pPr>
      <w:r>
        <w:rPr>
          <w:rFonts w:hint="eastAsia" w:ascii="宋体" w:hAnsi="宋体"/>
          <w:color w:val="auto"/>
          <w:kern w:val="0"/>
          <w:sz w:val="24"/>
          <w:lang w:eastAsia="zh-CN"/>
        </w:rPr>
        <w:t>供应商</w:t>
      </w:r>
      <w:r>
        <w:rPr>
          <w:rFonts w:hint="eastAsia" w:ascii="宋体" w:hAnsi="宋体"/>
          <w:color w:val="auto"/>
          <w:kern w:val="0"/>
          <w:sz w:val="24"/>
        </w:rPr>
        <w:t>应仔细阅读遴选文件中的所有内容，按照遴选文件及要求，详细编制</w:t>
      </w:r>
      <w:r>
        <w:rPr>
          <w:rFonts w:hint="eastAsia" w:ascii="宋体" w:hAnsi="宋体"/>
          <w:color w:val="auto"/>
          <w:kern w:val="0"/>
          <w:sz w:val="24"/>
          <w:lang w:val="en-US" w:eastAsia="zh-CN"/>
        </w:rPr>
        <w:t>响应</w:t>
      </w:r>
      <w:r>
        <w:rPr>
          <w:rFonts w:hint="eastAsia" w:ascii="宋体" w:hAnsi="宋体"/>
          <w:color w:val="auto"/>
          <w:kern w:val="0"/>
          <w:sz w:val="24"/>
          <w:lang w:eastAsia="zh-CN"/>
        </w:rPr>
        <w:t>文件</w:t>
      </w:r>
      <w:r>
        <w:rPr>
          <w:rFonts w:hint="eastAsia" w:ascii="宋体" w:hAnsi="宋体"/>
          <w:color w:val="auto"/>
          <w:kern w:val="0"/>
          <w:sz w:val="24"/>
        </w:rPr>
        <w:t>，并保证</w:t>
      </w:r>
      <w:r>
        <w:rPr>
          <w:rFonts w:hint="eastAsia" w:ascii="宋体" w:hAnsi="宋体"/>
          <w:color w:val="auto"/>
          <w:kern w:val="0"/>
          <w:sz w:val="24"/>
          <w:lang w:val="en-US" w:eastAsia="zh-CN"/>
        </w:rPr>
        <w:t>响应</w:t>
      </w:r>
      <w:r>
        <w:rPr>
          <w:rFonts w:hint="eastAsia" w:ascii="宋体" w:hAnsi="宋体"/>
          <w:color w:val="auto"/>
          <w:kern w:val="0"/>
          <w:sz w:val="24"/>
          <w:lang w:eastAsia="zh-CN"/>
        </w:rPr>
        <w:t>文件</w:t>
      </w:r>
      <w:r>
        <w:rPr>
          <w:rFonts w:hint="eastAsia" w:ascii="宋体" w:hAnsi="宋体"/>
          <w:color w:val="auto"/>
          <w:kern w:val="0"/>
          <w:sz w:val="24"/>
        </w:rPr>
        <w:t>的正确性和真实性。</w:t>
      </w:r>
    </w:p>
    <w:p w14:paraId="4E1AF35E">
      <w:pPr>
        <w:widowControl/>
        <w:spacing w:line="440" w:lineRule="exact"/>
        <w:ind w:firstLine="420"/>
        <w:jc w:val="left"/>
        <w:rPr>
          <w:rFonts w:ascii="宋体" w:hAnsi="宋体"/>
          <w:color w:val="auto"/>
          <w:kern w:val="0"/>
          <w:sz w:val="24"/>
        </w:rPr>
      </w:pPr>
      <w:r>
        <w:rPr>
          <w:rFonts w:hint="eastAsia" w:ascii="宋体" w:hAnsi="宋体"/>
          <w:color w:val="auto"/>
          <w:kern w:val="0"/>
          <w:sz w:val="24"/>
          <w:lang w:eastAsia="zh-CN"/>
        </w:rPr>
        <w:t>供应商</w:t>
      </w:r>
      <w:r>
        <w:rPr>
          <w:rFonts w:hint="eastAsia" w:ascii="宋体" w:hAnsi="宋体"/>
          <w:color w:val="auto"/>
          <w:kern w:val="0"/>
          <w:sz w:val="24"/>
        </w:rPr>
        <w:t>获取遴选文件后，应仔细检查遴选文件中的所有内容，如有残缺等问题，应及时向</w:t>
      </w:r>
      <w:r>
        <w:rPr>
          <w:rFonts w:hint="eastAsia" w:ascii="宋体" w:hAnsi="宋体"/>
          <w:color w:val="auto"/>
          <w:kern w:val="0"/>
          <w:sz w:val="24"/>
          <w:lang w:eastAsia="zh-CN"/>
        </w:rPr>
        <w:t>采购人</w:t>
      </w:r>
      <w:r>
        <w:rPr>
          <w:rFonts w:hint="eastAsia" w:ascii="宋体" w:hAnsi="宋体"/>
          <w:color w:val="auto"/>
          <w:kern w:val="0"/>
          <w:sz w:val="24"/>
        </w:rPr>
        <w:t>提出，否则，由此引起的费用由</w:t>
      </w:r>
      <w:r>
        <w:rPr>
          <w:rFonts w:hint="eastAsia" w:ascii="宋体" w:hAnsi="宋体"/>
          <w:color w:val="auto"/>
          <w:kern w:val="0"/>
          <w:sz w:val="24"/>
          <w:lang w:eastAsia="zh-CN"/>
        </w:rPr>
        <w:t>供应商</w:t>
      </w:r>
      <w:r>
        <w:rPr>
          <w:rFonts w:hint="eastAsia" w:ascii="宋体" w:hAnsi="宋体"/>
          <w:color w:val="auto"/>
          <w:kern w:val="0"/>
          <w:sz w:val="24"/>
        </w:rPr>
        <w:t>自行承担。</w:t>
      </w:r>
    </w:p>
    <w:p w14:paraId="10E819B7">
      <w:pPr>
        <w:widowControl/>
        <w:spacing w:line="440" w:lineRule="exact"/>
        <w:ind w:firstLine="420"/>
        <w:jc w:val="left"/>
        <w:rPr>
          <w:rFonts w:ascii="宋体" w:hAnsi="宋体"/>
          <w:color w:val="auto"/>
          <w:kern w:val="0"/>
          <w:sz w:val="24"/>
        </w:rPr>
      </w:pPr>
      <w:r>
        <w:rPr>
          <w:rFonts w:hint="eastAsia" w:ascii="宋体" w:hAnsi="宋体"/>
          <w:color w:val="auto"/>
          <w:kern w:val="0"/>
          <w:sz w:val="24"/>
        </w:rPr>
        <w:t>不按遴选文件的要求提供的</w:t>
      </w:r>
      <w:r>
        <w:rPr>
          <w:rFonts w:hint="eastAsia" w:ascii="宋体" w:hAnsi="宋体"/>
          <w:color w:val="auto"/>
          <w:kern w:val="0"/>
          <w:sz w:val="24"/>
          <w:lang w:val="en-US" w:eastAsia="zh-CN"/>
        </w:rPr>
        <w:t>响应</w:t>
      </w:r>
      <w:r>
        <w:rPr>
          <w:rFonts w:hint="eastAsia" w:ascii="宋体" w:hAnsi="宋体"/>
          <w:color w:val="auto"/>
          <w:kern w:val="0"/>
          <w:sz w:val="24"/>
          <w:lang w:eastAsia="zh-CN"/>
        </w:rPr>
        <w:t>文件</w:t>
      </w:r>
      <w:r>
        <w:rPr>
          <w:rFonts w:hint="eastAsia" w:ascii="宋体" w:hAnsi="宋体"/>
          <w:color w:val="auto"/>
          <w:kern w:val="0"/>
          <w:sz w:val="24"/>
        </w:rPr>
        <w:t>将被拒绝。</w:t>
      </w:r>
    </w:p>
    <w:p w14:paraId="403550C7">
      <w:pPr>
        <w:widowControl/>
        <w:spacing w:line="440" w:lineRule="exact"/>
        <w:ind w:firstLine="420"/>
        <w:jc w:val="left"/>
        <w:rPr>
          <w:rFonts w:ascii="宋体" w:hAnsi="宋体"/>
          <w:color w:val="auto"/>
          <w:kern w:val="0"/>
          <w:sz w:val="24"/>
        </w:rPr>
      </w:pPr>
      <w:r>
        <w:rPr>
          <w:rFonts w:hint="eastAsia" w:ascii="宋体" w:hAnsi="宋体"/>
          <w:color w:val="auto"/>
          <w:kern w:val="0"/>
          <w:sz w:val="24"/>
          <w:lang w:eastAsia="zh-CN"/>
        </w:rPr>
        <w:t>供应商</w:t>
      </w:r>
      <w:r>
        <w:rPr>
          <w:rFonts w:hint="eastAsia" w:ascii="宋体" w:hAnsi="宋体"/>
          <w:color w:val="auto"/>
          <w:kern w:val="0"/>
          <w:sz w:val="24"/>
        </w:rPr>
        <w:t>如对该遴选文件有疑问，应在</w:t>
      </w:r>
      <w:r>
        <w:rPr>
          <w:rFonts w:hint="eastAsia" w:ascii="宋体" w:hAnsi="宋体"/>
          <w:color w:val="auto"/>
          <w:kern w:val="0"/>
          <w:sz w:val="24"/>
          <w:lang w:eastAsia="zh-CN"/>
        </w:rPr>
        <w:t>供应商</w:t>
      </w:r>
      <w:r>
        <w:rPr>
          <w:rFonts w:hint="eastAsia" w:ascii="宋体" w:hAnsi="宋体"/>
          <w:color w:val="auto"/>
          <w:kern w:val="0"/>
          <w:sz w:val="24"/>
        </w:rPr>
        <w:t>须知前附表</w:t>
      </w:r>
      <w:r>
        <w:rPr>
          <w:rFonts w:hint="eastAsia" w:ascii="宋体" w:hAnsi="宋体"/>
          <w:color w:val="auto"/>
          <w:kern w:val="0"/>
          <w:sz w:val="24"/>
          <w:lang w:eastAsia="zh-CN"/>
        </w:rPr>
        <w:t>规定的时间内</w:t>
      </w:r>
      <w:r>
        <w:rPr>
          <w:rFonts w:hint="eastAsia" w:ascii="宋体" w:hAnsi="宋体"/>
          <w:color w:val="auto"/>
          <w:kern w:val="0"/>
          <w:sz w:val="24"/>
        </w:rPr>
        <w:t>以书面形式递交至</w:t>
      </w:r>
      <w:r>
        <w:rPr>
          <w:rFonts w:hint="eastAsia" w:ascii="宋体" w:hAnsi="宋体"/>
          <w:color w:val="auto"/>
          <w:kern w:val="0"/>
          <w:sz w:val="24"/>
          <w:lang w:eastAsia="zh-CN"/>
        </w:rPr>
        <w:t>娄底市中心医院</w:t>
      </w:r>
      <w:r>
        <w:rPr>
          <w:rFonts w:hint="eastAsia" w:ascii="宋体" w:hAnsi="宋体"/>
          <w:color w:val="auto"/>
          <w:sz w:val="24"/>
          <w:highlight w:val="none"/>
          <w:lang w:val="en-US" w:eastAsia="zh-CN"/>
        </w:rPr>
        <w:t>综合楼415室</w:t>
      </w:r>
      <w:r>
        <w:rPr>
          <w:rFonts w:hint="eastAsia" w:ascii="宋体" w:hAnsi="宋体"/>
          <w:color w:val="auto"/>
          <w:kern w:val="0"/>
          <w:sz w:val="24"/>
        </w:rPr>
        <w:t>。</w:t>
      </w:r>
      <w:r>
        <w:rPr>
          <w:rFonts w:hint="eastAsia" w:ascii="宋体" w:hAnsi="宋体"/>
          <w:color w:val="auto"/>
          <w:kern w:val="0"/>
          <w:sz w:val="24"/>
          <w:lang w:eastAsia="zh-CN"/>
        </w:rPr>
        <w:t>采购人</w:t>
      </w:r>
      <w:r>
        <w:rPr>
          <w:rFonts w:hint="eastAsia" w:ascii="宋体" w:hAnsi="宋体"/>
          <w:color w:val="auto"/>
          <w:kern w:val="0"/>
          <w:sz w:val="24"/>
        </w:rPr>
        <w:t>对</w:t>
      </w:r>
      <w:r>
        <w:rPr>
          <w:rFonts w:hint="eastAsia" w:ascii="宋体" w:hAnsi="宋体"/>
          <w:color w:val="auto"/>
          <w:kern w:val="0"/>
          <w:sz w:val="24"/>
          <w:lang w:eastAsia="zh-CN"/>
        </w:rPr>
        <w:t>供应商</w:t>
      </w:r>
      <w:r>
        <w:rPr>
          <w:rFonts w:hint="eastAsia" w:ascii="宋体" w:hAnsi="宋体"/>
          <w:color w:val="auto"/>
          <w:kern w:val="0"/>
          <w:sz w:val="24"/>
        </w:rPr>
        <w:t>的答疑，都将以公告的形式发布在</w:t>
      </w:r>
      <w:r>
        <w:rPr>
          <w:rFonts w:hint="eastAsia" w:ascii="宋体" w:hAnsi="宋体"/>
          <w:color w:val="auto"/>
          <w:kern w:val="0"/>
          <w:sz w:val="24"/>
          <w:lang w:eastAsia="zh-CN"/>
        </w:rPr>
        <w:t>娄底市中心医院</w:t>
      </w:r>
      <w:r>
        <w:rPr>
          <w:rFonts w:hint="eastAsia" w:ascii="宋体" w:hAnsi="宋体"/>
          <w:color w:val="auto"/>
          <w:kern w:val="0"/>
          <w:sz w:val="24"/>
        </w:rPr>
        <w:t>官网上，补充和修改文件视为该遴选文件的组成部分。为使</w:t>
      </w:r>
      <w:r>
        <w:rPr>
          <w:rFonts w:hint="eastAsia" w:ascii="宋体" w:hAnsi="宋体"/>
          <w:color w:val="auto"/>
          <w:kern w:val="0"/>
          <w:sz w:val="24"/>
          <w:lang w:eastAsia="zh-CN"/>
        </w:rPr>
        <w:t>供应商</w:t>
      </w:r>
      <w:r>
        <w:rPr>
          <w:rFonts w:hint="eastAsia" w:ascii="宋体" w:hAnsi="宋体"/>
          <w:color w:val="auto"/>
          <w:kern w:val="0"/>
          <w:sz w:val="24"/>
        </w:rPr>
        <w:t>在编制</w:t>
      </w:r>
      <w:r>
        <w:rPr>
          <w:rFonts w:hint="eastAsia" w:ascii="宋体" w:hAnsi="宋体"/>
          <w:color w:val="auto"/>
          <w:kern w:val="0"/>
          <w:sz w:val="24"/>
          <w:lang w:val="en-US" w:eastAsia="zh-CN"/>
        </w:rPr>
        <w:t>响应</w:t>
      </w:r>
      <w:r>
        <w:rPr>
          <w:rFonts w:hint="eastAsia" w:ascii="宋体" w:hAnsi="宋体"/>
          <w:color w:val="auto"/>
          <w:kern w:val="0"/>
          <w:sz w:val="24"/>
          <w:lang w:eastAsia="zh-CN"/>
        </w:rPr>
        <w:t>文件</w:t>
      </w:r>
      <w:r>
        <w:rPr>
          <w:rFonts w:hint="eastAsia" w:ascii="宋体" w:hAnsi="宋体"/>
          <w:color w:val="auto"/>
          <w:kern w:val="0"/>
          <w:sz w:val="24"/>
        </w:rPr>
        <w:t>时，有充分的时间对遴选文件的补充或修改内容进行研究，</w:t>
      </w:r>
      <w:r>
        <w:rPr>
          <w:rFonts w:hint="eastAsia" w:ascii="宋体" w:hAnsi="宋体"/>
          <w:color w:val="auto"/>
          <w:kern w:val="0"/>
          <w:sz w:val="24"/>
          <w:lang w:eastAsia="zh-CN"/>
        </w:rPr>
        <w:t>采购人</w:t>
      </w:r>
      <w:r>
        <w:rPr>
          <w:rFonts w:hint="eastAsia" w:ascii="宋体" w:hAnsi="宋体"/>
          <w:color w:val="auto"/>
          <w:kern w:val="0"/>
          <w:sz w:val="24"/>
        </w:rPr>
        <w:t>可酌情延长</w:t>
      </w:r>
      <w:r>
        <w:rPr>
          <w:rFonts w:hint="eastAsia" w:ascii="宋体" w:hAnsi="宋体"/>
          <w:color w:val="auto"/>
          <w:kern w:val="0"/>
          <w:sz w:val="24"/>
          <w:lang w:val="en-US" w:eastAsia="zh-CN"/>
        </w:rPr>
        <w:t>响应</w:t>
      </w:r>
      <w:r>
        <w:rPr>
          <w:rFonts w:hint="eastAsia" w:ascii="宋体" w:hAnsi="宋体"/>
          <w:color w:val="auto"/>
          <w:kern w:val="0"/>
          <w:sz w:val="24"/>
          <w:lang w:eastAsia="zh-CN"/>
        </w:rPr>
        <w:t>文件</w:t>
      </w:r>
      <w:r>
        <w:rPr>
          <w:rFonts w:hint="eastAsia" w:ascii="宋体" w:hAnsi="宋体"/>
          <w:color w:val="auto"/>
          <w:kern w:val="0"/>
          <w:sz w:val="24"/>
        </w:rPr>
        <w:t>递交的截止时间，遴选文件的补充或修改内容以及递交</w:t>
      </w:r>
      <w:r>
        <w:rPr>
          <w:rFonts w:hint="eastAsia" w:ascii="宋体" w:hAnsi="宋体"/>
          <w:color w:val="auto"/>
          <w:kern w:val="0"/>
          <w:sz w:val="24"/>
          <w:lang w:val="en-US" w:eastAsia="zh-CN"/>
        </w:rPr>
        <w:t>响应</w:t>
      </w:r>
      <w:r>
        <w:rPr>
          <w:rFonts w:hint="eastAsia" w:ascii="宋体" w:hAnsi="宋体"/>
          <w:color w:val="auto"/>
          <w:kern w:val="0"/>
          <w:sz w:val="24"/>
          <w:lang w:eastAsia="zh-CN"/>
        </w:rPr>
        <w:t>文件</w:t>
      </w:r>
      <w:r>
        <w:rPr>
          <w:rFonts w:hint="eastAsia" w:ascii="宋体" w:hAnsi="宋体"/>
          <w:color w:val="auto"/>
          <w:kern w:val="0"/>
          <w:sz w:val="24"/>
        </w:rPr>
        <w:t>的截止时间将</w:t>
      </w:r>
      <w:r>
        <w:rPr>
          <w:rFonts w:hint="eastAsia" w:ascii="宋体" w:hAnsi="宋体"/>
          <w:color w:val="auto"/>
          <w:kern w:val="0"/>
          <w:sz w:val="24"/>
          <w:lang w:eastAsia="zh-CN"/>
        </w:rPr>
        <w:t>以公告</w:t>
      </w:r>
      <w:r>
        <w:rPr>
          <w:rFonts w:hint="eastAsia" w:ascii="宋体" w:hAnsi="宋体"/>
          <w:color w:val="auto"/>
          <w:kern w:val="0"/>
          <w:sz w:val="24"/>
        </w:rPr>
        <w:t>形式发布在</w:t>
      </w:r>
      <w:r>
        <w:rPr>
          <w:rFonts w:hint="eastAsia" w:ascii="宋体" w:hAnsi="宋体"/>
          <w:color w:val="auto"/>
          <w:kern w:val="0"/>
          <w:sz w:val="24"/>
          <w:lang w:eastAsia="zh-CN"/>
        </w:rPr>
        <w:t>娄底市中心医院</w:t>
      </w:r>
      <w:r>
        <w:rPr>
          <w:rFonts w:hint="eastAsia" w:ascii="宋体" w:hAnsi="宋体"/>
          <w:color w:val="auto"/>
          <w:kern w:val="0"/>
          <w:sz w:val="24"/>
        </w:rPr>
        <w:t>官网上。</w:t>
      </w:r>
    </w:p>
    <w:p w14:paraId="794EB242">
      <w:pPr>
        <w:widowControl/>
        <w:spacing w:line="440" w:lineRule="exact"/>
        <w:ind w:left="5542" w:hanging="5122"/>
        <w:jc w:val="left"/>
        <w:outlineLvl w:val="0"/>
        <w:rPr>
          <w:rFonts w:ascii="宋体" w:hAnsi="宋体"/>
          <w:b/>
          <w:bCs/>
          <w:color w:val="auto"/>
          <w:spacing w:val="15"/>
          <w:kern w:val="0"/>
          <w:sz w:val="24"/>
        </w:rPr>
      </w:pPr>
      <w:r>
        <w:rPr>
          <w:rFonts w:hint="eastAsia" w:ascii="宋体" w:hAnsi="宋体"/>
          <w:b/>
          <w:bCs/>
          <w:color w:val="auto"/>
          <w:spacing w:val="15"/>
          <w:kern w:val="0"/>
          <w:sz w:val="24"/>
        </w:rPr>
        <w:t>（四）招标采购代理服务内容</w:t>
      </w:r>
    </w:p>
    <w:p w14:paraId="5D8B9B2A">
      <w:pPr>
        <w:widowControl/>
        <w:numPr>
          <w:ilvl w:val="0"/>
          <w:numId w:val="3"/>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协助</w:t>
      </w:r>
      <w:r>
        <w:rPr>
          <w:rFonts w:hint="eastAsia" w:ascii="宋体" w:hAnsi="宋体"/>
          <w:color w:val="auto"/>
          <w:kern w:val="0"/>
          <w:sz w:val="24"/>
          <w:lang w:eastAsia="zh-CN"/>
        </w:rPr>
        <w:t>采购人</w:t>
      </w:r>
      <w:r>
        <w:rPr>
          <w:rFonts w:hint="eastAsia" w:ascii="宋体" w:hAnsi="宋体"/>
          <w:color w:val="auto"/>
          <w:kern w:val="0"/>
          <w:sz w:val="24"/>
        </w:rPr>
        <w:t>办理</w:t>
      </w:r>
      <w:r>
        <w:rPr>
          <w:rFonts w:hint="eastAsia" w:ascii="宋体" w:hAnsi="宋体"/>
          <w:color w:val="auto"/>
          <w:kern w:val="0"/>
          <w:sz w:val="24"/>
          <w:lang w:eastAsia="zh-CN"/>
        </w:rPr>
        <w:t>采购项目全流程申请</w:t>
      </w:r>
      <w:r>
        <w:rPr>
          <w:rFonts w:hint="eastAsia" w:ascii="宋体" w:hAnsi="宋体"/>
          <w:color w:val="auto"/>
          <w:kern w:val="0"/>
          <w:sz w:val="24"/>
        </w:rPr>
        <w:t>事项</w:t>
      </w:r>
      <w:r>
        <w:rPr>
          <w:rFonts w:hint="eastAsia" w:ascii="宋体" w:hAnsi="宋体"/>
          <w:color w:val="auto"/>
          <w:kern w:val="0"/>
          <w:sz w:val="24"/>
          <w:lang w:eastAsia="zh-CN"/>
        </w:rPr>
        <w:t>（包括各部门相关审批工作的咨询建议等）</w:t>
      </w:r>
      <w:r>
        <w:rPr>
          <w:rFonts w:hint="eastAsia" w:ascii="宋体" w:hAnsi="宋体"/>
          <w:color w:val="auto"/>
          <w:kern w:val="0"/>
          <w:sz w:val="24"/>
        </w:rPr>
        <w:t>。</w:t>
      </w:r>
    </w:p>
    <w:p w14:paraId="6A0305EC">
      <w:pPr>
        <w:widowControl/>
        <w:numPr>
          <w:ilvl w:val="0"/>
          <w:numId w:val="3"/>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依法代表</w:t>
      </w:r>
      <w:r>
        <w:rPr>
          <w:rFonts w:hint="eastAsia" w:ascii="宋体" w:hAnsi="宋体"/>
          <w:color w:val="auto"/>
          <w:kern w:val="0"/>
          <w:sz w:val="24"/>
          <w:lang w:eastAsia="zh-CN"/>
        </w:rPr>
        <w:t>采购人</w:t>
      </w:r>
      <w:r>
        <w:rPr>
          <w:rFonts w:hint="eastAsia" w:ascii="宋体" w:hAnsi="宋体"/>
          <w:color w:val="auto"/>
          <w:kern w:val="0"/>
          <w:sz w:val="24"/>
        </w:rPr>
        <w:t>发布招标公告，负责与政府招标管理部门进行协调。</w:t>
      </w:r>
    </w:p>
    <w:p w14:paraId="4BBEF29D">
      <w:pPr>
        <w:widowControl/>
        <w:numPr>
          <w:ilvl w:val="0"/>
          <w:numId w:val="3"/>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能为</w:t>
      </w:r>
      <w:r>
        <w:rPr>
          <w:rFonts w:hint="eastAsia" w:ascii="宋体" w:hAnsi="宋体"/>
          <w:color w:val="auto"/>
          <w:kern w:val="0"/>
          <w:sz w:val="24"/>
          <w:lang w:eastAsia="zh-CN"/>
        </w:rPr>
        <w:t>采购人</w:t>
      </w:r>
      <w:r>
        <w:rPr>
          <w:rFonts w:hint="eastAsia" w:ascii="宋体" w:hAnsi="宋体"/>
          <w:color w:val="auto"/>
          <w:kern w:val="0"/>
          <w:sz w:val="24"/>
        </w:rPr>
        <w:t>提供</w:t>
      </w:r>
      <w:r>
        <w:rPr>
          <w:rFonts w:hint="eastAsia" w:ascii="宋体" w:hAnsi="宋体"/>
          <w:color w:val="auto"/>
          <w:kern w:val="0"/>
          <w:sz w:val="24"/>
          <w:lang w:eastAsia="zh-CN"/>
        </w:rPr>
        <w:t>咨询</w:t>
      </w:r>
      <w:r>
        <w:rPr>
          <w:rFonts w:hint="eastAsia" w:ascii="宋体" w:hAnsi="宋体"/>
          <w:color w:val="auto"/>
          <w:kern w:val="0"/>
          <w:sz w:val="24"/>
        </w:rPr>
        <w:t>服务</w:t>
      </w:r>
      <w:r>
        <w:rPr>
          <w:rFonts w:hint="eastAsia" w:ascii="宋体" w:hAnsi="宋体"/>
          <w:color w:val="auto"/>
          <w:kern w:val="0"/>
          <w:sz w:val="24"/>
          <w:lang w:eastAsia="zh-CN"/>
        </w:rPr>
        <w:t>（包括但不限于询价、相关政策咨询）</w:t>
      </w:r>
      <w:r>
        <w:rPr>
          <w:rFonts w:hint="eastAsia" w:ascii="宋体" w:hAnsi="宋体"/>
          <w:color w:val="auto"/>
          <w:kern w:val="0"/>
          <w:sz w:val="24"/>
        </w:rPr>
        <w:t>。</w:t>
      </w:r>
    </w:p>
    <w:p w14:paraId="511EA760">
      <w:pPr>
        <w:widowControl/>
        <w:numPr>
          <w:ilvl w:val="0"/>
          <w:numId w:val="3"/>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根据</w:t>
      </w:r>
      <w:r>
        <w:rPr>
          <w:rFonts w:hint="eastAsia" w:ascii="宋体" w:hAnsi="宋体"/>
          <w:color w:val="auto"/>
          <w:kern w:val="0"/>
          <w:sz w:val="24"/>
          <w:lang w:eastAsia="zh-CN"/>
        </w:rPr>
        <w:t>采购人</w:t>
      </w:r>
      <w:r>
        <w:rPr>
          <w:rFonts w:hint="eastAsia" w:ascii="宋体" w:hAnsi="宋体"/>
          <w:color w:val="auto"/>
          <w:kern w:val="0"/>
          <w:sz w:val="24"/>
        </w:rPr>
        <w:t>要求做好招标前相关论证工作（如单一来源论证、进口产品论证等）。</w:t>
      </w:r>
    </w:p>
    <w:p w14:paraId="1D21CF67">
      <w:pPr>
        <w:widowControl/>
        <w:numPr>
          <w:ilvl w:val="0"/>
          <w:numId w:val="3"/>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根据</w:t>
      </w:r>
      <w:r>
        <w:rPr>
          <w:rFonts w:hint="eastAsia" w:ascii="宋体" w:hAnsi="宋体"/>
          <w:color w:val="auto"/>
          <w:kern w:val="0"/>
          <w:sz w:val="24"/>
          <w:lang w:eastAsia="zh-CN"/>
        </w:rPr>
        <w:t>采购人</w:t>
      </w:r>
      <w:r>
        <w:rPr>
          <w:rFonts w:hint="eastAsia" w:ascii="宋体" w:hAnsi="宋体"/>
          <w:color w:val="auto"/>
          <w:kern w:val="0"/>
          <w:sz w:val="24"/>
        </w:rPr>
        <w:t>要求参加项目采购需求及实施计划审查工作。</w:t>
      </w:r>
    </w:p>
    <w:p w14:paraId="09CEFFD7">
      <w:pPr>
        <w:widowControl/>
        <w:numPr>
          <w:ilvl w:val="0"/>
          <w:numId w:val="3"/>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编制资格审查文件和招标文件。</w:t>
      </w:r>
    </w:p>
    <w:p w14:paraId="35098954">
      <w:pPr>
        <w:widowControl/>
        <w:numPr>
          <w:ilvl w:val="0"/>
          <w:numId w:val="3"/>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组织投标申请单位进行资质审查。</w:t>
      </w:r>
    </w:p>
    <w:p w14:paraId="16982350">
      <w:pPr>
        <w:widowControl/>
        <w:numPr>
          <w:ilvl w:val="0"/>
          <w:numId w:val="3"/>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组织5名(含)及以上专家对政府采购限额标准以上项目的招标采购文件进行审</w:t>
      </w:r>
    </w:p>
    <w:p w14:paraId="300D2CAB">
      <w:pPr>
        <w:widowControl/>
        <w:spacing w:line="440" w:lineRule="exact"/>
        <w:jc w:val="left"/>
        <w:rPr>
          <w:rFonts w:ascii="宋体" w:hAnsi="宋体"/>
          <w:color w:val="auto"/>
          <w:kern w:val="0"/>
          <w:sz w:val="24"/>
        </w:rPr>
      </w:pPr>
      <w:r>
        <w:rPr>
          <w:rFonts w:hint="eastAsia" w:ascii="宋体" w:hAnsi="宋体"/>
          <w:color w:val="auto"/>
          <w:kern w:val="0"/>
          <w:sz w:val="24"/>
        </w:rPr>
        <w:t>核论证。</w:t>
      </w:r>
    </w:p>
    <w:p w14:paraId="47C8C82A">
      <w:pPr>
        <w:widowControl/>
        <w:numPr>
          <w:ilvl w:val="0"/>
          <w:numId w:val="3"/>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招标相关文件报送</w:t>
      </w:r>
      <w:r>
        <w:rPr>
          <w:rFonts w:hint="eastAsia" w:ascii="宋体" w:hAnsi="宋体"/>
          <w:color w:val="auto"/>
          <w:kern w:val="0"/>
          <w:sz w:val="24"/>
          <w:lang w:eastAsia="zh-CN"/>
        </w:rPr>
        <w:t>采购人</w:t>
      </w:r>
      <w:r>
        <w:rPr>
          <w:rFonts w:hint="eastAsia" w:ascii="宋体" w:hAnsi="宋体"/>
          <w:color w:val="auto"/>
          <w:kern w:val="0"/>
          <w:sz w:val="24"/>
        </w:rPr>
        <w:t>审核后报相关主管部门批准。</w:t>
      </w:r>
    </w:p>
    <w:p w14:paraId="57181B72">
      <w:pPr>
        <w:widowControl/>
        <w:numPr>
          <w:ilvl w:val="0"/>
          <w:numId w:val="3"/>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组织现场答疑。</w:t>
      </w:r>
    </w:p>
    <w:p w14:paraId="3C2B7459">
      <w:pPr>
        <w:widowControl/>
        <w:numPr>
          <w:ilvl w:val="0"/>
          <w:numId w:val="3"/>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组织标前会议，负责资格审查文件和招标文件的澄清、修改与补充。</w:t>
      </w:r>
    </w:p>
    <w:p w14:paraId="51AD8BC3">
      <w:pPr>
        <w:widowControl/>
        <w:numPr>
          <w:ilvl w:val="0"/>
          <w:numId w:val="3"/>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组织开标。</w:t>
      </w:r>
    </w:p>
    <w:p w14:paraId="79E2B859">
      <w:pPr>
        <w:widowControl/>
        <w:numPr>
          <w:ilvl w:val="0"/>
          <w:numId w:val="3"/>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组织专家评审，编制招标情况书面报告，并将评审报告报送</w:t>
      </w:r>
      <w:r>
        <w:rPr>
          <w:rFonts w:hint="eastAsia" w:ascii="宋体" w:hAnsi="宋体"/>
          <w:color w:val="auto"/>
          <w:kern w:val="0"/>
          <w:sz w:val="24"/>
          <w:lang w:eastAsia="zh-CN"/>
        </w:rPr>
        <w:t>采购人</w:t>
      </w:r>
      <w:r>
        <w:rPr>
          <w:rFonts w:hint="eastAsia" w:ascii="宋体" w:hAnsi="宋体"/>
          <w:color w:val="auto"/>
          <w:kern w:val="0"/>
          <w:sz w:val="24"/>
        </w:rPr>
        <w:t>，并报相关主管部门审批。</w:t>
      </w:r>
    </w:p>
    <w:p w14:paraId="60B1029D">
      <w:pPr>
        <w:widowControl/>
        <w:numPr>
          <w:ilvl w:val="0"/>
          <w:numId w:val="3"/>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向中标人和未中标人发出中标结果。</w:t>
      </w:r>
    </w:p>
    <w:p w14:paraId="60D1B46F">
      <w:pPr>
        <w:widowControl/>
        <w:numPr>
          <w:ilvl w:val="0"/>
          <w:numId w:val="3"/>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负责招标项目资料整理、移交等工作。</w:t>
      </w:r>
    </w:p>
    <w:p w14:paraId="430B68C9">
      <w:pPr>
        <w:widowControl/>
        <w:numPr>
          <w:ilvl w:val="0"/>
          <w:numId w:val="3"/>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负责招标采购项目的院内归档工作。</w:t>
      </w:r>
    </w:p>
    <w:p w14:paraId="7D8946B3">
      <w:pPr>
        <w:widowControl/>
        <w:numPr>
          <w:ilvl w:val="0"/>
          <w:numId w:val="3"/>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负责办理与招标项目有关的报批手续。</w:t>
      </w:r>
    </w:p>
    <w:p w14:paraId="340253DC">
      <w:pPr>
        <w:widowControl/>
        <w:numPr>
          <w:ilvl w:val="0"/>
          <w:numId w:val="3"/>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完成</w:t>
      </w:r>
      <w:r>
        <w:rPr>
          <w:rFonts w:hint="eastAsia" w:ascii="宋体" w:hAnsi="宋体"/>
          <w:color w:val="auto"/>
          <w:kern w:val="0"/>
          <w:sz w:val="24"/>
          <w:lang w:eastAsia="zh-CN"/>
        </w:rPr>
        <w:t>采购人</w:t>
      </w:r>
      <w:r>
        <w:rPr>
          <w:rFonts w:hint="eastAsia" w:ascii="宋体" w:hAnsi="宋体"/>
          <w:color w:val="auto"/>
          <w:kern w:val="0"/>
          <w:sz w:val="24"/>
        </w:rPr>
        <w:t>交办的与招标有关的其他事宜。</w:t>
      </w:r>
    </w:p>
    <w:p w14:paraId="24801070">
      <w:pPr>
        <w:widowControl/>
        <w:numPr>
          <w:ilvl w:val="0"/>
          <w:numId w:val="3"/>
        </w:numPr>
        <w:spacing w:line="440" w:lineRule="exact"/>
        <w:ind w:firstLine="480" w:firstLineChars="200"/>
        <w:jc w:val="left"/>
        <w:rPr>
          <w:rFonts w:ascii="宋体" w:hAnsi="宋体"/>
          <w:color w:val="auto"/>
          <w:kern w:val="0"/>
          <w:sz w:val="24"/>
        </w:rPr>
      </w:pPr>
      <w:r>
        <w:rPr>
          <w:rFonts w:hint="eastAsia" w:ascii="宋体" w:hAnsi="宋体"/>
          <w:color w:val="auto"/>
          <w:kern w:val="0"/>
          <w:sz w:val="24"/>
          <w:lang w:eastAsia="zh-CN"/>
        </w:rPr>
        <w:t>根据采购人工作需要提供人员协助工作。</w:t>
      </w:r>
    </w:p>
    <w:p w14:paraId="479B675F">
      <w:pPr>
        <w:widowControl/>
        <w:spacing w:line="360" w:lineRule="auto"/>
        <w:ind w:firstLine="542" w:firstLineChars="200"/>
        <w:jc w:val="center"/>
        <w:rPr>
          <w:rFonts w:ascii="宋体" w:hAnsi="宋体"/>
          <w:b/>
          <w:bCs/>
          <w:color w:val="auto"/>
          <w:spacing w:val="15"/>
          <w:kern w:val="0"/>
          <w:sz w:val="24"/>
        </w:rPr>
      </w:pPr>
      <w:r>
        <w:rPr>
          <w:rFonts w:ascii="宋体" w:hAnsi="宋体"/>
          <w:b/>
          <w:bCs/>
          <w:color w:val="auto"/>
          <w:spacing w:val="15"/>
          <w:kern w:val="0"/>
          <w:sz w:val="24"/>
        </w:rPr>
        <w:br w:type="page"/>
      </w:r>
      <w:r>
        <w:rPr>
          <w:rFonts w:hint="eastAsia" w:ascii="宋体" w:hAnsi="宋体"/>
          <w:b/>
          <w:bCs/>
          <w:color w:val="auto"/>
          <w:spacing w:val="15"/>
          <w:kern w:val="0"/>
          <w:sz w:val="24"/>
          <w:lang w:val="en-US" w:eastAsia="zh-CN"/>
        </w:rPr>
        <w:t xml:space="preserve"> </w:t>
      </w:r>
      <w:r>
        <w:rPr>
          <w:rFonts w:hint="eastAsia" w:ascii="宋体" w:hAnsi="宋体"/>
          <w:b/>
          <w:bCs/>
          <w:color w:val="auto"/>
          <w:kern w:val="0"/>
          <w:sz w:val="32"/>
          <w:szCs w:val="32"/>
        </w:rPr>
        <w:t>第三章 服务要求</w:t>
      </w:r>
    </w:p>
    <w:p w14:paraId="047424F1">
      <w:pPr>
        <w:adjustRightInd w:val="0"/>
        <w:snapToGrid w:val="0"/>
        <w:spacing w:line="480" w:lineRule="atLeast"/>
        <w:ind w:firstLine="482" w:firstLineChars="200"/>
        <w:rPr>
          <w:color w:val="auto"/>
          <w:sz w:val="24"/>
        </w:rPr>
      </w:pPr>
      <w:r>
        <w:rPr>
          <w:rFonts w:hint="eastAsia"/>
          <w:b/>
          <w:color w:val="auto"/>
          <w:sz w:val="24"/>
        </w:rPr>
        <w:t>注：</w:t>
      </w:r>
      <w:r>
        <w:rPr>
          <w:rFonts w:hint="eastAsia"/>
          <w:color w:val="auto"/>
          <w:sz w:val="24"/>
        </w:rPr>
        <w:t>本章中</w:t>
      </w:r>
      <w:r>
        <w:rPr>
          <w:color w:val="auto"/>
          <w:sz w:val="24"/>
        </w:rPr>
        <w:t>带“</w:t>
      </w:r>
      <w:r>
        <w:rPr>
          <w:rFonts w:hint="eastAsia"/>
          <w:color w:val="auto"/>
          <w:sz w:val="24"/>
        </w:rPr>
        <w:t>★</w:t>
      </w:r>
      <w:r>
        <w:rPr>
          <w:color w:val="auto"/>
          <w:sz w:val="24"/>
        </w:rPr>
        <w:t>”的</w:t>
      </w:r>
      <w:r>
        <w:rPr>
          <w:rFonts w:hint="eastAsia"/>
          <w:color w:val="auto"/>
          <w:sz w:val="24"/>
        </w:rPr>
        <w:t>技术</w:t>
      </w:r>
      <w:r>
        <w:rPr>
          <w:color w:val="auto"/>
          <w:sz w:val="24"/>
        </w:rPr>
        <w:t>条款要求</w:t>
      </w:r>
      <w:r>
        <w:rPr>
          <w:rFonts w:hint="eastAsia"/>
          <w:color w:val="auto"/>
          <w:sz w:val="24"/>
        </w:rPr>
        <w:t>为符合性审查内容。</w:t>
      </w:r>
      <w:r>
        <w:rPr>
          <w:rFonts w:hint="eastAsia"/>
          <w:color w:val="auto"/>
          <w:sz w:val="24"/>
          <w:lang w:val="en-US" w:eastAsia="zh-CN"/>
        </w:rPr>
        <w:t>遴选</w:t>
      </w:r>
      <w:r>
        <w:rPr>
          <w:rFonts w:hint="eastAsia"/>
          <w:color w:val="auto"/>
          <w:sz w:val="24"/>
        </w:rPr>
        <w:t>响应达不到</w:t>
      </w:r>
      <w:r>
        <w:rPr>
          <w:color w:val="auto"/>
          <w:sz w:val="24"/>
        </w:rPr>
        <w:t>带“</w:t>
      </w:r>
      <w:r>
        <w:rPr>
          <w:rFonts w:hint="eastAsia"/>
          <w:color w:val="auto"/>
          <w:sz w:val="24"/>
        </w:rPr>
        <w:t>★</w:t>
      </w:r>
      <w:r>
        <w:rPr>
          <w:color w:val="auto"/>
          <w:sz w:val="24"/>
        </w:rPr>
        <w:t>”</w:t>
      </w:r>
      <w:r>
        <w:rPr>
          <w:rFonts w:hint="eastAsia"/>
          <w:color w:val="auto"/>
          <w:sz w:val="24"/>
        </w:rPr>
        <w:t>技术</w:t>
      </w:r>
      <w:r>
        <w:rPr>
          <w:color w:val="auto"/>
          <w:sz w:val="24"/>
        </w:rPr>
        <w:t>条款要求</w:t>
      </w:r>
      <w:r>
        <w:rPr>
          <w:rFonts w:hint="eastAsia"/>
          <w:color w:val="auto"/>
          <w:sz w:val="24"/>
        </w:rPr>
        <w:t>或对</w:t>
      </w:r>
      <w:r>
        <w:rPr>
          <w:color w:val="auto"/>
          <w:sz w:val="24"/>
        </w:rPr>
        <w:t>带“</w:t>
      </w:r>
      <w:r>
        <w:rPr>
          <w:rFonts w:hint="eastAsia"/>
          <w:color w:val="auto"/>
          <w:sz w:val="24"/>
        </w:rPr>
        <w:t>★</w:t>
      </w:r>
      <w:r>
        <w:rPr>
          <w:color w:val="auto"/>
          <w:sz w:val="24"/>
        </w:rPr>
        <w:t>”</w:t>
      </w:r>
      <w:r>
        <w:rPr>
          <w:rFonts w:hint="eastAsia"/>
          <w:color w:val="auto"/>
          <w:sz w:val="24"/>
        </w:rPr>
        <w:t>技术</w:t>
      </w:r>
      <w:r>
        <w:rPr>
          <w:color w:val="auto"/>
          <w:sz w:val="24"/>
        </w:rPr>
        <w:t>条款要求</w:t>
      </w:r>
      <w:r>
        <w:rPr>
          <w:rFonts w:hint="eastAsia"/>
          <w:color w:val="auto"/>
          <w:sz w:val="24"/>
        </w:rPr>
        <w:t>无书面响应的，视为非实质性响应，不能进入下轮</w:t>
      </w:r>
      <w:r>
        <w:rPr>
          <w:rFonts w:hint="eastAsia"/>
          <w:color w:val="auto"/>
          <w:sz w:val="24"/>
          <w:lang w:val="en-US" w:eastAsia="zh-CN"/>
        </w:rPr>
        <w:t>遴选</w:t>
      </w:r>
      <w:r>
        <w:rPr>
          <w:rFonts w:hint="eastAsia"/>
          <w:color w:val="auto"/>
          <w:sz w:val="24"/>
        </w:rPr>
        <w:t>程序。</w:t>
      </w:r>
    </w:p>
    <w:p w14:paraId="4ABD6310">
      <w:pPr>
        <w:pStyle w:val="2"/>
        <w:adjustRightInd w:val="0"/>
        <w:snapToGrid w:val="0"/>
        <w:spacing w:before="120" w:after="120" w:line="480" w:lineRule="atLeast"/>
        <w:ind w:firstLine="482" w:firstLineChars="200"/>
        <w:rPr>
          <w:color w:val="auto"/>
          <w:szCs w:val="24"/>
        </w:rPr>
      </w:pPr>
      <w:bookmarkStart w:id="0" w:name="_Toc48123681"/>
      <w:r>
        <w:rPr>
          <w:rFonts w:hint="eastAsia"/>
          <w:color w:val="auto"/>
          <w:szCs w:val="24"/>
        </w:rPr>
        <w:t>一、采购内容及技术参数要求</w:t>
      </w:r>
      <w:bookmarkEnd w:id="0"/>
    </w:p>
    <w:p w14:paraId="3D9041A0">
      <w:pPr>
        <w:adjustRightInd w:val="0"/>
        <w:snapToGrid w:val="0"/>
        <w:spacing w:line="480" w:lineRule="atLeast"/>
        <w:ind w:firstLine="480" w:firstLineChars="200"/>
        <w:rPr>
          <w:color w:val="auto"/>
          <w:sz w:val="24"/>
        </w:rPr>
      </w:pPr>
      <w:r>
        <w:rPr>
          <w:rFonts w:hint="eastAsia"/>
          <w:color w:val="auto"/>
          <w:sz w:val="24"/>
        </w:rPr>
        <w:t>（一）代理业务范围：</w:t>
      </w:r>
      <w:r>
        <w:rPr>
          <w:rFonts w:hint="eastAsia"/>
          <w:color w:val="auto"/>
          <w:sz w:val="24"/>
          <w:lang w:eastAsia="zh-CN"/>
        </w:rPr>
        <w:t>娄底市中心医院</w:t>
      </w:r>
      <w:r>
        <w:rPr>
          <w:rFonts w:hint="eastAsia"/>
          <w:color w:val="auto"/>
          <w:sz w:val="24"/>
        </w:rPr>
        <w:t>各项货物、服务、工程业务（</w:t>
      </w:r>
      <w:r>
        <w:rPr>
          <w:color w:val="auto"/>
          <w:sz w:val="24"/>
        </w:rPr>
        <w:t>含招标</w:t>
      </w:r>
      <w:r>
        <w:rPr>
          <w:rFonts w:hint="eastAsia"/>
          <w:color w:val="auto"/>
          <w:sz w:val="24"/>
        </w:rPr>
        <w:t>及其他</w:t>
      </w:r>
      <w:r>
        <w:rPr>
          <w:rFonts w:hint="eastAsia"/>
          <w:color w:val="auto"/>
          <w:sz w:val="24"/>
          <w:lang w:eastAsia="zh-CN"/>
        </w:rPr>
        <w:t>采购</w:t>
      </w:r>
      <w:r>
        <w:rPr>
          <w:rFonts w:hint="eastAsia"/>
          <w:color w:val="auto"/>
          <w:sz w:val="24"/>
        </w:rPr>
        <w:t>方式）。</w:t>
      </w:r>
      <w:r>
        <w:rPr>
          <w:color w:val="auto"/>
          <w:sz w:val="24"/>
        </w:rPr>
        <w:t xml:space="preserve"> </w:t>
      </w:r>
    </w:p>
    <w:p w14:paraId="6248577E">
      <w:pPr>
        <w:adjustRightInd w:val="0"/>
        <w:snapToGrid w:val="0"/>
        <w:spacing w:line="480" w:lineRule="atLeast"/>
        <w:ind w:firstLine="480" w:firstLineChars="200"/>
        <w:rPr>
          <w:color w:val="auto"/>
          <w:sz w:val="24"/>
        </w:rPr>
      </w:pPr>
      <w:r>
        <w:rPr>
          <w:rFonts w:hint="eastAsia"/>
          <w:color w:val="auto"/>
          <w:sz w:val="24"/>
        </w:rPr>
        <w:t>（二）业务期限：合同签订之日起至</w:t>
      </w:r>
      <w:r>
        <w:rPr>
          <w:rFonts w:hint="eastAsia"/>
          <w:color w:val="auto"/>
          <w:sz w:val="24"/>
          <w:lang w:eastAsia="zh-CN"/>
        </w:rPr>
        <w:t>娄底市中心医院</w:t>
      </w:r>
      <w:r>
        <w:rPr>
          <w:rFonts w:hint="eastAsia"/>
          <w:color w:val="auto"/>
          <w:sz w:val="24"/>
        </w:rPr>
        <w:t>各项招</w:t>
      </w:r>
      <w:r>
        <w:rPr>
          <w:rFonts w:hint="eastAsia"/>
          <w:color w:val="auto"/>
          <w:sz w:val="24"/>
          <w:lang w:eastAsia="zh-CN"/>
        </w:rPr>
        <w:t>采</w:t>
      </w:r>
      <w:r>
        <w:rPr>
          <w:rFonts w:hint="eastAsia"/>
          <w:color w:val="auto"/>
          <w:sz w:val="24"/>
        </w:rPr>
        <w:t>业务（</w:t>
      </w:r>
      <w:r>
        <w:rPr>
          <w:color w:val="auto"/>
          <w:sz w:val="24"/>
        </w:rPr>
        <w:t>含招标</w:t>
      </w:r>
      <w:r>
        <w:rPr>
          <w:rFonts w:hint="eastAsia"/>
          <w:color w:val="auto"/>
          <w:sz w:val="24"/>
        </w:rPr>
        <w:t>及其他</w:t>
      </w:r>
      <w:r>
        <w:rPr>
          <w:rFonts w:hint="eastAsia"/>
          <w:color w:val="auto"/>
          <w:sz w:val="24"/>
          <w:lang w:eastAsia="zh-CN"/>
        </w:rPr>
        <w:t>采购</w:t>
      </w:r>
      <w:r>
        <w:rPr>
          <w:rFonts w:hint="eastAsia"/>
          <w:color w:val="auto"/>
          <w:sz w:val="24"/>
        </w:rPr>
        <w:t>方式）完成</w:t>
      </w:r>
      <w:r>
        <w:rPr>
          <w:rFonts w:hint="eastAsia"/>
          <w:color w:val="auto"/>
          <w:sz w:val="24"/>
          <w:lang w:val="en-US" w:eastAsia="zh-CN"/>
        </w:rPr>
        <w:t>时止</w:t>
      </w:r>
      <w:r>
        <w:rPr>
          <w:color w:val="auto"/>
          <w:sz w:val="24"/>
        </w:rPr>
        <w:t>。</w:t>
      </w:r>
    </w:p>
    <w:p w14:paraId="4D7546EE">
      <w:pPr>
        <w:adjustRightInd w:val="0"/>
        <w:snapToGrid w:val="0"/>
        <w:spacing w:line="480" w:lineRule="atLeast"/>
        <w:ind w:firstLine="480" w:firstLineChars="200"/>
        <w:rPr>
          <w:color w:val="auto"/>
          <w:sz w:val="24"/>
        </w:rPr>
      </w:pPr>
      <w:r>
        <w:rPr>
          <w:rFonts w:hint="eastAsia"/>
          <w:color w:val="auto"/>
          <w:sz w:val="24"/>
        </w:rPr>
        <w:t>（三）项目的获取方式：由</w:t>
      </w:r>
      <w:r>
        <w:rPr>
          <w:rFonts w:hint="eastAsia"/>
          <w:color w:val="auto"/>
          <w:sz w:val="24"/>
          <w:lang w:eastAsia="zh-CN"/>
        </w:rPr>
        <w:t>娄底市中心医院</w:t>
      </w:r>
      <w:r>
        <w:rPr>
          <w:rFonts w:hint="eastAsia"/>
          <w:color w:val="auto"/>
          <w:sz w:val="24"/>
        </w:rPr>
        <w:t>按照相关管理办法下达委托业务。</w:t>
      </w:r>
    </w:p>
    <w:p w14:paraId="1374C946">
      <w:pPr>
        <w:adjustRightInd w:val="0"/>
        <w:snapToGrid w:val="0"/>
        <w:spacing w:line="480" w:lineRule="atLeast"/>
        <w:ind w:firstLine="480" w:firstLineChars="200"/>
        <w:rPr>
          <w:color w:val="auto"/>
          <w:sz w:val="24"/>
        </w:rPr>
      </w:pPr>
      <w:r>
        <w:rPr>
          <w:rFonts w:hint="eastAsia"/>
          <w:color w:val="auto"/>
          <w:sz w:val="24"/>
        </w:rPr>
        <w:t>★（四）服务费用。</w:t>
      </w:r>
    </w:p>
    <w:p w14:paraId="0A46CCDD">
      <w:pPr>
        <w:numPr>
          <w:ilvl w:val="0"/>
          <w:numId w:val="4"/>
        </w:numPr>
        <w:adjustRightInd w:val="0"/>
        <w:snapToGrid w:val="0"/>
        <w:spacing w:line="480" w:lineRule="atLeast"/>
        <w:ind w:firstLine="480" w:firstLineChars="200"/>
        <w:rPr>
          <w:rFonts w:hint="eastAsia"/>
          <w:color w:val="auto"/>
          <w:sz w:val="24"/>
          <w:lang w:val="en-US" w:eastAsia="zh-CN"/>
        </w:rPr>
      </w:pPr>
      <w:r>
        <w:rPr>
          <w:rFonts w:hint="eastAsia"/>
          <w:color w:val="auto"/>
          <w:sz w:val="24"/>
        </w:rPr>
        <w:t>代理费用</w:t>
      </w:r>
      <w:r>
        <w:rPr>
          <w:rFonts w:hint="eastAsia"/>
          <w:color w:val="auto"/>
          <w:sz w:val="24"/>
          <w:lang w:eastAsia="zh-CN"/>
        </w:rPr>
        <w:t>限价</w:t>
      </w:r>
      <w:r>
        <w:rPr>
          <w:rFonts w:hint="eastAsia"/>
          <w:color w:val="auto"/>
          <w:sz w:val="24"/>
        </w:rPr>
        <w:t>。</w:t>
      </w:r>
      <w:r>
        <w:rPr>
          <w:rFonts w:hint="eastAsia"/>
          <w:color w:val="auto"/>
          <w:sz w:val="24"/>
          <w:lang w:eastAsia="zh-CN"/>
        </w:rPr>
        <w:t>以</w:t>
      </w:r>
      <w:r>
        <w:rPr>
          <w:rFonts w:hint="eastAsia"/>
          <w:color w:val="auto"/>
          <w:sz w:val="24"/>
          <w:lang w:val="en-US" w:eastAsia="zh-CN"/>
        </w:rPr>
        <w:t>中标</w:t>
      </w:r>
      <w:r>
        <w:rPr>
          <w:rFonts w:hint="eastAsia"/>
          <w:color w:val="auto"/>
          <w:sz w:val="24"/>
          <w:lang w:eastAsia="zh-CN"/>
        </w:rPr>
        <w:t>价为基准，</w:t>
      </w:r>
      <w:r>
        <w:rPr>
          <w:rFonts w:hint="eastAsia"/>
          <w:color w:val="auto"/>
          <w:sz w:val="24"/>
        </w:rPr>
        <w:t>参照</w:t>
      </w:r>
      <w:r>
        <w:rPr>
          <w:rFonts w:hint="eastAsia"/>
          <w:color w:val="auto"/>
          <w:sz w:val="24"/>
          <w:lang w:eastAsia="zh-CN"/>
        </w:rPr>
        <w:t>原</w:t>
      </w:r>
      <w:r>
        <w:rPr>
          <w:rFonts w:hint="eastAsia"/>
          <w:color w:val="auto"/>
          <w:sz w:val="24"/>
        </w:rPr>
        <w:t>国家计委计价格（</w:t>
      </w:r>
      <w:r>
        <w:rPr>
          <w:color w:val="auto"/>
          <w:sz w:val="24"/>
        </w:rPr>
        <w:t>2002）1980号文件</w:t>
      </w:r>
      <w:r>
        <w:rPr>
          <w:rFonts w:hint="eastAsia"/>
          <w:color w:val="auto"/>
          <w:sz w:val="24"/>
          <w:lang w:eastAsia="zh-CN"/>
        </w:rPr>
        <w:t>标准计算后整体按下表</w:t>
      </w:r>
      <w:r>
        <w:rPr>
          <w:rFonts w:hint="eastAsia"/>
          <w:color w:val="auto"/>
          <w:sz w:val="24"/>
        </w:rPr>
        <w:t>下浮</w:t>
      </w:r>
      <w:r>
        <w:rPr>
          <w:rFonts w:hint="eastAsia"/>
          <w:color w:val="auto"/>
          <w:sz w:val="24"/>
          <w:lang w:eastAsia="zh-CN"/>
        </w:rPr>
        <w:t>：</w:t>
      </w:r>
    </w:p>
    <w:tbl>
      <w:tblPr>
        <w:tblStyle w:val="21"/>
        <w:tblW w:w="5161"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407"/>
        <w:gridCol w:w="1754"/>
      </w:tblGrid>
      <w:tr w14:paraId="3B4A6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tblCellSpacing w:w="0" w:type="dxa"/>
          <w:jc w:val="center"/>
        </w:trPr>
        <w:tc>
          <w:tcPr>
            <w:tcW w:w="3407" w:type="dxa"/>
            <w:tcBorders>
              <w:tl2br w:val="nil"/>
              <w:tr2bl w:val="nil"/>
            </w:tcBorders>
            <w:vAlign w:val="center"/>
          </w:tcPr>
          <w:p w14:paraId="7B16E744">
            <w:pPr>
              <w:jc w:val="center"/>
              <w:rPr>
                <w:b/>
                <w:bCs/>
                <w:color w:val="auto"/>
                <w:sz w:val="24"/>
                <w:szCs w:val="24"/>
              </w:rPr>
            </w:pPr>
            <w:r>
              <w:rPr>
                <w:rFonts w:hint="eastAsia"/>
                <w:b/>
                <w:bCs/>
                <w:color w:val="auto"/>
                <w:sz w:val="24"/>
                <w:szCs w:val="24"/>
              </w:rPr>
              <w:t>中标金额（万元）</w:t>
            </w:r>
          </w:p>
        </w:tc>
        <w:tc>
          <w:tcPr>
            <w:tcW w:w="1754" w:type="dxa"/>
            <w:tcBorders>
              <w:tl2br w:val="nil"/>
              <w:tr2bl w:val="nil"/>
            </w:tcBorders>
            <w:vAlign w:val="center"/>
          </w:tcPr>
          <w:p w14:paraId="5A4EC90E">
            <w:pPr>
              <w:jc w:val="center"/>
              <w:rPr>
                <w:rFonts w:hint="eastAsia" w:eastAsia="宋体"/>
                <w:b/>
                <w:bCs/>
                <w:color w:val="auto"/>
                <w:sz w:val="24"/>
                <w:szCs w:val="24"/>
                <w:lang w:eastAsia="zh-CN"/>
              </w:rPr>
            </w:pPr>
            <w:r>
              <w:rPr>
                <w:rFonts w:hint="eastAsia"/>
                <w:b/>
                <w:bCs/>
                <w:color w:val="auto"/>
                <w:sz w:val="24"/>
                <w:szCs w:val="24"/>
                <w:lang w:val="en-US" w:eastAsia="zh-CN"/>
              </w:rPr>
              <w:t>整体下浮</w:t>
            </w:r>
          </w:p>
        </w:tc>
      </w:tr>
      <w:tr w14:paraId="7D293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3407" w:type="dxa"/>
            <w:tcBorders>
              <w:tl2br w:val="nil"/>
              <w:tr2bl w:val="nil"/>
            </w:tcBorders>
            <w:vAlign w:val="center"/>
          </w:tcPr>
          <w:p w14:paraId="373EEF86">
            <w:pPr>
              <w:jc w:val="center"/>
              <w:rPr>
                <w:rFonts w:hint="eastAsia" w:eastAsia="宋体"/>
                <w:color w:val="auto"/>
                <w:sz w:val="24"/>
                <w:szCs w:val="24"/>
                <w:lang w:val="en-US" w:eastAsia="zh-CN"/>
              </w:rPr>
            </w:pPr>
            <w:r>
              <w:rPr>
                <w:rFonts w:hint="eastAsia"/>
                <w:color w:val="auto"/>
                <w:sz w:val="24"/>
                <w:szCs w:val="24"/>
                <w:lang w:val="en-US" w:eastAsia="zh-CN"/>
              </w:rPr>
              <w:t>100以下</w:t>
            </w:r>
          </w:p>
        </w:tc>
        <w:tc>
          <w:tcPr>
            <w:tcW w:w="1754" w:type="dxa"/>
            <w:tcBorders>
              <w:tl2br w:val="nil"/>
              <w:tr2bl w:val="nil"/>
            </w:tcBorders>
            <w:vAlign w:val="center"/>
          </w:tcPr>
          <w:p w14:paraId="21C53E25">
            <w:pPr>
              <w:jc w:val="center"/>
              <w:rPr>
                <w:rFonts w:hint="default"/>
                <w:color w:val="auto"/>
                <w:sz w:val="24"/>
                <w:szCs w:val="24"/>
                <w:lang w:val="en-US" w:eastAsia="zh-CN"/>
              </w:rPr>
            </w:pPr>
            <w:r>
              <w:rPr>
                <w:rFonts w:hint="eastAsia"/>
                <w:color w:val="auto"/>
                <w:sz w:val="24"/>
                <w:szCs w:val="24"/>
                <w:lang w:val="en-US" w:eastAsia="zh-CN"/>
              </w:rPr>
              <w:t>10%</w:t>
            </w:r>
          </w:p>
        </w:tc>
      </w:tr>
      <w:tr w14:paraId="46CED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3407" w:type="dxa"/>
            <w:tcBorders>
              <w:tl2br w:val="nil"/>
              <w:tr2bl w:val="nil"/>
            </w:tcBorders>
            <w:vAlign w:val="center"/>
          </w:tcPr>
          <w:p w14:paraId="73A43B4A">
            <w:pPr>
              <w:jc w:val="center"/>
              <w:rPr>
                <w:color w:val="auto"/>
                <w:sz w:val="24"/>
                <w:szCs w:val="24"/>
              </w:rPr>
            </w:pPr>
            <w:r>
              <w:rPr>
                <w:rFonts w:hint="eastAsia"/>
                <w:color w:val="auto"/>
                <w:sz w:val="24"/>
                <w:szCs w:val="24"/>
                <w:lang w:val="en-US" w:eastAsia="zh-CN"/>
              </w:rPr>
              <w:t>100（含）—5</w:t>
            </w:r>
            <w:r>
              <w:rPr>
                <w:rFonts w:hint="eastAsia"/>
                <w:color w:val="auto"/>
                <w:sz w:val="24"/>
                <w:szCs w:val="24"/>
              </w:rPr>
              <w:t>00以下</w:t>
            </w:r>
          </w:p>
        </w:tc>
        <w:tc>
          <w:tcPr>
            <w:tcW w:w="1754" w:type="dxa"/>
            <w:tcBorders>
              <w:tl2br w:val="nil"/>
              <w:tr2bl w:val="nil"/>
            </w:tcBorders>
            <w:vAlign w:val="center"/>
          </w:tcPr>
          <w:p w14:paraId="11F3CFB9">
            <w:pPr>
              <w:jc w:val="center"/>
              <w:rPr>
                <w:color w:val="auto"/>
                <w:sz w:val="24"/>
                <w:szCs w:val="24"/>
              </w:rPr>
            </w:pPr>
            <w:r>
              <w:rPr>
                <w:rFonts w:hint="eastAsia"/>
                <w:color w:val="auto"/>
                <w:sz w:val="24"/>
                <w:szCs w:val="24"/>
                <w:lang w:val="en-US" w:eastAsia="zh-CN"/>
              </w:rPr>
              <w:t>15</w:t>
            </w:r>
            <w:r>
              <w:rPr>
                <w:rFonts w:hint="eastAsia"/>
                <w:color w:val="auto"/>
                <w:sz w:val="24"/>
                <w:szCs w:val="24"/>
              </w:rPr>
              <w:t>％</w:t>
            </w:r>
          </w:p>
        </w:tc>
      </w:tr>
      <w:tr w14:paraId="59946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3407" w:type="dxa"/>
            <w:tcBorders>
              <w:tl2br w:val="nil"/>
              <w:tr2bl w:val="nil"/>
            </w:tcBorders>
            <w:vAlign w:val="center"/>
          </w:tcPr>
          <w:p w14:paraId="3156B142">
            <w:pPr>
              <w:ind w:firstLine="720" w:firstLineChars="300"/>
              <w:jc w:val="both"/>
              <w:rPr>
                <w:rFonts w:hint="eastAsia" w:eastAsia="宋体"/>
                <w:color w:val="auto"/>
                <w:sz w:val="24"/>
                <w:szCs w:val="24"/>
                <w:lang w:val="en-US" w:eastAsia="zh-CN"/>
              </w:rPr>
            </w:pPr>
            <w:r>
              <w:rPr>
                <w:rFonts w:hint="eastAsia"/>
                <w:color w:val="auto"/>
                <w:sz w:val="24"/>
                <w:szCs w:val="24"/>
                <w:lang w:val="en-US" w:eastAsia="zh-CN"/>
              </w:rPr>
              <w:t>5</w:t>
            </w:r>
            <w:r>
              <w:rPr>
                <w:rFonts w:hint="eastAsia"/>
                <w:color w:val="auto"/>
                <w:sz w:val="24"/>
                <w:szCs w:val="24"/>
              </w:rPr>
              <w:t>00</w:t>
            </w:r>
            <w:r>
              <w:rPr>
                <w:rFonts w:hint="eastAsia"/>
                <w:color w:val="auto"/>
                <w:sz w:val="24"/>
                <w:szCs w:val="24"/>
                <w:lang w:val="en-US" w:eastAsia="zh-CN"/>
              </w:rPr>
              <w:t>（含）</w:t>
            </w:r>
            <w:r>
              <w:rPr>
                <w:rFonts w:hint="eastAsia"/>
                <w:color w:val="auto"/>
                <w:sz w:val="24"/>
                <w:szCs w:val="24"/>
              </w:rPr>
              <w:t>—</w:t>
            </w:r>
            <w:r>
              <w:rPr>
                <w:rFonts w:hint="eastAsia"/>
                <w:color w:val="auto"/>
                <w:sz w:val="24"/>
                <w:szCs w:val="24"/>
                <w:lang w:val="en-US" w:eastAsia="zh-CN"/>
              </w:rPr>
              <w:t>10</w:t>
            </w:r>
            <w:r>
              <w:rPr>
                <w:rFonts w:hint="eastAsia"/>
                <w:color w:val="auto"/>
                <w:sz w:val="24"/>
                <w:szCs w:val="24"/>
              </w:rPr>
              <w:t>00</w:t>
            </w:r>
          </w:p>
        </w:tc>
        <w:tc>
          <w:tcPr>
            <w:tcW w:w="1754" w:type="dxa"/>
            <w:tcBorders>
              <w:tl2br w:val="nil"/>
              <w:tr2bl w:val="nil"/>
            </w:tcBorders>
            <w:vAlign w:val="center"/>
          </w:tcPr>
          <w:p w14:paraId="1124AEB5">
            <w:pPr>
              <w:jc w:val="center"/>
              <w:rPr>
                <w:color w:val="auto"/>
                <w:sz w:val="24"/>
                <w:szCs w:val="24"/>
              </w:rPr>
            </w:pPr>
            <w:r>
              <w:rPr>
                <w:rFonts w:hint="eastAsia"/>
                <w:color w:val="auto"/>
                <w:sz w:val="24"/>
                <w:szCs w:val="24"/>
                <w:lang w:val="en-US" w:eastAsia="zh-CN"/>
              </w:rPr>
              <w:t>20</w:t>
            </w:r>
            <w:r>
              <w:rPr>
                <w:rFonts w:hint="eastAsia"/>
                <w:color w:val="auto"/>
                <w:sz w:val="24"/>
                <w:szCs w:val="24"/>
              </w:rPr>
              <w:t>％</w:t>
            </w:r>
          </w:p>
        </w:tc>
      </w:tr>
      <w:tr w14:paraId="4B2E6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3407" w:type="dxa"/>
            <w:tcBorders>
              <w:tl2br w:val="nil"/>
              <w:tr2bl w:val="nil"/>
            </w:tcBorders>
            <w:vAlign w:val="center"/>
          </w:tcPr>
          <w:p w14:paraId="25899B5A">
            <w:pPr>
              <w:jc w:val="center"/>
              <w:rPr>
                <w:rFonts w:hint="eastAsia" w:eastAsia="宋体"/>
                <w:color w:val="auto"/>
                <w:sz w:val="24"/>
                <w:szCs w:val="24"/>
                <w:lang w:val="en-US" w:eastAsia="zh-CN"/>
              </w:rPr>
            </w:pPr>
            <w:r>
              <w:rPr>
                <w:rFonts w:hint="eastAsia"/>
                <w:color w:val="auto"/>
                <w:sz w:val="24"/>
                <w:szCs w:val="24"/>
                <w:lang w:val="en-US" w:eastAsia="zh-CN"/>
              </w:rPr>
              <w:t>10</w:t>
            </w:r>
            <w:r>
              <w:rPr>
                <w:rFonts w:hint="eastAsia"/>
                <w:color w:val="auto"/>
                <w:sz w:val="24"/>
                <w:szCs w:val="24"/>
              </w:rPr>
              <w:t>00</w:t>
            </w:r>
            <w:r>
              <w:rPr>
                <w:rFonts w:hint="eastAsia"/>
                <w:color w:val="auto"/>
                <w:sz w:val="24"/>
                <w:szCs w:val="24"/>
                <w:lang w:val="en-US" w:eastAsia="zh-CN"/>
              </w:rPr>
              <w:t>（含）</w:t>
            </w:r>
            <w:r>
              <w:rPr>
                <w:rFonts w:hint="eastAsia"/>
                <w:color w:val="auto"/>
                <w:sz w:val="24"/>
                <w:szCs w:val="24"/>
              </w:rPr>
              <w:t>—</w:t>
            </w:r>
            <w:r>
              <w:rPr>
                <w:rFonts w:hint="eastAsia"/>
                <w:color w:val="auto"/>
                <w:sz w:val="24"/>
                <w:szCs w:val="24"/>
                <w:lang w:val="en-US" w:eastAsia="zh-CN"/>
              </w:rPr>
              <w:t>2</w:t>
            </w:r>
            <w:r>
              <w:rPr>
                <w:rFonts w:hint="eastAsia"/>
                <w:color w:val="auto"/>
                <w:sz w:val="24"/>
                <w:szCs w:val="24"/>
              </w:rPr>
              <w:t>000</w:t>
            </w:r>
          </w:p>
        </w:tc>
        <w:tc>
          <w:tcPr>
            <w:tcW w:w="1754" w:type="dxa"/>
            <w:tcBorders>
              <w:tl2br w:val="nil"/>
              <w:tr2bl w:val="nil"/>
            </w:tcBorders>
            <w:vAlign w:val="center"/>
          </w:tcPr>
          <w:p w14:paraId="0CF00C1E">
            <w:pPr>
              <w:jc w:val="center"/>
              <w:rPr>
                <w:color w:val="auto"/>
                <w:sz w:val="24"/>
                <w:szCs w:val="24"/>
              </w:rPr>
            </w:pPr>
            <w:r>
              <w:rPr>
                <w:rFonts w:hint="eastAsia"/>
                <w:color w:val="auto"/>
                <w:sz w:val="24"/>
                <w:szCs w:val="24"/>
                <w:lang w:val="en-US" w:eastAsia="zh-CN"/>
              </w:rPr>
              <w:t>30</w:t>
            </w:r>
            <w:r>
              <w:rPr>
                <w:rFonts w:hint="eastAsia"/>
                <w:color w:val="auto"/>
                <w:sz w:val="24"/>
                <w:szCs w:val="24"/>
              </w:rPr>
              <w:t>％</w:t>
            </w:r>
          </w:p>
        </w:tc>
      </w:tr>
      <w:tr w14:paraId="077D3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3407" w:type="dxa"/>
            <w:tcBorders>
              <w:tl2br w:val="nil"/>
              <w:tr2bl w:val="nil"/>
            </w:tcBorders>
            <w:vAlign w:val="center"/>
          </w:tcPr>
          <w:p w14:paraId="5A55746E">
            <w:pPr>
              <w:jc w:val="center"/>
              <w:rPr>
                <w:rFonts w:hint="eastAsia" w:eastAsia="宋体"/>
                <w:color w:val="auto"/>
                <w:sz w:val="24"/>
                <w:szCs w:val="24"/>
                <w:lang w:val="en-US" w:eastAsia="zh-CN"/>
              </w:rPr>
            </w:pPr>
            <w:r>
              <w:rPr>
                <w:rFonts w:hint="eastAsia"/>
                <w:color w:val="auto"/>
                <w:sz w:val="24"/>
                <w:szCs w:val="24"/>
                <w:lang w:val="en-US" w:eastAsia="zh-CN"/>
              </w:rPr>
              <w:t>2</w:t>
            </w:r>
            <w:r>
              <w:rPr>
                <w:rFonts w:hint="eastAsia"/>
                <w:color w:val="auto"/>
                <w:sz w:val="24"/>
                <w:szCs w:val="24"/>
              </w:rPr>
              <w:t>000</w:t>
            </w:r>
            <w:r>
              <w:rPr>
                <w:rFonts w:hint="eastAsia"/>
                <w:color w:val="auto"/>
                <w:sz w:val="24"/>
                <w:szCs w:val="24"/>
                <w:lang w:eastAsia="zh-CN"/>
              </w:rPr>
              <w:t>（</w:t>
            </w:r>
            <w:r>
              <w:rPr>
                <w:rFonts w:hint="eastAsia"/>
                <w:color w:val="auto"/>
                <w:sz w:val="24"/>
                <w:szCs w:val="24"/>
                <w:lang w:val="en-US" w:eastAsia="zh-CN"/>
              </w:rPr>
              <w:t>含）</w:t>
            </w:r>
            <w:r>
              <w:rPr>
                <w:rFonts w:hint="eastAsia"/>
                <w:color w:val="auto"/>
                <w:sz w:val="24"/>
                <w:szCs w:val="24"/>
              </w:rPr>
              <w:t>—5000</w:t>
            </w:r>
          </w:p>
        </w:tc>
        <w:tc>
          <w:tcPr>
            <w:tcW w:w="1754" w:type="dxa"/>
            <w:tcBorders>
              <w:tl2br w:val="nil"/>
              <w:tr2bl w:val="nil"/>
            </w:tcBorders>
            <w:vAlign w:val="center"/>
          </w:tcPr>
          <w:p w14:paraId="0DAEE0DF">
            <w:pPr>
              <w:jc w:val="center"/>
              <w:rPr>
                <w:color w:val="auto"/>
                <w:sz w:val="24"/>
                <w:szCs w:val="24"/>
              </w:rPr>
            </w:pPr>
            <w:r>
              <w:rPr>
                <w:rFonts w:hint="eastAsia"/>
                <w:color w:val="auto"/>
                <w:sz w:val="24"/>
                <w:szCs w:val="24"/>
                <w:lang w:val="en-US" w:eastAsia="zh-CN"/>
              </w:rPr>
              <w:t>40</w:t>
            </w:r>
            <w:r>
              <w:rPr>
                <w:rFonts w:hint="eastAsia"/>
                <w:color w:val="auto"/>
                <w:sz w:val="24"/>
                <w:szCs w:val="24"/>
              </w:rPr>
              <w:t>％</w:t>
            </w:r>
          </w:p>
        </w:tc>
      </w:tr>
      <w:tr w14:paraId="7DC39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3407" w:type="dxa"/>
            <w:tcBorders>
              <w:tl2br w:val="nil"/>
              <w:tr2bl w:val="nil"/>
            </w:tcBorders>
            <w:vAlign w:val="center"/>
          </w:tcPr>
          <w:p w14:paraId="302E6D7E">
            <w:pPr>
              <w:jc w:val="center"/>
              <w:rPr>
                <w:color w:val="auto"/>
                <w:sz w:val="24"/>
                <w:szCs w:val="24"/>
              </w:rPr>
            </w:pPr>
            <w:r>
              <w:rPr>
                <w:rFonts w:hint="eastAsia"/>
                <w:color w:val="auto"/>
                <w:sz w:val="24"/>
                <w:szCs w:val="24"/>
              </w:rPr>
              <w:t>5000</w:t>
            </w:r>
            <w:r>
              <w:rPr>
                <w:rFonts w:hint="eastAsia"/>
                <w:color w:val="auto"/>
                <w:sz w:val="24"/>
                <w:szCs w:val="24"/>
                <w:lang w:val="en-US" w:eastAsia="zh-CN"/>
              </w:rPr>
              <w:t>以上（含）</w:t>
            </w:r>
          </w:p>
        </w:tc>
        <w:tc>
          <w:tcPr>
            <w:tcW w:w="1754" w:type="dxa"/>
            <w:tcBorders>
              <w:tl2br w:val="nil"/>
              <w:tr2bl w:val="nil"/>
            </w:tcBorders>
            <w:vAlign w:val="center"/>
          </w:tcPr>
          <w:p w14:paraId="663A1F7A">
            <w:pPr>
              <w:jc w:val="center"/>
              <w:rPr>
                <w:color w:val="auto"/>
                <w:sz w:val="24"/>
                <w:szCs w:val="24"/>
              </w:rPr>
            </w:pPr>
            <w:r>
              <w:rPr>
                <w:rFonts w:hint="eastAsia"/>
                <w:color w:val="auto"/>
                <w:sz w:val="24"/>
                <w:szCs w:val="24"/>
                <w:lang w:val="en-US" w:eastAsia="zh-CN"/>
              </w:rPr>
              <w:t>50</w:t>
            </w:r>
            <w:r>
              <w:rPr>
                <w:rFonts w:hint="eastAsia"/>
                <w:color w:val="auto"/>
                <w:sz w:val="24"/>
                <w:szCs w:val="24"/>
              </w:rPr>
              <w:t>％</w:t>
            </w:r>
          </w:p>
        </w:tc>
      </w:tr>
    </w:tbl>
    <w:p w14:paraId="76286A95">
      <w:pPr>
        <w:numPr>
          <w:ilvl w:val="0"/>
          <w:numId w:val="0"/>
        </w:numPr>
        <w:adjustRightInd w:val="0"/>
        <w:snapToGrid w:val="0"/>
        <w:spacing w:line="480" w:lineRule="atLeast"/>
        <w:rPr>
          <w:rFonts w:hint="eastAsia"/>
          <w:color w:val="auto"/>
          <w:sz w:val="24"/>
          <w:lang w:val="en-US" w:eastAsia="zh-CN"/>
        </w:rPr>
      </w:pPr>
    </w:p>
    <w:p w14:paraId="1C1CEA6D">
      <w:pPr>
        <w:numPr>
          <w:ilvl w:val="0"/>
          <w:numId w:val="0"/>
        </w:numPr>
        <w:adjustRightInd w:val="0"/>
        <w:snapToGrid w:val="0"/>
        <w:spacing w:line="480" w:lineRule="atLeast"/>
        <w:ind w:firstLine="480" w:firstLineChars="200"/>
        <w:rPr>
          <w:color w:val="auto"/>
          <w:sz w:val="24"/>
        </w:rPr>
      </w:pPr>
      <w:r>
        <w:rPr>
          <w:rFonts w:hint="eastAsia"/>
          <w:color w:val="auto"/>
          <w:sz w:val="24"/>
          <w:lang w:val="en-US" w:eastAsia="zh-CN"/>
        </w:rPr>
        <w:t>1.1</w:t>
      </w:r>
      <w:r>
        <w:rPr>
          <w:rFonts w:hint="eastAsia"/>
          <w:color w:val="auto"/>
          <w:sz w:val="24"/>
          <w:lang w:eastAsia="zh-CN"/>
        </w:rPr>
        <w:t>原</w:t>
      </w:r>
      <w:r>
        <w:rPr>
          <w:rFonts w:hint="eastAsia"/>
          <w:color w:val="auto"/>
          <w:sz w:val="24"/>
        </w:rPr>
        <w:t>国家计委计价格（</w:t>
      </w:r>
      <w:r>
        <w:rPr>
          <w:color w:val="auto"/>
          <w:sz w:val="24"/>
        </w:rPr>
        <w:t>2002）1980号文件收取</w:t>
      </w:r>
      <w:r>
        <w:rPr>
          <w:rFonts w:hint="eastAsia"/>
          <w:color w:val="auto"/>
          <w:sz w:val="24"/>
          <w:lang w:eastAsia="zh-CN"/>
        </w:rPr>
        <w:t>标准</w:t>
      </w:r>
      <w:r>
        <w:rPr>
          <w:rFonts w:hint="eastAsia"/>
          <w:color w:val="auto"/>
          <w:sz w:val="24"/>
        </w:rPr>
        <w:t>详见下表：</w:t>
      </w:r>
    </w:p>
    <w:tbl>
      <w:tblPr>
        <w:tblStyle w:val="21"/>
        <w:tblW w:w="9085"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394"/>
        <w:gridCol w:w="2149"/>
        <w:gridCol w:w="2270"/>
        <w:gridCol w:w="2272"/>
      </w:tblGrid>
      <w:tr w14:paraId="09EFB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tblCellSpacing w:w="0" w:type="dxa"/>
          <w:jc w:val="center"/>
        </w:trPr>
        <w:tc>
          <w:tcPr>
            <w:tcW w:w="2394" w:type="dxa"/>
            <w:tcBorders>
              <w:tl2br w:val="nil"/>
              <w:tr2bl w:val="nil"/>
            </w:tcBorders>
            <w:vAlign w:val="center"/>
          </w:tcPr>
          <w:p w14:paraId="4B07F882">
            <w:pPr>
              <w:jc w:val="center"/>
              <w:rPr>
                <w:b/>
                <w:bCs/>
                <w:color w:val="auto"/>
                <w:sz w:val="24"/>
                <w:szCs w:val="24"/>
              </w:rPr>
            </w:pPr>
            <w:r>
              <w:rPr>
                <w:rFonts w:hint="eastAsia"/>
                <w:b/>
                <w:bCs/>
                <w:color w:val="auto"/>
                <w:sz w:val="24"/>
                <w:szCs w:val="24"/>
              </w:rPr>
              <w:t>中标金额（万元）</w:t>
            </w:r>
          </w:p>
        </w:tc>
        <w:tc>
          <w:tcPr>
            <w:tcW w:w="2149" w:type="dxa"/>
            <w:tcBorders>
              <w:tl2br w:val="nil"/>
              <w:tr2bl w:val="nil"/>
            </w:tcBorders>
            <w:vAlign w:val="center"/>
          </w:tcPr>
          <w:p w14:paraId="097A8B7D">
            <w:pPr>
              <w:jc w:val="center"/>
              <w:rPr>
                <w:b/>
                <w:bCs/>
                <w:color w:val="auto"/>
                <w:sz w:val="24"/>
                <w:szCs w:val="24"/>
              </w:rPr>
            </w:pPr>
            <w:r>
              <w:rPr>
                <w:rFonts w:hint="eastAsia"/>
                <w:b/>
                <w:bCs/>
                <w:color w:val="auto"/>
                <w:sz w:val="24"/>
                <w:szCs w:val="24"/>
              </w:rPr>
              <w:t>货物类</w:t>
            </w:r>
          </w:p>
        </w:tc>
        <w:tc>
          <w:tcPr>
            <w:tcW w:w="2270" w:type="dxa"/>
            <w:tcBorders>
              <w:tl2br w:val="nil"/>
              <w:tr2bl w:val="nil"/>
            </w:tcBorders>
            <w:vAlign w:val="center"/>
          </w:tcPr>
          <w:p w14:paraId="427C3265">
            <w:pPr>
              <w:jc w:val="center"/>
              <w:rPr>
                <w:b/>
                <w:bCs/>
                <w:color w:val="auto"/>
                <w:sz w:val="24"/>
                <w:szCs w:val="24"/>
              </w:rPr>
            </w:pPr>
            <w:r>
              <w:rPr>
                <w:rFonts w:hint="eastAsia"/>
                <w:b/>
                <w:bCs/>
                <w:color w:val="auto"/>
                <w:sz w:val="24"/>
                <w:szCs w:val="24"/>
              </w:rPr>
              <w:t>服务类</w:t>
            </w:r>
          </w:p>
        </w:tc>
        <w:tc>
          <w:tcPr>
            <w:tcW w:w="2272" w:type="dxa"/>
            <w:tcBorders>
              <w:tl2br w:val="nil"/>
              <w:tr2bl w:val="nil"/>
            </w:tcBorders>
            <w:vAlign w:val="center"/>
          </w:tcPr>
          <w:p w14:paraId="7873EFFF">
            <w:pPr>
              <w:jc w:val="center"/>
              <w:rPr>
                <w:b/>
                <w:bCs/>
                <w:color w:val="auto"/>
                <w:sz w:val="24"/>
                <w:szCs w:val="24"/>
              </w:rPr>
            </w:pPr>
            <w:r>
              <w:rPr>
                <w:rFonts w:hint="eastAsia"/>
                <w:b/>
                <w:bCs/>
                <w:color w:val="auto"/>
                <w:sz w:val="24"/>
                <w:szCs w:val="24"/>
              </w:rPr>
              <w:t>工程类</w:t>
            </w:r>
          </w:p>
        </w:tc>
      </w:tr>
      <w:tr w14:paraId="31C89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2394" w:type="dxa"/>
            <w:tcBorders>
              <w:tl2br w:val="nil"/>
              <w:tr2bl w:val="nil"/>
            </w:tcBorders>
            <w:vAlign w:val="center"/>
          </w:tcPr>
          <w:p w14:paraId="58C21182">
            <w:pPr>
              <w:jc w:val="center"/>
              <w:rPr>
                <w:color w:val="auto"/>
                <w:sz w:val="24"/>
                <w:szCs w:val="24"/>
              </w:rPr>
            </w:pPr>
            <w:r>
              <w:rPr>
                <w:rFonts w:hint="eastAsia"/>
                <w:color w:val="auto"/>
                <w:sz w:val="24"/>
                <w:szCs w:val="24"/>
              </w:rPr>
              <w:t>100以下</w:t>
            </w:r>
          </w:p>
        </w:tc>
        <w:tc>
          <w:tcPr>
            <w:tcW w:w="2149" w:type="dxa"/>
            <w:tcBorders>
              <w:tl2br w:val="nil"/>
              <w:tr2bl w:val="nil"/>
            </w:tcBorders>
            <w:vAlign w:val="center"/>
          </w:tcPr>
          <w:p w14:paraId="2933E9EC">
            <w:pPr>
              <w:jc w:val="center"/>
              <w:rPr>
                <w:color w:val="auto"/>
                <w:sz w:val="24"/>
                <w:szCs w:val="24"/>
              </w:rPr>
            </w:pPr>
            <w:r>
              <w:rPr>
                <w:rFonts w:hint="eastAsia"/>
                <w:color w:val="auto"/>
                <w:sz w:val="24"/>
                <w:szCs w:val="24"/>
              </w:rPr>
              <w:t>1.5％</w:t>
            </w:r>
          </w:p>
        </w:tc>
        <w:tc>
          <w:tcPr>
            <w:tcW w:w="2270" w:type="dxa"/>
            <w:tcBorders>
              <w:tl2br w:val="nil"/>
              <w:tr2bl w:val="nil"/>
            </w:tcBorders>
            <w:vAlign w:val="center"/>
          </w:tcPr>
          <w:p w14:paraId="54526758">
            <w:pPr>
              <w:jc w:val="center"/>
              <w:rPr>
                <w:color w:val="auto"/>
                <w:sz w:val="24"/>
                <w:szCs w:val="24"/>
              </w:rPr>
            </w:pPr>
            <w:r>
              <w:rPr>
                <w:rFonts w:hint="eastAsia"/>
                <w:color w:val="auto"/>
                <w:sz w:val="24"/>
                <w:szCs w:val="24"/>
              </w:rPr>
              <w:t>1.5％</w:t>
            </w:r>
          </w:p>
        </w:tc>
        <w:tc>
          <w:tcPr>
            <w:tcW w:w="2272" w:type="dxa"/>
            <w:tcBorders>
              <w:tl2br w:val="nil"/>
              <w:tr2bl w:val="nil"/>
            </w:tcBorders>
            <w:vAlign w:val="center"/>
          </w:tcPr>
          <w:p w14:paraId="608516ED">
            <w:pPr>
              <w:jc w:val="center"/>
              <w:rPr>
                <w:color w:val="auto"/>
                <w:sz w:val="24"/>
                <w:szCs w:val="24"/>
              </w:rPr>
            </w:pPr>
            <w:r>
              <w:rPr>
                <w:rFonts w:hint="eastAsia"/>
                <w:color w:val="auto"/>
                <w:sz w:val="24"/>
                <w:szCs w:val="24"/>
              </w:rPr>
              <w:t>1.0％</w:t>
            </w:r>
          </w:p>
        </w:tc>
      </w:tr>
      <w:tr w14:paraId="22BC1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2394" w:type="dxa"/>
            <w:tcBorders>
              <w:tl2br w:val="nil"/>
              <w:tr2bl w:val="nil"/>
            </w:tcBorders>
            <w:vAlign w:val="center"/>
          </w:tcPr>
          <w:p w14:paraId="719E10AE">
            <w:pPr>
              <w:jc w:val="center"/>
              <w:rPr>
                <w:color w:val="auto"/>
                <w:sz w:val="24"/>
                <w:szCs w:val="24"/>
              </w:rPr>
            </w:pPr>
            <w:r>
              <w:rPr>
                <w:rFonts w:hint="eastAsia"/>
                <w:color w:val="auto"/>
                <w:sz w:val="24"/>
                <w:szCs w:val="24"/>
              </w:rPr>
              <w:t>100—500</w:t>
            </w:r>
          </w:p>
        </w:tc>
        <w:tc>
          <w:tcPr>
            <w:tcW w:w="2149" w:type="dxa"/>
            <w:tcBorders>
              <w:tl2br w:val="nil"/>
              <w:tr2bl w:val="nil"/>
            </w:tcBorders>
            <w:vAlign w:val="center"/>
          </w:tcPr>
          <w:p w14:paraId="11BAF4B7">
            <w:pPr>
              <w:jc w:val="center"/>
              <w:rPr>
                <w:color w:val="auto"/>
                <w:sz w:val="24"/>
                <w:szCs w:val="24"/>
              </w:rPr>
            </w:pPr>
            <w:r>
              <w:rPr>
                <w:rFonts w:hint="eastAsia"/>
                <w:color w:val="auto"/>
                <w:sz w:val="24"/>
                <w:szCs w:val="24"/>
              </w:rPr>
              <w:t>1.1％</w:t>
            </w:r>
          </w:p>
        </w:tc>
        <w:tc>
          <w:tcPr>
            <w:tcW w:w="2270" w:type="dxa"/>
            <w:tcBorders>
              <w:tl2br w:val="nil"/>
              <w:tr2bl w:val="nil"/>
            </w:tcBorders>
            <w:vAlign w:val="center"/>
          </w:tcPr>
          <w:p w14:paraId="38083173">
            <w:pPr>
              <w:jc w:val="center"/>
              <w:rPr>
                <w:color w:val="auto"/>
                <w:sz w:val="24"/>
                <w:szCs w:val="24"/>
              </w:rPr>
            </w:pPr>
            <w:r>
              <w:rPr>
                <w:rFonts w:hint="eastAsia"/>
                <w:color w:val="auto"/>
                <w:sz w:val="24"/>
                <w:szCs w:val="24"/>
              </w:rPr>
              <w:t>0.8％</w:t>
            </w:r>
          </w:p>
        </w:tc>
        <w:tc>
          <w:tcPr>
            <w:tcW w:w="2272" w:type="dxa"/>
            <w:tcBorders>
              <w:tl2br w:val="nil"/>
              <w:tr2bl w:val="nil"/>
            </w:tcBorders>
            <w:vAlign w:val="center"/>
          </w:tcPr>
          <w:p w14:paraId="2ED6FC8D">
            <w:pPr>
              <w:jc w:val="center"/>
              <w:rPr>
                <w:color w:val="auto"/>
                <w:sz w:val="24"/>
                <w:szCs w:val="24"/>
              </w:rPr>
            </w:pPr>
            <w:r>
              <w:rPr>
                <w:rFonts w:hint="eastAsia"/>
                <w:color w:val="auto"/>
                <w:sz w:val="24"/>
                <w:szCs w:val="24"/>
              </w:rPr>
              <w:t>0.7％</w:t>
            </w:r>
          </w:p>
        </w:tc>
      </w:tr>
      <w:tr w14:paraId="04430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2394" w:type="dxa"/>
            <w:tcBorders>
              <w:tl2br w:val="nil"/>
              <w:tr2bl w:val="nil"/>
            </w:tcBorders>
            <w:vAlign w:val="center"/>
          </w:tcPr>
          <w:p w14:paraId="06D32924">
            <w:pPr>
              <w:jc w:val="center"/>
              <w:rPr>
                <w:color w:val="auto"/>
                <w:sz w:val="24"/>
                <w:szCs w:val="24"/>
              </w:rPr>
            </w:pPr>
            <w:r>
              <w:rPr>
                <w:rFonts w:hint="eastAsia"/>
                <w:color w:val="auto"/>
                <w:sz w:val="24"/>
                <w:szCs w:val="24"/>
              </w:rPr>
              <w:t>500—1000</w:t>
            </w:r>
          </w:p>
        </w:tc>
        <w:tc>
          <w:tcPr>
            <w:tcW w:w="2149" w:type="dxa"/>
            <w:tcBorders>
              <w:tl2br w:val="nil"/>
              <w:tr2bl w:val="nil"/>
            </w:tcBorders>
            <w:vAlign w:val="center"/>
          </w:tcPr>
          <w:p w14:paraId="5B966FFA">
            <w:pPr>
              <w:jc w:val="center"/>
              <w:rPr>
                <w:color w:val="auto"/>
                <w:sz w:val="24"/>
                <w:szCs w:val="24"/>
              </w:rPr>
            </w:pPr>
            <w:r>
              <w:rPr>
                <w:rFonts w:hint="eastAsia"/>
                <w:color w:val="auto"/>
                <w:sz w:val="24"/>
                <w:szCs w:val="24"/>
              </w:rPr>
              <w:t>0.8％</w:t>
            </w:r>
          </w:p>
        </w:tc>
        <w:tc>
          <w:tcPr>
            <w:tcW w:w="2270" w:type="dxa"/>
            <w:tcBorders>
              <w:tl2br w:val="nil"/>
              <w:tr2bl w:val="nil"/>
            </w:tcBorders>
            <w:vAlign w:val="center"/>
          </w:tcPr>
          <w:p w14:paraId="366E9D91">
            <w:pPr>
              <w:jc w:val="center"/>
              <w:rPr>
                <w:color w:val="auto"/>
                <w:sz w:val="24"/>
                <w:szCs w:val="24"/>
              </w:rPr>
            </w:pPr>
            <w:r>
              <w:rPr>
                <w:rFonts w:hint="eastAsia"/>
                <w:color w:val="auto"/>
                <w:sz w:val="24"/>
                <w:szCs w:val="24"/>
              </w:rPr>
              <w:t>0.45％</w:t>
            </w:r>
          </w:p>
        </w:tc>
        <w:tc>
          <w:tcPr>
            <w:tcW w:w="2272" w:type="dxa"/>
            <w:tcBorders>
              <w:tl2br w:val="nil"/>
              <w:tr2bl w:val="nil"/>
            </w:tcBorders>
            <w:vAlign w:val="center"/>
          </w:tcPr>
          <w:p w14:paraId="132C5BB9">
            <w:pPr>
              <w:jc w:val="center"/>
              <w:rPr>
                <w:color w:val="auto"/>
                <w:sz w:val="24"/>
                <w:szCs w:val="24"/>
              </w:rPr>
            </w:pPr>
            <w:r>
              <w:rPr>
                <w:rFonts w:hint="eastAsia"/>
                <w:color w:val="auto"/>
                <w:sz w:val="24"/>
                <w:szCs w:val="24"/>
              </w:rPr>
              <w:t>0.55％</w:t>
            </w:r>
          </w:p>
        </w:tc>
      </w:tr>
      <w:tr w14:paraId="24B25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2394" w:type="dxa"/>
            <w:tcBorders>
              <w:tl2br w:val="nil"/>
              <w:tr2bl w:val="nil"/>
            </w:tcBorders>
            <w:vAlign w:val="center"/>
          </w:tcPr>
          <w:p w14:paraId="4972B5CA">
            <w:pPr>
              <w:jc w:val="center"/>
              <w:rPr>
                <w:color w:val="auto"/>
                <w:sz w:val="24"/>
                <w:szCs w:val="24"/>
              </w:rPr>
            </w:pPr>
            <w:r>
              <w:rPr>
                <w:rFonts w:hint="eastAsia"/>
                <w:color w:val="auto"/>
                <w:sz w:val="24"/>
                <w:szCs w:val="24"/>
              </w:rPr>
              <w:t>1000—5000</w:t>
            </w:r>
          </w:p>
        </w:tc>
        <w:tc>
          <w:tcPr>
            <w:tcW w:w="2149" w:type="dxa"/>
            <w:tcBorders>
              <w:tl2br w:val="nil"/>
              <w:tr2bl w:val="nil"/>
            </w:tcBorders>
            <w:vAlign w:val="center"/>
          </w:tcPr>
          <w:p w14:paraId="3E0A0E81">
            <w:pPr>
              <w:jc w:val="center"/>
              <w:rPr>
                <w:color w:val="auto"/>
                <w:sz w:val="24"/>
                <w:szCs w:val="24"/>
              </w:rPr>
            </w:pPr>
            <w:r>
              <w:rPr>
                <w:rFonts w:hint="eastAsia"/>
                <w:color w:val="auto"/>
                <w:sz w:val="24"/>
                <w:szCs w:val="24"/>
              </w:rPr>
              <w:t>0.5％</w:t>
            </w:r>
          </w:p>
        </w:tc>
        <w:tc>
          <w:tcPr>
            <w:tcW w:w="2270" w:type="dxa"/>
            <w:tcBorders>
              <w:tl2br w:val="nil"/>
              <w:tr2bl w:val="nil"/>
            </w:tcBorders>
            <w:vAlign w:val="center"/>
          </w:tcPr>
          <w:p w14:paraId="39DAE68C">
            <w:pPr>
              <w:jc w:val="center"/>
              <w:rPr>
                <w:color w:val="auto"/>
                <w:sz w:val="24"/>
                <w:szCs w:val="24"/>
              </w:rPr>
            </w:pPr>
            <w:r>
              <w:rPr>
                <w:rFonts w:hint="eastAsia"/>
                <w:color w:val="auto"/>
                <w:sz w:val="24"/>
                <w:szCs w:val="24"/>
              </w:rPr>
              <w:t>0.25％</w:t>
            </w:r>
          </w:p>
        </w:tc>
        <w:tc>
          <w:tcPr>
            <w:tcW w:w="2272" w:type="dxa"/>
            <w:tcBorders>
              <w:tl2br w:val="nil"/>
              <w:tr2bl w:val="nil"/>
            </w:tcBorders>
            <w:vAlign w:val="center"/>
          </w:tcPr>
          <w:p w14:paraId="078CC06D">
            <w:pPr>
              <w:jc w:val="center"/>
              <w:rPr>
                <w:color w:val="auto"/>
                <w:sz w:val="24"/>
                <w:szCs w:val="24"/>
              </w:rPr>
            </w:pPr>
            <w:r>
              <w:rPr>
                <w:rFonts w:hint="eastAsia"/>
                <w:color w:val="auto"/>
                <w:sz w:val="24"/>
                <w:szCs w:val="24"/>
              </w:rPr>
              <w:t>0.35％</w:t>
            </w:r>
          </w:p>
        </w:tc>
      </w:tr>
      <w:tr w14:paraId="59238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2394" w:type="dxa"/>
            <w:tcBorders>
              <w:tl2br w:val="nil"/>
              <w:tr2bl w:val="nil"/>
            </w:tcBorders>
            <w:vAlign w:val="center"/>
          </w:tcPr>
          <w:p w14:paraId="723F5A18">
            <w:pPr>
              <w:jc w:val="center"/>
              <w:rPr>
                <w:color w:val="auto"/>
                <w:sz w:val="24"/>
                <w:szCs w:val="24"/>
              </w:rPr>
            </w:pPr>
            <w:r>
              <w:rPr>
                <w:rFonts w:hint="eastAsia"/>
                <w:color w:val="auto"/>
                <w:sz w:val="24"/>
                <w:szCs w:val="24"/>
              </w:rPr>
              <w:t>5000—10000</w:t>
            </w:r>
          </w:p>
        </w:tc>
        <w:tc>
          <w:tcPr>
            <w:tcW w:w="2149" w:type="dxa"/>
            <w:tcBorders>
              <w:tl2br w:val="nil"/>
              <w:tr2bl w:val="nil"/>
            </w:tcBorders>
            <w:vAlign w:val="center"/>
          </w:tcPr>
          <w:p w14:paraId="35231694">
            <w:pPr>
              <w:jc w:val="center"/>
              <w:rPr>
                <w:color w:val="auto"/>
                <w:sz w:val="24"/>
                <w:szCs w:val="24"/>
              </w:rPr>
            </w:pPr>
            <w:r>
              <w:rPr>
                <w:rFonts w:hint="eastAsia"/>
                <w:color w:val="auto"/>
                <w:sz w:val="24"/>
                <w:szCs w:val="24"/>
              </w:rPr>
              <w:t>0.25％</w:t>
            </w:r>
          </w:p>
        </w:tc>
        <w:tc>
          <w:tcPr>
            <w:tcW w:w="2270" w:type="dxa"/>
            <w:tcBorders>
              <w:tl2br w:val="nil"/>
              <w:tr2bl w:val="nil"/>
            </w:tcBorders>
            <w:vAlign w:val="center"/>
          </w:tcPr>
          <w:p w14:paraId="1CD7BE1D">
            <w:pPr>
              <w:jc w:val="center"/>
              <w:rPr>
                <w:color w:val="auto"/>
                <w:sz w:val="24"/>
                <w:szCs w:val="24"/>
              </w:rPr>
            </w:pPr>
            <w:r>
              <w:rPr>
                <w:rFonts w:hint="eastAsia"/>
                <w:color w:val="auto"/>
                <w:sz w:val="24"/>
                <w:szCs w:val="24"/>
              </w:rPr>
              <w:t>0.1％</w:t>
            </w:r>
          </w:p>
        </w:tc>
        <w:tc>
          <w:tcPr>
            <w:tcW w:w="2272" w:type="dxa"/>
            <w:tcBorders>
              <w:tl2br w:val="nil"/>
              <w:tr2bl w:val="nil"/>
            </w:tcBorders>
            <w:vAlign w:val="center"/>
          </w:tcPr>
          <w:p w14:paraId="0F5679CE">
            <w:pPr>
              <w:jc w:val="center"/>
              <w:rPr>
                <w:color w:val="auto"/>
                <w:sz w:val="24"/>
                <w:szCs w:val="24"/>
              </w:rPr>
            </w:pPr>
            <w:r>
              <w:rPr>
                <w:rFonts w:hint="eastAsia"/>
                <w:color w:val="auto"/>
                <w:sz w:val="24"/>
                <w:szCs w:val="24"/>
              </w:rPr>
              <w:t>0.2％</w:t>
            </w:r>
          </w:p>
        </w:tc>
      </w:tr>
      <w:tr w14:paraId="649ED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2394" w:type="dxa"/>
            <w:tcBorders>
              <w:tl2br w:val="nil"/>
              <w:tr2bl w:val="nil"/>
            </w:tcBorders>
            <w:vAlign w:val="center"/>
          </w:tcPr>
          <w:p w14:paraId="07E5F84D">
            <w:pPr>
              <w:jc w:val="center"/>
              <w:rPr>
                <w:color w:val="auto"/>
                <w:sz w:val="24"/>
                <w:szCs w:val="24"/>
              </w:rPr>
            </w:pPr>
            <w:r>
              <w:rPr>
                <w:rFonts w:hint="eastAsia"/>
                <w:color w:val="auto"/>
                <w:sz w:val="24"/>
                <w:szCs w:val="24"/>
              </w:rPr>
              <w:t>10000——100000</w:t>
            </w:r>
          </w:p>
        </w:tc>
        <w:tc>
          <w:tcPr>
            <w:tcW w:w="2149" w:type="dxa"/>
            <w:tcBorders>
              <w:tl2br w:val="nil"/>
              <w:tr2bl w:val="nil"/>
            </w:tcBorders>
            <w:vAlign w:val="center"/>
          </w:tcPr>
          <w:p w14:paraId="528901D0">
            <w:pPr>
              <w:jc w:val="center"/>
              <w:rPr>
                <w:color w:val="auto"/>
                <w:sz w:val="24"/>
                <w:szCs w:val="24"/>
              </w:rPr>
            </w:pPr>
            <w:r>
              <w:rPr>
                <w:rFonts w:hint="eastAsia"/>
                <w:color w:val="auto"/>
                <w:sz w:val="24"/>
                <w:szCs w:val="24"/>
              </w:rPr>
              <w:t>0.05％</w:t>
            </w:r>
          </w:p>
        </w:tc>
        <w:tc>
          <w:tcPr>
            <w:tcW w:w="2270" w:type="dxa"/>
            <w:tcBorders>
              <w:tl2br w:val="nil"/>
              <w:tr2bl w:val="nil"/>
            </w:tcBorders>
            <w:vAlign w:val="center"/>
          </w:tcPr>
          <w:p w14:paraId="45CFB712">
            <w:pPr>
              <w:jc w:val="center"/>
              <w:rPr>
                <w:color w:val="auto"/>
                <w:sz w:val="24"/>
                <w:szCs w:val="24"/>
              </w:rPr>
            </w:pPr>
            <w:r>
              <w:rPr>
                <w:rFonts w:hint="eastAsia"/>
                <w:color w:val="auto"/>
                <w:sz w:val="24"/>
                <w:szCs w:val="24"/>
              </w:rPr>
              <w:t>0.05％</w:t>
            </w:r>
          </w:p>
        </w:tc>
        <w:tc>
          <w:tcPr>
            <w:tcW w:w="2272" w:type="dxa"/>
            <w:tcBorders>
              <w:tl2br w:val="nil"/>
              <w:tr2bl w:val="nil"/>
            </w:tcBorders>
            <w:vAlign w:val="center"/>
          </w:tcPr>
          <w:p w14:paraId="52ACFB18">
            <w:pPr>
              <w:jc w:val="center"/>
              <w:rPr>
                <w:color w:val="auto"/>
                <w:sz w:val="24"/>
                <w:szCs w:val="24"/>
              </w:rPr>
            </w:pPr>
            <w:r>
              <w:rPr>
                <w:rFonts w:hint="eastAsia"/>
                <w:color w:val="auto"/>
                <w:sz w:val="24"/>
                <w:szCs w:val="24"/>
              </w:rPr>
              <w:t>0.05％</w:t>
            </w:r>
          </w:p>
        </w:tc>
      </w:tr>
      <w:tr w14:paraId="5E32D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2394" w:type="dxa"/>
            <w:tcBorders>
              <w:tl2br w:val="nil"/>
              <w:tr2bl w:val="nil"/>
            </w:tcBorders>
            <w:vAlign w:val="center"/>
          </w:tcPr>
          <w:p w14:paraId="0DB05E9A">
            <w:pPr>
              <w:jc w:val="center"/>
              <w:rPr>
                <w:color w:val="auto"/>
                <w:sz w:val="24"/>
                <w:szCs w:val="24"/>
              </w:rPr>
            </w:pPr>
            <w:r>
              <w:rPr>
                <w:rFonts w:hint="eastAsia"/>
                <w:color w:val="auto"/>
                <w:sz w:val="24"/>
                <w:szCs w:val="24"/>
              </w:rPr>
              <w:t>100000以上</w:t>
            </w:r>
          </w:p>
        </w:tc>
        <w:tc>
          <w:tcPr>
            <w:tcW w:w="2149" w:type="dxa"/>
            <w:tcBorders>
              <w:tl2br w:val="nil"/>
              <w:tr2bl w:val="nil"/>
            </w:tcBorders>
            <w:vAlign w:val="center"/>
          </w:tcPr>
          <w:p w14:paraId="135A7D1F">
            <w:pPr>
              <w:jc w:val="center"/>
              <w:rPr>
                <w:color w:val="auto"/>
                <w:sz w:val="24"/>
                <w:szCs w:val="24"/>
              </w:rPr>
            </w:pPr>
            <w:r>
              <w:rPr>
                <w:rFonts w:hint="eastAsia"/>
                <w:color w:val="auto"/>
                <w:sz w:val="24"/>
                <w:szCs w:val="24"/>
              </w:rPr>
              <w:t>0.01％</w:t>
            </w:r>
          </w:p>
        </w:tc>
        <w:tc>
          <w:tcPr>
            <w:tcW w:w="2270" w:type="dxa"/>
            <w:tcBorders>
              <w:tl2br w:val="nil"/>
              <w:tr2bl w:val="nil"/>
            </w:tcBorders>
            <w:vAlign w:val="center"/>
          </w:tcPr>
          <w:p w14:paraId="717BFD2D">
            <w:pPr>
              <w:jc w:val="center"/>
              <w:rPr>
                <w:color w:val="auto"/>
                <w:sz w:val="24"/>
                <w:szCs w:val="24"/>
              </w:rPr>
            </w:pPr>
            <w:r>
              <w:rPr>
                <w:rFonts w:hint="eastAsia"/>
                <w:color w:val="auto"/>
                <w:sz w:val="24"/>
                <w:szCs w:val="24"/>
              </w:rPr>
              <w:t>0.01％</w:t>
            </w:r>
          </w:p>
        </w:tc>
        <w:tc>
          <w:tcPr>
            <w:tcW w:w="2272" w:type="dxa"/>
            <w:tcBorders>
              <w:tl2br w:val="nil"/>
              <w:tr2bl w:val="nil"/>
            </w:tcBorders>
            <w:vAlign w:val="center"/>
          </w:tcPr>
          <w:p w14:paraId="29D03CE5">
            <w:pPr>
              <w:jc w:val="center"/>
              <w:rPr>
                <w:color w:val="auto"/>
                <w:sz w:val="24"/>
                <w:szCs w:val="24"/>
              </w:rPr>
            </w:pPr>
            <w:r>
              <w:rPr>
                <w:rFonts w:hint="eastAsia"/>
                <w:color w:val="auto"/>
                <w:sz w:val="24"/>
                <w:szCs w:val="24"/>
              </w:rPr>
              <w:t>0.01％</w:t>
            </w:r>
          </w:p>
        </w:tc>
      </w:tr>
    </w:tbl>
    <w:p w14:paraId="682F4AAF">
      <w:pPr>
        <w:adjustRightInd w:val="0"/>
        <w:snapToGrid w:val="0"/>
        <w:spacing w:line="500" w:lineRule="exact"/>
        <w:ind w:firstLine="480"/>
        <w:rPr>
          <w:rFonts w:hint="eastAsia"/>
          <w:color w:val="auto"/>
          <w:sz w:val="24"/>
          <w:lang w:eastAsia="zh-CN"/>
        </w:rPr>
      </w:pPr>
    </w:p>
    <w:p w14:paraId="2D310D28">
      <w:pPr>
        <w:adjustRightInd w:val="0"/>
        <w:snapToGrid w:val="0"/>
        <w:spacing w:line="500" w:lineRule="exact"/>
        <w:ind w:firstLine="480"/>
        <w:rPr>
          <w:rFonts w:hint="default" w:eastAsia="宋体"/>
          <w:color w:val="auto"/>
          <w:sz w:val="24"/>
          <w:lang w:val="en-US" w:eastAsia="zh-CN"/>
        </w:rPr>
      </w:pPr>
      <w:r>
        <w:rPr>
          <w:rFonts w:hint="eastAsia"/>
          <w:color w:val="auto"/>
          <w:sz w:val="24"/>
          <w:lang w:val="en-US" w:eastAsia="zh-CN"/>
        </w:rPr>
        <w:t>1.2报价举例。例投标价为7%，则结算时，100万元以下的整体下浮为17%，100万元（含）—500万元以下下浮为22%，以此类推；如</w:t>
      </w:r>
      <w:r>
        <w:rPr>
          <w:rFonts w:hint="eastAsia"/>
          <w:color w:val="auto"/>
          <w:sz w:val="24"/>
          <w:lang w:eastAsia="zh-CN"/>
        </w:rPr>
        <w:t>某项目货物中标价</w:t>
      </w:r>
      <w:r>
        <w:rPr>
          <w:rFonts w:hint="eastAsia"/>
          <w:color w:val="auto"/>
          <w:sz w:val="24"/>
          <w:lang w:val="en-US" w:eastAsia="zh-CN"/>
        </w:rPr>
        <w:t>600万元，则代理费为（100万*1.5%+400万*1.1%+100万*0.8%）*（1-27%）=48910元</w:t>
      </w:r>
    </w:p>
    <w:p w14:paraId="574A7C55">
      <w:pPr>
        <w:adjustRightInd w:val="0"/>
        <w:snapToGrid w:val="0"/>
        <w:spacing w:line="500" w:lineRule="exact"/>
        <w:ind w:firstLine="480"/>
        <w:rPr>
          <w:rFonts w:hint="eastAsia" w:ascii="宋体" w:hAnsi="宋体" w:eastAsia="宋体"/>
          <w:color w:val="auto"/>
          <w:sz w:val="24"/>
          <w:lang w:eastAsia="zh-CN"/>
        </w:rPr>
      </w:pPr>
      <w:r>
        <w:rPr>
          <w:rFonts w:hint="eastAsia"/>
          <w:color w:val="auto"/>
          <w:sz w:val="24"/>
        </w:rPr>
        <w:t>2</w:t>
      </w:r>
      <w:r>
        <w:rPr>
          <w:color w:val="auto"/>
          <w:sz w:val="24"/>
        </w:rPr>
        <w:t>.</w:t>
      </w:r>
      <w:r>
        <w:rPr>
          <w:rFonts w:hint="eastAsia"/>
          <w:color w:val="auto"/>
          <w:sz w:val="24"/>
          <w:lang w:eastAsia="zh-CN"/>
        </w:rPr>
        <w:t>招标文件论证</w:t>
      </w:r>
      <w:r>
        <w:rPr>
          <w:rFonts w:hint="eastAsia" w:ascii="宋体" w:hAnsi="宋体"/>
          <w:color w:val="auto"/>
          <w:sz w:val="24"/>
        </w:rPr>
        <w:t>费</w:t>
      </w:r>
      <w:r>
        <w:rPr>
          <w:rFonts w:hint="eastAsia" w:ascii="宋体" w:hAnsi="宋体"/>
          <w:color w:val="auto"/>
          <w:sz w:val="24"/>
          <w:lang w:eastAsia="zh-CN"/>
        </w:rPr>
        <w:t>，采购人参照</w:t>
      </w:r>
      <w:r>
        <w:rPr>
          <w:rFonts w:hint="eastAsia"/>
          <w:color w:val="auto"/>
          <w:sz w:val="24"/>
          <w:lang w:eastAsia="zh-CN"/>
        </w:rPr>
        <w:t>相关政策规定的</w:t>
      </w:r>
      <w:r>
        <w:rPr>
          <w:rFonts w:hint="eastAsia" w:ascii="宋体" w:hAnsi="宋体"/>
          <w:color w:val="auto"/>
          <w:sz w:val="24"/>
          <w:lang w:eastAsia="zh-CN"/>
        </w:rPr>
        <w:t>评审专家费用标准支付，由代理机构先行垫付。（代理机构按实际支付费用开具对应的合法发票结算）</w:t>
      </w:r>
    </w:p>
    <w:p w14:paraId="1CBF0818">
      <w:pPr>
        <w:adjustRightInd w:val="0"/>
        <w:snapToGrid w:val="0"/>
        <w:spacing w:line="500" w:lineRule="exact"/>
        <w:ind w:firstLine="480"/>
        <w:rPr>
          <w:rFonts w:hint="eastAsia" w:eastAsia="宋体"/>
          <w:color w:val="auto"/>
          <w:sz w:val="24"/>
          <w:lang w:eastAsia="zh-CN"/>
        </w:rPr>
      </w:pPr>
      <w:r>
        <w:rPr>
          <w:rFonts w:hint="eastAsia"/>
          <w:color w:val="auto"/>
          <w:sz w:val="24"/>
        </w:rPr>
        <w:t>3</w:t>
      </w:r>
      <w:r>
        <w:rPr>
          <w:color w:val="auto"/>
          <w:sz w:val="24"/>
        </w:rPr>
        <w:t>.</w:t>
      </w:r>
      <w:r>
        <w:rPr>
          <w:rFonts w:hint="eastAsia"/>
          <w:color w:val="auto"/>
          <w:sz w:val="24"/>
        </w:rPr>
        <w:t>评审专家评审费</w:t>
      </w:r>
      <w:r>
        <w:rPr>
          <w:rFonts w:hint="eastAsia"/>
          <w:color w:val="auto"/>
          <w:sz w:val="24"/>
          <w:lang w:eastAsia="zh-CN"/>
        </w:rPr>
        <w:t>，按相关政策标准</w:t>
      </w:r>
      <w:r>
        <w:rPr>
          <w:rFonts w:hint="eastAsia"/>
          <w:color w:val="auto"/>
          <w:sz w:val="24"/>
          <w:lang w:val="en-US" w:eastAsia="zh-CN"/>
        </w:rPr>
        <w:t>由中标人或</w:t>
      </w:r>
      <w:r>
        <w:rPr>
          <w:rFonts w:hint="eastAsia" w:ascii="宋体" w:hAnsi="宋体"/>
          <w:color w:val="auto"/>
          <w:sz w:val="24"/>
          <w:lang w:eastAsia="zh-CN"/>
        </w:rPr>
        <w:t>采购人</w:t>
      </w:r>
      <w:r>
        <w:rPr>
          <w:rFonts w:hint="eastAsia"/>
          <w:color w:val="auto"/>
          <w:sz w:val="24"/>
          <w:lang w:val="en-US" w:eastAsia="zh-CN"/>
        </w:rPr>
        <w:t>支付。（采购人支付的，由</w:t>
      </w:r>
      <w:r>
        <w:rPr>
          <w:rFonts w:hint="eastAsia" w:ascii="宋体" w:hAnsi="宋体"/>
          <w:color w:val="auto"/>
          <w:sz w:val="24"/>
          <w:lang w:eastAsia="zh-CN"/>
        </w:rPr>
        <w:t>代理机构</w:t>
      </w:r>
      <w:r>
        <w:rPr>
          <w:rFonts w:hint="eastAsia"/>
          <w:color w:val="auto"/>
          <w:sz w:val="24"/>
          <w:lang w:val="en-US" w:eastAsia="zh-CN"/>
        </w:rPr>
        <w:t>先行垫付，</w:t>
      </w:r>
      <w:r>
        <w:rPr>
          <w:rFonts w:hint="eastAsia" w:ascii="宋体" w:hAnsi="宋体"/>
          <w:color w:val="auto"/>
          <w:sz w:val="24"/>
          <w:lang w:eastAsia="zh-CN"/>
        </w:rPr>
        <w:t>代理机构按实际支付费用开具对应的合法发票结算</w:t>
      </w:r>
      <w:r>
        <w:rPr>
          <w:rFonts w:hint="eastAsia"/>
          <w:color w:val="auto"/>
          <w:sz w:val="24"/>
          <w:lang w:eastAsia="zh-CN"/>
        </w:rPr>
        <w:t>）</w:t>
      </w:r>
    </w:p>
    <w:p w14:paraId="29304F68">
      <w:pPr>
        <w:adjustRightInd w:val="0"/>
        <w:snapToGrid w:val="0"/>
        <w:spacing w:line="500" w:lineRule="exact"/>
        <w:ind w:firstLine="480"/>
        <w:rPr>
          <w:color w:val="auto"/>
          <w:sz w:val="24"/>
        </w:rPr>
      </w:pPr>
      <w:r>
        <w:rPr>
          <w:rFonts w:hint="eastAsia"/>
          <w:color w:val="auto"/>
          <w:sz w:val="24"/>
        </w:rPr>
        <w:t>4</w:t>
      </w:r>
      <w:r>
        <w:rPr>
          <w:color w:val="auto"/>
          <w:sz w:val="24"/>
        </w:rPr>
        <w:t>.</w:t>
      </w:r>
      <w:r>
        <w:rPr>
          <w:rFonts w:hint="eastAsia"/>
          <w:color w:val="auto"/>
          <w:sz w:val="24"/>
        </w:rPr>
        <w:t>因项目废标等产生的</w:t>
      </w:r>
      <w:r>
        <w:rPr>
          <w:rFonts w:hint="eastAsia"/>
          <w:color w:val="auto"/>
          <w:sz w:val="24"/>
          <w:lang w:eastAsia="zh-CN"/>
        </w:rPr>
        <w:t>代理机构</w:t>
      </w:r>
      <w:r>
        <w:rPr>
          <w:rFonts w:hint="eastAsia"/>
          <w:color w:val="auto"/>
          <w:sz w:val="24"/>
        </w:rPr>
        <w:t>成本费用</w:t>
      </w:r>
      <w:r>
        <w:rPr>
          <w:rFonts w:hint="eastAsia"/>
          <w:color w:val="auto"/>
          <w:sz w:val="24"/>
          <w:lang w:eastAsia="zh-CN"/>
        </w:rPr>
        <w:t>（如差旅费等）</w:t>
      </w:r>
      <w:r>
        <w:rPr>
          <w:rFonts w:hint="eastAsia"/>
          <w:color w:val="auto"/>
          <w:sz w:val="24"/>
        </w:rPr>
        <w:t>由代理机构自行承担，</w:t>
      </w:r>
      <w:r>
        <w:rPr>
          <w:rFonts w:hint="eastAsia"/>
          <w:color w:val="auto"/>
          <w:sz w:val="24"/>
          <w:lang w:val="en-US" w:eastAsia="zh-CN"/>
        </w:rPr>
        <w:t>采购人</w:t>
      </w:r>
      <w:r>
        <w:rPr>
          <w:rFonts w:hint="eastAsia"/>
          <w:color w:val="auto"/>
          <w:sz w:val="24"/>
        </w:rPr>
        <w:t>不予补偿。</w:t>
      </w:r>
    </w:p>
    <w:p w14:paraId="1806E63E">
      <w:pPr>
        <w:adjustRightInd w:val="0"/>
        <w:snapToGrid w:val="0"/>
        <w:spacing w:line="500" w:lineRule="exact"/>
        <w:ind w:firstLine="480"/>
        <w:rPr>
          <w:rFonts w:hint="eastAsia" w:eastAsia="宋体"/>
          <w:color w:val="auto"/>
          <w:sz w:val="24"/>
          <w:lang w:eastAsia="zh-CN"/>
        </w:rPr>
      </w:pPr>
      <w:r>
        <w:rPr>
          <w:color w:val="auto"/>
          <w:sz w:val="24"/>
        </w:rPr>
        <w:t>5.各</w:t>
      </w:r>
      <w:r>
        <w:rPr>
          <w:rFonts w:hint="eastAsia"/>
          <w:color w:val="auto"/>
          <w:sz w:val="24"/>
          <w:lang w:eastAsia="zh-CN"/>
        </w:rPr>
        <w:t>供应商</w:t>
      </w:r>
      <w:r>
        <w:rPr>
          <w:color w:val="auto"/>
          <w:sz w:val="24"/>
        </w:rPr>
        <w:t>必须书面承诺：</w:t>
      </w:r>
      <w:r>
        <w:rPr>
          <w:rFonts w:hint="eastAsia" w:cs="Times New Roman"/>
          <w:color w:val="auto"/>
          <w:sz w:val="24"/>
          <w:szCs w:val="24"/>
          <w:lang w:val="en-US" w:eastAsia="zh-CN"/>
        </w:rPr>
        <w:t>供应商</w:t>
      </w:r>
      <w:r>
        <w:rPr>
          <w:color w:val="auto"/>
          <w:sz w:val="24"/>
        </w:rPr>
        <w:t>除按合同</w:t>
      </w:r>
      <w:r>
        <w:rPr>
          <w:rFonts w:hint="eastAsia"/>
          <w:color w:val="auto"/>
          <w:sz w:val="24"/>
          <w:lang w:eastAsia="zh-CN"/>
        </w:rPr>
        <w:t>及相关法律法规允许的</w:t>
      </w:r>
      <w:r>
        <w:rPr>
          <w:color w:val="auto"/>
          <w:sz w:val="24"/>
        </w:rPr>
        <w:t>费</w:t>
      </w:r>
      <w:r>
        <w:rPr>
          <w:rFonts w:hint="eastAsia"/>
          <w:color w:val="auto"/>
          <w:sz w:val="24"/>
          <w:lang w:eastAsia="zh-CN"/>
        </w:rPr>
        <w:t>用</w:t>
      </w:r>
      <w:r>
        <w:rPr>
          <w:color w:val="auto"/>
          <w:sz w:val="24"/>
        </w:rPr>
        <w:t>外，不再收取其它任何费用（如场地费等），否则，</w:t>
      </w:r>
      <w:r>
        <w:rPr>
          <w:rFonts w:hint="eastAsia" w:ascii="Times New Roman" w:hAnsi="Times New Roman" w:cs="Times New Roman"/>
          <w:color w:val="auto"/>
          <w:sz w:val="24"/>
          <w:szCs w:val="24"/>
          <w:lang w:val="en-US" w:eastAsia="zh-CN"/>
        </w:rPr>
        <w:t>采购人有权单方解除</w:t>
      </w:r>
      <w:r>
        <w:rPr>
          <w:color w:val="auto"/>
          <w:sz w:val="24"/>
        </w:rPr>
        <w:t>合同。（格式自拟）</w:t>
      </w:r>
      <w:r>
        <w:rPr>
          <w:rFonts w:hint="eastAsia"/>
          <w:color w:val="auto"/>
          <w:sz w:val="24"/>
          <w:lang w:eastAsia="zh-CN"/>
        </w:rPr>
        <w:t>【相关法律法规允许收取相关</w:t>
      </w:r>
      <w:r>
        <w:rPr>
          <w:color w:val="auto"/>
          <w:sz w:val="24"/>
        </w:rPr>
        <w:t>费</w:t>
      </w:r>
      <w:r>
        <w:rPr>
          <w:rFonts w:hint="eastAsia"/>
          <w:color w:val="auto"/>
          <w:sz w:val="24"/>
          <w:lang w:eastAsia="zh-CN"/>
        </w:rPr>
        <w:t>用的可以收取，如因法律、法规、</w:t>
      </w:r>
      <w:r>
        <w:rPr>
          <w:rFonts w:hint="eastAsia"/>
          <w:color w:val="auto"/>
          <w:sz w:val="24"/>
          <w:lang w:val="en-US" w:eastAsia="zh-CN"/>
        </w:rPr>
        <w:t>规章、规范性文件</w:t>
      </w:r>
      <w:r>
        <w:rPr>
          <w:rFonts w:hint="eastAsia"/>
          <w:color w:val="auto"/>
          <w:sz w:val="24"/>
          <w:lang w:eastAsia="zh-CN"/>
        </w:rPr>
        <w:t>发生变化，相关费用不允许收取，则相关费用的收取标准自动失效】</w:t>
      </w:r>
    </w:p>
    <w:p w14:paraId="782E4799">
      <w:pPr>
        <w:adjustRightInd w:val="0"/>
        <w:snapToGrid w:val="0"/>
        <w:spacing w:line="500" w:lineRule="exact"/>
        <w:ind w:firstLine="480"/>
        <w:rPr>
          <w:rFonts w:ascii="宋体" w:hAnsi="宋体"/>
          <w:color w:val="auto"/>
          <w:sz w:val="24"/>
        </w:rPr>
      </w:pPr>
      <w:r>
        <w:rPr>
          <w:rFonts w:hint="eastAsia" w:ascii="宋体" w:hAnsi="宋体"/>
          <w:color w:val="auto"/>
          <w:sz w:val="24"/>
        </w:rPr>
        <w:t>★（五）</w:t>
      </w:r>
      <w:r>
        <w:rPr>
          <w:rFonts w:hint="eastAsia" w:ascii="宋体" w:hAnsi="宋体"/>
          <w:color w:val="auto"/>
          <w:sz w:val="24"/>
          <w:lang w:val="en-US" w:eastAsia="zh-CN"/>
        </w:rPr>
        <w:t>为确保供应商</w:t>
      </w:r>
      <w:r>
        <w:rPr>
          <w:rFonts w:hint="eastAsia" w:ascii="宋体" w:hAnsi="宋体"/>
          <w:color w:val="auto"/>
          <w:sz w:val="24"/>
        </w:rPr>
        <w:t>队伍相对稳定</w:t>
      </w:r>
      <w:r>
        <w:rPr>
          <w:rFonts w:hint="eastAsia" w:ascii="宋体" w:hAnsi="宋体"/>
          <w:color w:val="auto"/>
          <w:sz w:val="24"/>
          <w:lang w:eastAsia="zh-CN"/>
        </w:rPr>
        <w:t>，</w:t>
      </w:r>
      <w:r>
        <w:rPr>
          <w:rFonts w:hint="eastAsia" w:ascii="宋体" w:hAnsi="宋体"/>
          <w:color w:val="auto"/>
          <w:sz w:val="24"/>
          <w:lang w:val="en-US" w:eastAsia="zh-CN"/>
        </w:rPr>
        <w:t>供应商</w:t>
      </w:r>
      <w:r>
        <w:rPr>
          <w:rFonts w:hint="eastAsia" w:ascii="宋体" w:hAnsi="宋体"/>
          <w:color w:val="auto"/>
          <w:sz w:val="24"/>
          <w:lang w:eastAsia="zh-CN"/>
        </w:rPr>
        <w:t>拟派项目组成</w:t>
      </w:r>
      <w:r>
        <w:rPr>
          <w:rFonts w:hint="eastAsia" w:ascii="宋体" w:hAnsi="宋体"/>
          <w:color w:val="auto"/>
          <w:sz w:val="24"/>
        </w:rPr>
        <w:t>员必须是与</w:t>
      </w:r>
      <w:r>
        <w:rPr>
          <w:rFonts w:hint="eastAsia" w:ascii="宋体" w:hAnsi="宋体"/>
          <w:color w:val="auto"/>
          <w:sz w:val="24"/>
          <w:lang w:val="en-US" w:eastAsia="zh-CN"/>
        </w:rPr>
        <w:t>该供应商</w:t>
      </w:r>
      <w:r>
        <w:rPr>
          <w:rFonts w:hint="eastAsia" w:ascii="宋体" w:hAnsi="宋体"/>
          <w:color w:val="auto"/>
          <w:sz w:val="24"/>
        </w:rPr>
        <w:t>单位签订了正式劳动合同的人员，</w:t>
      </w:r>
      <w:r>
        <w:rPr>
          <w:rFonts w:hint="eastAsia" w:ascii="宋体" w:hAnsi="宋体"/>
          <w:color w:val="auto"/>
          <w:sz w:val="24"/>
          <w:lang w:eastAsia="zh-CN"/>
        </w:rPr>
        <w:t>且不得少于</w:t>
      </w:r>
      <w:r>
        <w:rPr>
          <w:rFonts w:hint="eastAsia" w:ascii="宋体" w:hAnsi="宋体"/>
          <w:color w:val="auto"/>
          <w:sz w:val="24"/>
          <w:lang w:val="en-US" w:eastAsia="zh-CN"/>
        </w:rPr>
        <w:t>3人，</w:t>
      </w:r>
      <w:r>
        <w:rPr>
          <w:rFonts w:hint="eastAsia" w:ascii="宋体" w:hAnsi="宋体"/>
          <w:color w:val="auto"/>
          <w:sz w:val="24"/>
        </w:rPr>
        <w:t>否则视为</w:t>
      </w:r>
      <w:r>
        <w:rPr>
          <w:rFonts w:hint="eastAsia" w:ascii="宋体" w:hAnsi="宋体"/>
          <w:color w:val="auto"/>
          <w:sz w:val="24"/>
          <w:lang w:val="en-US" w:eastAsia="zh-CN"/>
        </w:rPr>
        <w:t>该供应商报送的</w:t>
      </w:r>
      <w:r>
        <w:rPr>
          <w:rFonts w:hint="eastAsia" w:ascii="宋体" w:hAnsi="宋体"/>
          <w:color w:val="auto"/>
          <w:kern w:val="0"/>
          <w:sz w:val="24"/>
          <w:lang w:val="en-US" w:eastAsia="zh-CN"/>
        </w:rPr>
        <w:t>响应</w:t>
      </w:r>
      <w:r>
        <w:rPr>
          <w:rFonts w:hint="eastAsia" w:ascii="宋体" w:hAnsi="宋体"/>
          <w:color w:val="auto"/>
          <w:sz w:val="24"/>
          <w:lang w:val="en-US" w:eastAsia="zh-CN"/>
        </w:rPr>
        <w:t>文件</w:t>
      </w:r>
      <w:r>
        <w:rPr>
          <w:rFonts w:hint="eastAsia" w:ascii="宋体" w:hAnsi="宋体"/>
          <w:color w:val="auto"/>
          <w:sz w:val="24"/>
        </w:rPr>
        <w:t>无效。</w:t>
      </w:r>
    </w:p>
    <w:p w14:paraId="326AB597">
      <w:pPr>
        <w:adjustRightInd w:val="0"/>
        <w:snapToGrid w:val="0"/>
        <w:spacing w:line="500" w:lineRule="exact"/>
        <w:ind w:firstLine="480"/>
        <w:rPr>
          <w:rFonts w:ascii="宋体" w:hAnsi="宋体"/>
          <w:color w:val="auto"/>
          <w:sz w:val="24"/>
        </w:rPr>
      </w:pPr>
      <w:r>
        <w:rPr>
          <w:rFonts w:hint="eastAsia" w:ascii="宋体" w:hAnsi="宋体"/>
          <w:color w:val="auto"/>
          <w:sz w:val="24"/>
        </w:rPr>
        <w:t>（六）中</w:t>
      </w:r>
      <w:r>
        <w:rPr>
          <w:rFonts w:hint="eastAsia" w:ascii="宋体" w:hAnsi="宋体"/>
          <w:color w:val="auto"/>
          <w:sz w:val="24"/>
          <w:lang w:val="en-US" w:eastAsia="zh-CN"/>
        </w:rPr>
        <w:t>选</w:t>
      </w:r>
      <w:r>
        <w:rPr>
          <w:rFonts w:hint="eastAsia" w:ascii="宋体" w:hAnsi="宋体"/>
          <w:color w:val="auto"/>
          <w:sz w:val="24"/>
        </w:rPr>
        <w:t>后</w:t>
      </w:r>
      <w:r>
        <w:rPr>
          <w:rFonts w:hint="eastAsia" w:ascii="宋体" w:hAnsi="宋体"/>
          <w:color w:val="auto"/>
          <w:sz w:val="24"/>
          <w:lang w:eastAsia="zh-CN"/>
        </w:rPr>
        <w:t>各</w:t>
      </w:r>
      <w:r>
        <w:rPr>
          <w:rFonts w:hint="eastAsia" w:ascii="宋体" w:hAnsi="宋体"/>
          <w:color w:val="auto"/>
          <w:sz w:val="24"/>
        </w:rPr>
        <w:t>代理机构与采购人签订委托代理协议，约定双方的义务和权利，在委托的范围内组织招标代理活动。</w:t>
      </w:r>
    </w:p>
    <w:p w14:paraId="32530302">
      <w:pPr>
        <w:adjustRightInd w:val="0"/>
        <w:snapToGrid w:val="0"/>
        <w:spacing w:line="500" w:lineRule="exact"/>
        <w:ind w:firstLine="480"/>
        <w:rPr>
          <w:rFonts w:ascii="宋体" w:hAnsi="宋体"/>
          <w:color w:val="auto"/>
          <w:sz w:val="24"/>
        </w:rPr>
      </w:pPr>
      <w:r>
        <w:rPr>
          <w:rFonts w:hint="eastAsia" w:ascii="宋体" w:hAnsi="宋体"/>
          <w:color w:val="auto"/>
          <w:sz w:val="24"/>
        </w:rPr>
        <w:t>（七）服务时间要求</w:t>
      </w:r>
    </w:p>
    <w:p w14:paraId="30D537B5">
      <w:pPr>
        <w:adjustRightInd w:val="0"/>
        <w:snapToGrid w:val="0"/>
        <w:spacing w:line="500" w:lineRule="exact"/>
        <w:ind w:firstLine="480"/>
        <w:rPr>
          <w:rFonts w:ascii="宋体" w:hAnsi="宋体"/>
          <w:color w:val="auto"/>
          <w:sz w:val="24"/>
        </w:rPr>
      </w:pPr>
      <w:r>
        <w:rPr>
          <w:rFonts w:hint="eastAsia" w:ascii="宋体" w:hAnsi="宋体"/>
          <w:color w:val="auto"/>
          <w:sz w:val="24"/>
        </w:rPr>
        <w:t>1.接到采购人下达的委托任务后，在</w:t>
      </w:r>
      <w:r>
        <w:rPr>
          <w:rFonts w:hint="eastAsia" w:ascii="宋体" w:hAnsi="宋体"/>
          <w:color w:val="auto"/>
          <w:sz w:val="24"/>
          <w:lang w:val="en-US" w:eastAsia="zh-CN"/>
        </w:rPr>
        <w:t>5</w:t>
      </w:r>
      <w:r>
        <w:rPr>
          <w:rFonts w:hint="eastAsia" w:ascii="宋体" w:hAnsi="宋体"/>
          <w:color w:val="auto"/>
          <w:sz w:val="24"/>
        </w:rPr>
        <w:t>个工作日内编制招标文件初稿。</w:t>
      </w:r>
    </w:p>
    <w:p w14:paraId="4A3CB47C">
      <w:pPr>
        <w:adjustRightInd w:val="0"/>
        <w:snapToGrid w:val="0"/>
        <w:spacing w:line="500" w:lineRule="exact"/>
        <w:ind w:firstLine="480"/>
        <w:rPr>
          <w:rFonts w:ascii="宋体" w:hAnsi="宋体"/>
          <w:color w:val="auto"/>
          <w:sz w:val="24"/>
        </w:rPr>
      </w:pPr>
      <w:r>
        <w:rPr>
          <w:rFonts w:hint="eastAsia" w:ascii="宋体" w:hAnsi="宋体"/>
          <w:color w:val="auto"/>
          <w:sz w:val="24"/>
        </w:rPr>
        <w:t>2.采购人确定招标文件审定版后，在</w:t>
      </w:r>
      <w:r>
        <w:rPr>
          <w:rFonts w:hint="eastAsia" w:ascii="宋体" w:hAnsi="宋体"/>
          <w:color w:val="auto"/>
          <w:sz w:val="24"/>
          <w:lang w:val="en-US" w:eastAsia="zh-CN"/>
        </w:rPr>
        <w:t>5</w:t>
      </w:r>
      <w:r>
        <w:rPr>
          <w:rFonts w:hint="eastAsia" w:ascii="宋体" w:hAnsi="宋体"/>
          <w:color w:val="auto"/>
          <w:sz w:val="24"/>
        </w:rPr>
        <w:t>个工作日内组织5名（含）专家对政府采购</w:t>
      </w:r>
    </w:p>
    <w:p w14:paraId="110A1272">
      <w:pPr>
        <w:adjustRightInd w:val="0"/>
        <w:snapToGrid w:val="0"/>
        <w:spacing w:line="500" w:lineRule="exact"/>
        <w:rPr>
          <w:rFonts w:hint="eastAsia" w:ascii="宋体" w:hAnsi="宋体" w:eastAsia="宋体"/>
          <w:color w:val="auto"/>
          <w:sz w:val="24"/>
          <w:lang w:eastAsia="zh-CN"/>
        </w:rPr>
      </w:pPr>
      <w:r>
        <w:rPr>
          <w:rFonts w:hint="eastAsia" w:ascii="宋体" w:hAnsi="宋体"/>
          <w:color w:val="auto"/>
          <w:sz w:val="24"/>
        </w:rPr>
        <w:t>限额标准以上项目的招标采购文件进行论证。</w:t>
      </w:r>
      <w:r>
        <w:rPr>
          <w:rFonts w:hint="eastAsia" w:ascii="宋体" w:hAnsi="宋体"/>
          <w:color w:val="auto"/>
          <w:sz w:val="24"/>
          <w:lang w:eastAsia="zh-CN"/>
        </w:rPr>
        <w:t>（如</w:t>
      </w:r>
      <w:r>
        <w:rPr>
          <w:rFonts w:hint="eastAsia" w:ascii="Times New Roman" w:hAnsi="Times New Roman" w:cs="Times New Roman"/>
          <w:color w:val="auto"/>
          <w:sz w:val="24"/>
          <w:szCs w:val="24"/>
          <w:lang w:val="en-US" w:eastAsia="zh-CN"/>
        </w:rPr>
        <w:t>采购人</w:t>
      </w:r>
      <w:r>
        <w:rPr>
          <w:rFonts w:hint="eastAsia" w:ascii="宋体" w:hAnsi="宋体"/>
          <w:color w:val="auto"/>
          <w:sz w:val="24"/>
          <w:lang w:eastAsia="zh-CN"/>
        </w:rPr>
        <w:t>其他非政府采购项目有需求，代理机构也应按要求执行）</w:t>
      </w:r>
    </w:p>
    <w:p w14:paraId="22D21834">
      <w:pPr>
        <w:adjustRightInd w:val="0"/>
        <w:snapToGrid w:val="0"/>
        <w:spacing w:line="500" w:lineRule="exact"/>
        <w:ind w:firstLine="480"/>
        <w:rPr>
          <w:rFonts w:ascii="宋体" w:hAnsi="宋体"/>
          <w:color w:val="auto"/>
          <w:sz w:val="24"/>
        </w:rPr>
      </w:pPr>
      <w:r>
        <w:rPr>
          <w:rFonts w:hint="eastAsia" w:ascii="宋体" w:hAnsi="宋体"/>
          <w:color w:val="auto"/>
          <w:sz w:val="24"/>
        </w:rPr>
        <w:t>3.招标采购结果确定2个工作日内将采购结果</w:t>
      </w:r>
      <w:r>
        <w:rPr>
          <w:rFonts w:hint="eastAsia" w:ascii="宋体" w:hAnsi="宋体"/>
          <w:color w:val="auto"/>
          <w:sz w:val="24"/>
          <w:lang w:eastAsia="zh-CN"/>
        </w:rPr>
        <w:t>按</w:t>
      </w:r>
      <w:r>
        <w:rPr>
          <w:rFonts w:hint="eastAsia" w:ascii="Times New Roman" w:hAnsi="Times New Roman" w:cs="Times New Roman"/>
          <w:color w:val="auto"/>
          <w:sz w:val="24"/>
          <w:szCs w:val="24"/>
          <w:lang w:val="en-US" w:eastAsia="zh-CN"/>
        </w:rPr>
        <w:t>采购人</w:t>
      </w:r>
      <w:r>
        <w:rPr>
          <w:rFonts w:hint="eastAsia" w:ascii="宋体" w:hAnsi="宋体"/>
          <w:color w:val="auto"/>
          <w:sz w:val="24"/>
          <w:lang w:eastAsia="zh-CN"/>
        </w:rPr>
        <w:t>要求将</w:t>
      </w:r>
      <w:r>
        <w:rPr>
          <w:rFonts w:hint="eastAsia" w:ascii="宋体" w:hAnsi="宋体"/>
          <w:color w:val="auto"/>
          <w:sz w:val="24"/>
        </w:rPr>
        <w:t>汇总表电子版报送</w:t>
      </w:r>
      <w:r>
        <w:rPr>
          <w:rFonts w:hint="eastAsia" w:ascii="Times New Roman" w:hAnsi="Times New Roman" w:cs="Times New Roman"/>
          <w:color w:val="auto"/>
          <w:sz w:val="24"/>
          <w:szCs w:val="24"/>
          <w:lang w:val="en-US" w:eastAsia="zh-CN"/>
        </w:rPr>
        <w:t>采购人</w:t>
      </w:r>
      <w:r>
        <w:rPr>
          <w:rFonts w:hint="eastAsia" w:ascii="宋体" w:hAnsi="宋体"/>
          <w:color w:val="auto"/>
          <w:sz w:val="24"/>
          <w:highlight w:val="none"/>
          <w:lang w:val="en-US" w:eastAsia="zh-CN"/>
        </w:rPr>
        <w:t>招标</w:t>
      </w:r>
      <w:r>
        <w:rPr>
          <w:rFonts w:hint="eastAsia" w:ascii="宋体" w:hAnsi="宋体"/>
          <w:color w:val="auto"/>
          <w:sz w:val="24"/>
        </w:rPr>
        <w:t>办。</w:t>
      </w:r>
    </w:p>
    <w:p w14:paraId="53739BCF">
      <w:pPr>
        <w:adjustRightInd w:val="0"/>
        <w:snapToGrid w:val="0"/>
        <w:spacing w:line="500" w:lineRule="exact"/>
        <w:ind w:firstLine="480"/>
        <w:rPr>
          <w:rFonts w:ascii="宋体" w:hAnsi="宋体"/>
          <w:color w:val="auto"/>
          <w:sz w:val="24"/>
        </w:rPr>
      </w:pPr>
      <w:r>
        <w:rPr>
          <w:rFonts w:hint="eastAsia" w:ascii="宋体" w:hAnsi="宋体"/>
          <w:color w:val="auto"/>
          <w:sz w:val="24"/>
        </w:rPr>
        <w:t>4.自中标公告发布之日起</w:t>
      </w:r>
      <w:r>
        <w:rPr>
          <w:rFonts w:hint="eastAsia" w:ascii="宋体" w:hAnsi="宋体"/>
          <w:color w:val="auto"/>
          <w:sz w:val="24"/>
          <w:lang w:val="en-US" w:eastAsia="zh-CN"/>
        </w:rPr>
        <w:t>30</w:t>
      </w:r>
      <w:r>
        <w:rPr>
          <w:rFonts w:hint="eastAsia" w:ascii="宋体" w:hAnsi="宋体"/>
          <w:color w:val="auto"/>
          <w:sz w:val="24"/>
        </w:rPr>
        <w:t>个工作日内，将完整的纸质版中标人</w:t>
      </w:r>
      <w:r>
        <w:rPr>
          <w:rFonts w:hint="eastAsia" w:ascii="宋体" w:hAnsi="宋体"/>
          <w:color w:val="auto"/>
          <w:sz w:val="24"/>
          <w:lang w:val="en-US" w:eastAsia="zh-CN"/>
        </w:rPr>
        <w:t>投标</w:t>
      </w:r>
      <w:r>
        <w:rPr>
          <w:rFonts w:hint="eastAsia" w:ascii="宋体" w:hAnsi="宋体"/>
          <w:color w:val="auto"/>
          <w:sz w:val="24"/>
          <w:lang w:eastAsia="zh-CN"/>
        </w:rPr>
        <w:t>文件</w:t>
      </w:r>
      <w:r>
        <w:rPr>
          <w:rFonts w:hint="eastAsia" w:ascii="宋体" w:hAnsi="宋体"/>
          <w:color w:val="auto"/>
          <w:sz w:val="24"/>
        </w:rPr>
        <w:t>2份及</w:t>
      </w:r>
    </w:p>
    <w:p w14:paraId="15EE37AD">
      <w:pPr>
        <w:adjustRightInd w:val="0"/>
        <w:snapToGrid w:val="0"/>
        <w:spacing w:line="500" w:lineRule="exact"/>
        <w:rPr>
          <w:rFonts w:hint="eastAsia" w:ascii="宋体" w:hAnsi="宋体" w:eastAsia="宋体"/>
          <w:color w:val="auto"/>
          <w:sz w:val="24"/>
          <w:lang w:eastAsia="zh-CN"/>
        </w:rPr>
      </w:pPr>
      <w:r>
        <w:rPr>
          <w:rFonts w:hint="eastAsia" w:ascii="宋体" w:hAnsi="宋体"/>
          <w:color w:val="auto"/>
          <w:sz w:val="24"/>
        </w:rPr>
        <w:t>胶装成册的归档资料</w:t>
      </w:r>
      <w:r>
        <w:rPr>
          <w:rFonts w:hint="eastAsia" w:ascii="宋体" w:hAnsi="宋体"/>
          <w:color w:val="auto"/>
          <w:sz w:val="24"/>
          <w:lang w:val="en-US" w:eastAsia="zh-CN"/>
        </w:rPr>
        <w:t>2</w:t>
      </w:r>
      <w:r>
        <w:rPr>
          <w:rFonts w:hint="eastAsia" w:ascii="宋体" w:hAnsi="宋体"/>
          <w:color w:val="auto"/>
          <w:sz w:val="24"/>
        </w:rPr>
        <w:t>份</w:t>
      </w:r>
      <w:r>
        <w:rPr>
          <w:rFonts w:hint="eastAsia" w:ascii="宋体" w:hAnsi="宋体"/>
          <w:color w:val="auto"/>
          <w:sz w:val="24"/>
          <w:lang w:eastAsia="zh-CN"/>
        </w:rPr>
        <w:t>、招投标全套资料电子版</w:t>
      </w:r>
      <w:r>
        <w:rPr>
          <w:rFonts w:hint="eastAsia" w:ascii="宋体" w:hAnsi="宋体"/>
          <w:color w:val="auto"/>
          <w:sz w:val="24"/>
          <w:lang w:val="en-US" w:eastAsia="zh-CN"/>
        </w:rPr>
        <w:t>2份</w:t>
      </w:r>
      <w:r>
        <w:rPr>
          <w:rFonts w:hint="eastAsia" w:ascii="宋体" w:hAnsi="宋体"/>
          <w:color w:val="auto"/>
          <w:sz w:val="24"/>
          <w:lang w:eastAsia="zh-CN"/>
        </w:rPr>
        <w:t>以</w:t>
      </w:r>
      <w:r>
        <w:rPr>
          <w:rFonts w:hint="eastAsia" w:ascii="宋体" w:hAnsi="宋体"/>
          <w:color w:val="auto"/>
          <w:sz w:val="24"/>
          <w:lang w:val="en-US" w:eastAsia="zh-CN"/>
        </w:rPr>
        <w:t>U盘或采购人要求的其他形式</w:t>
      </w:r>
      <w:r>
        <w:rPr>
          <w:rFonts w:hint="eastAsia" w:ascii="宋体" w:hAnsi="宋体"/>
          <w:color w:val="auto"/>
          <w:sz w:val="24"/>
        </w:rPr>
        <w:t>移交给采购人</w:t>
      </w:r>
      <w:r>
        <w:rPr>
          <w:rFonts w:hint="eastAsia" w:ascii="宋体" w:hAnsi="宋体"/>
          <w:color w:val="auto"/>
          <w:sz w:val="24"/>
          <w:lang w:eastAsia="zh-CN"/>
        </w:rPr>
        <w:t>，所有移交的归档纸质版资料代理机构应加盖公章和骑缝章。</w:t>
      </w:r>
    </w:p>
    <w:p w14:paraId="75FC4E15">
      <w:pPr>
        <w:adjustRightInd w:val="0"/>
        <w:snapToGrid w:val="0"/>
        <w:spacing w:line="500" w:lineRule="exact"/>
        <w:ind w:firstLine="480" w:firstLineChars="200"/>
        <w:rPr>
          <w:rFonts w:ascii="宋体" w:hAnsi="宋体"/>
          <w:color w:val="auto"/>
          <w:sz w:val="24"/>
        </w:rPr>
      </w:pPr>
      <w:r>
        <w:rPr>
          <w:rFonts w:hint="eastAsia" w:ascii="宋体" w:hAnsi="宋体"/>
          <w:color w:val="auto"/>
          <w:sz w:val="24"/>
        </w:rPr>
        <w:t>（八）服务质量要求</w:t>
      </w:r>
    </w:p>
    <w:p w14:paraId="2AC1F382">
      <w:pPr>
        <w:adjustRightInd w:val="0"/>
        <w:snapToGrid w:val="0"/>
        <w:spacing w:line="500" w:lineRule="exact"/>
        <w:ind w:firstLine="480"/>
        <w:rPr>
          <w:rFonts w:ascii="宋体" w:hAnsi="宋体"/>
          <w:color w:val="auto"/>
          <w:sz w:val="24"/>
        </w:rPr>
      </w:pPr>
      <w:r>
        <w:rPr>
          <w:rFonts w:hint="eastAsia" w:ascii="宋体" w:hAnsi="宋体"/>
          <w:color w:val="auto"/>
          <w:sz w:val="24"/>
        </w:rPr>
        <w:t>1.采购程序规范：招标（采购）信息发布前，必须经过代理机构内部审查和采购</w:t>
      </w:r>
    </w:p>
    <w:p w14:paraId="712C2C6E">
      <w:pPr>
        <w:adjustRightInd w:val="0"/>
        <w:snapToGrid w:val="0"/>
        <w:spacing w:line="500" w:lineRule="exact"/>
        <w:rPr>
          <w:rFonts w:ascii="宋体" w:hAnsi="宋体"/>
          <w:color w:val="auto"/>
          <w:sz w:val="24"/>
        </w:rPr>
      </w:pPr>
      <w:r>
        <w:rPr>
          <w:rFonts w:hint="eastAsia" w:ascii="宋体" w:hAnsi="宋体"/>
          <w:color w:val="auto"/>
          <w:sz w:val="24"/>
        </w:rPr>
        <w:t>人签署“同意发布”意见后，方可发布。采购方式选择合理，招标采购程序严格按照国</w:t>
      </w:r>
    </w:p>
    <w:p w14:paraId="7D2DA2CD">
      <w:pPr>
        <w:adjustRightInd w:val="0"/>
        <w:snapToGrid w:val="0"/>
        <w:spacing w:line="500" w:lineRule="exact"/>
        <w:rPr>
          <w:rFonts w:ascii="宋体" w:hAnsi="宋体"/>
          <w:color w:val="auto"/>
          <w:sz w:val="24"/>
        </w:rPr>
      </w:pPr>
      <w:r>
        <w:rPr>
          <w:rFonts w:hint="eastAsia" w:ascii="宋体" w:hAnsi="宋体"/>
          <w:color w:val="auto"/>
          <w:sz w:val="24"/>
        </w:rPr>
        <w:t>家相关法律法规和</w:t>
      </w:r>
      <w:r>
        <w:rPr>
          <w:rFonts w:hint="eastAsia" w:ascii="Times New Roman" w:hAnsi="Times New Roman" w:cs="Times New Roman"/>
          <w:color w:val="auto"/>
          <w:sz w:val="24"/>
          <w:szCs w:val="24"/>
          <w:lang w:val="en-US" w:eastAsia="zh-CN"/>
        </w:rPr>
        <w:t>采购人</w:t>
      </w:r>
      <w:r>
        <w:rPr>
          <w:rFonts w:hint="eastAsia" w:ascii="宋体" w:hAnsi="宋体"/>
          <w:color w:val="auto"/>
          <w:sz w:val="24"/>
        </w:rPr>
        <w:t>招标采购规章制度执行。代理机构代理的公开招标项目必须在</w:t>
      </w:r>
      <w:r>
        <w:rPr>
          <w:rFonts w:hint="eastAsia" w:ascii="宋体" w:hAnsi="宋体"/>
          <w:color w:val="auto"/>
          <w:sz w:val="24"/>
          <w:lang w:eastAsia="zh-CN"/>
        </w:rPr>
        <w:t>法律法规规定的场所</w:t>
      </w:r>
      <w:r>
        <w:rPr>
          <w:rFonts w:hint="eastAsia" w:ascii="宋体" w:hAnsi="宋体"/>
          <w:color w:val="auto"/>
          <w:sz w:val="24"/>
        </w:rPr>
        <w:t>进行开、评标活动。依法组建评标委员会。</w:t>
      </w:r>
    </w:p>
    <w:p w14:paraId="2D5FA71D">
      <w:pPr>
        <w:adjustRightInd w:val="0"/>
        <w:snapToGrid w:val="0"/>
        <w:spacing w:line="500" w:lineRule="exact"/>
        <w:ind w:firstLine="480"/>
        <w:rPr>
          <w:rFonts w:ascii="宋体" w:hAnsi="宋体"/>
          <w:color w:val="auto"/>
          <w:sz w:val="24"/>
        </w:rPr>
      </w:pPr>
      <w:r>
        <w:rPr>
          <w:rFonts w:hint="eastAsia" w:ascii="宋体" w:hAnsi="宋体"/>
          <w:color w:val="auto"/>
          <w:sz w:val="24"/>
        </w:rPr>
        <w:t>2.文件编制质量：内容全面、准确；条款分明、结构严谨；资格条件的设置、评审</w:t>
      </w:r>
    </w:p>
    <w:p w14:paraId="4F8EB9F4">
      <w:pPr>
        <w:adjustRightInd w:val="0"/>
        <w:snapToGrid w:val="0"/>
        <w:spacing w:line="500" w:lineRule="exact"/>
        <w:rPr>
          <w:rFonts w:ascii="宋体" w:hAnsi="宋体"/>
          <w:color w:val="auto"/>
          <w:sz w:val="24"/>
        </w:rPr>
      </w:pPr>
      <w:r>
        <w:rPr>
          <w:rFonts w:hint="eastAsia" w:ascii="宋体" w:hAnsi="宋体"/>
          <w:color w:val="auto"/>
          <w:sz w:val="24"/>
        </w:rPr>
        <w:t>标准的确定要科学合理，不受任何单位和个人的非法</w:t>
      </w:r>
      <w:r>
        <w:rPr>
          <w:rFonts w:hint="eastAsia" w:ascii="宋体" w:hAnsi="宋体"/>
          <w:color w:val="auto"/>
          <w:sz w:val="24"/>
          <w:lang w:val="en-US" w:eastAsia="zh-CN"/>
        </w:rPr>
        <w:t>干</w:t>
      </w:r>
      <w:r>
        <w:rPr>
          <w:rFonts w:hint="eastAsia" w:ascii="宋体" w:hAnsi="宋体"/>
          <w:color w:val="auto"/>
          <w:sz w:val="24"/>
        </w:rPr>
        <w:t>预和影响。代理机构对招标采购</w:t>
      </w:r>
    </w:p>
    <w:p w14:paraId="180C1ABB">
      <w:pPr>
        <w:adjustRightInd w:val="0"/>
        <w:snapToGrid w:val="0"/>
        <w:spacing w:line="500" w:lineRule="exact"/>
        <w:rPr>
          <w:rFonts w:ascii="宋体" w:hAnsi="宋体"/>
          <w:color w:val="auto"/>
          <w:sz w:val="24"/>
        </w:rPr>
      </w:pPr>
      <w:r>
        <w:rPr>
          <w:rFonts w:hint="eastAsia" w:ascii="宋体" w:hAnsi="宋体"/>
          <w:color w:val="auto"/>
          <w:sz w:val="24"/>
        </w:rPr>
        <w:t>文件的合法性</w:t>
      </w:r>
      <w:r>
        <w:rPr>
          <w:rFonts w:hint="eastAsia" w:ascii="宋体" w:hAnsi="宋体"/>
          <w:color w:val="auto"/>
          <w:sz w:val="24"/>
          <w:lang w:val="en-US" w:eastAsia="zh-CN"/>
        </w:rPr>
        <w:t>和准确性</w:t>
      </w:r>
      <w:r>
        <w:rPr>
          <w:rFonts w:hint="eastAsia" w:ascii="宋体" w:hAnsi="宋体"/>
          <w:color w:val="auto"/>
          <w:sz w:val="24"/>
        </w:rPr>
        <w:t>负全部责任，若招标（采购）文件中出现不合理条款和歧视性内容，采购人将依法追究代理机构责任。</w:t>
      </w:r>
    </w:p>
    <w:p w14:paraId="37559F35">
      <w:pPr>
        <w:adjustRightInd w:val="0"/>
        <w:snapToGrid w:val="0"/>
        <w:spacing w:line="500" w:lineRule="exact"/>
        <w:ind w:firstLine="480"/>
        <w:rPr>
          <w:rFonts w:ascii="宋体" w:hAnsi="宋体"/>
          <w:color w:val="auto"/>
          <w:sz w:val="24"/>
        </w:rPr>
      </w:pPr>
      <w:r>
        <w:rPr>
          <w:rFonts w:hint="eastAsia" w:ascii="宋体" w:hAnsi="宋体"/>
          <w:color w:val="auto"/>
          <w:sz w:val="24"/>
        </w:rPr>
        <w:t>3.服务团队要求：项目负责人负责采购人所委托项目的</w:t>
      </w:r>
      <w:r>
        <w:rPr>
          <w:rFonts w:hint="eastAsia" w:ascii="宋体" w:hAnsi="宋体"/>
          <w:color w:val="auto"/>
          <w:sz w:val="24"/>
          <w:lang w:val="en-US" w:eastAsia="zh-CN"/>
        </w:rPr>
        <w:t>总体协调、沟通工作，接受采购法律法规咨询，负责</w:t>
      </w:r>
      <w:r>
        <w:rPr>
          <w:rFonts w:hint="eastAsia" w:ascii="宋体" w:hAnsi="宋体"/>
          <w:color w:val="auto"/>
          <w:sz w:val="24"/>
        </w:rPr>
        <w:t>采购人所委托项目的采购文件编制及开</w:t>
      </w:r>
      <w:r>
        <w:rPr>
          <w:rFonts w:hint="eastAsia" w:ascii="宋体" w:hAnsi="宋体"/>
          <w:color w:val="auto"/>
          <w:sz w:val="24"/>
          <w:lang w:val="en-US" w:eastAsia="zh-CN"/>
        </w:rPr>
        <w:t>评</w:t>
      </w:r>
      <w:r>
        <w:rPr>
          <w:rFonts w:hint="eastAsia" w:ascii="宋体" w:hAnsi="宋体"/>
          <w:color w:val="auto"/>
          <w:sz w:val="24"/>
        </w:rPr>
        <w:t xml:space="preserve">标工作。工作人员原则上不得随意调换、调离和辞退，确需调整的，须提前15日，以书面形式报告采购人，并附补充人员的基本情况表，经采购人认可后方可代理招标采购业务。 </w:t>
      </w:r>
    </w:p>
    <w:p w14:paraId="3BD6A493">
      <w:pPr>
        <w:numPr>
          <w:ilvl w:val="0"/>
          <w:numId w:val="0"/>
        </w:numPr>
        <w:adjustRightInd w:val="0"/>
        <w:snapToGrid w:val="0"/>
        <w:spacing w:line="500" w:lineRule="exact"/>
        <w:ind w:firstLine="480" w:firstLineChars="0"/>
        <w:rPr>
          <w:rFonts w:hint="default" w:eastAsia="宋体"/>
          <w:color w:val="auto"/>
          <w:sz w:val="24"/>
          <w:lang w:val="en-US" w:eastAsia="zh-CN"/>
        </w:rPr>
      </w:pPr>
      <w:r>
        <w:rPr>
          <w:rFonts w:hint="eastAsia"/>
          <w:color w:val="auto"/>
          <w:sz w:val="24"/>
          <w:lang w:eastAsia="zh-CN"/>
        </w:rPr>
        <w:t>（</w:t>
      </w:r>
      <w:r>
        <w:rPr>
          <w:rFonts w:hint="eastAsia"/>
          <w:color w:val="auto"/>
          <w:sz w:val="24"/>
          <w:lang w:val="en-US" w:eastAsia="zh-CN"/>
        </w:rPr>
        <w:t>九</w:t>
      </w:r>
      <w:r>
        <w:rPr>
          <w:rFonts w:hint="eastAsia"/>
          <w:color w:val="auto"/>
          <w:sz w:val="24"/>
          <w:lang w:eastAsia="zh-CN"/>
        </w:rPr>
        <w:t>）</w:t>
      </w:r>
      <w:r>
        <w:rPr>
          <w:rFonts w:hint="eastAsia"/>
          <w:color w:val="auto"/>
          <w:sz w:val="24"/>
        </w:rPr>
        <w:t>依法组织开标、评标和定标（或推荐中标候选人）的工作，采取必要措施，保证此项工作在安全、保密的情况下进行，防止任何单位和个人非法干预、影响评标过程和结果。</w:t>
      </w:r>
      <w:r>
        <w:rPr>
          <w:rFonts w:hint="eastAsia"/>
          <w:color w:val="auto"/>
          <w:sz w:val="24"/>
          <w:lang w:val="en-US" w:eastAsia="zh-CN"/>
        </w:rPr>
        <w:t>采购代理机构及其所有工作人员有义务保守采购活动中的有关商业秘密。</w:t>
      </w:r>
    </w:p>
    <w:p w14:paraId="320B08D1">
      <w:pPr>
        <w:numPr>
          <w:ilvl w:val="0"/>
          <w:numId w:val="0"/>
        </w:numPr>
        <w:adjustRightInd w:val="0"/>
        <w:snapToGrid w:val="0"/>
        <w:spacing w:line="500" w:lineRule="exact"/>
        <w:ind w:firstLine="480" w:firstLineChars="0"/>
        <w:rPr>
          <w:color w:val="auto"/>
          <w:sz w:val="24"/>
        </w:rPr>
      </w:pPr>
      <w:r>
        <w:rPr>
          <w:rFonts w:hint="eastAsia" w:ascii="Times New Roman" w:hAnsi="Times New Roman" w:eastAsia="宋体" w:cs="Times New Roman"/>
          <w:color w:val="auto"/>
          <w:kern w:val="2"/>
          <w:sz w:val="24"/>
          <w:szCs w:val="24"/>
          <w:lang w:val="en-US" w:eastAsia="zh-CN" w:bidi="ar-SA"/>
        </w:rPr>
        <w:t>（十）</w:t>
      </w:r>
      <w:r>
        <w:rPr>
          <w:rFonts w:hint="eastAsia"/>
          <w:color w:val="auto"/>
          <w:sz w:val="24"/>
        </w:rPr>
        <w:t>确定中标候选人（成交人）后，要依法公开招标（采购）结果，依法签发</w:t>
      </w:r>
    </w:p>
    <w:p w14:paraId="14701393">
      <w:pPr>
        <w:adjustRightInd w:val="0"/>
        <w:snapToGrid w:val="0"/>
        <w:spacing w:line="500" w:lineRule="exact"/>
        <w:rPr>
          <w:color w:val="auto"/>
          <w:sz w:val="24"/>
        </w:rPr>
      </w:pPr>
      <w:r>
        <w:rPr>
          <w:rFonts w:hint="eastAsia"/>
          <w:color w:val="auto"/>
          <w:sz w:val="24"/>
        </w:rPr>
        <w:t>《中标通知书》，组织签订合同，依法做好对招标项目的归档和备案工作。</w:t>
      </w:r>
    </w:p>
    <w:p w14:paraId="0BDA4784">
      <w:pPr>
        <w:numPr>
          <w:ilvl w:val="0"/>
          <w:numId w:val="0"/>
        </w:numPr>
        <w:adjustRightInd w:val="0"/>
        <w:snapToGrid w:val="0"/>
        <w:spacing w:line="500" w:lineRule="exact"/>
        <w:ind w:firstLine="480" w:firstLineChars="0"/>
        <w:rPr>
          <w:color w:val="auto"/>
          <w:sz w:val="24"/>
        </w:rPr>
      </w:pPr>
      <w:r>
        <w:rPr>
          <w:rFonts w:hint="eastAsia" w:ascii="Times New Roman" w:hAnsi="Times New Roman" w:eastAsia="宋体" w:cs="Times New Roman"/>
          <w:color w:val="auto"/>
          <w:kern w:val="2"/>
          <w:sz w:val="24"/>
          <w:szCs w:val="24"/>
          <w:lang w:val="en-US" w:eastAsia="zh-CN" w:bidi="ar-SA"/>
        </w:rPr>
        <w:t>（十</w:t>
      </w:r>
      <w:r>
        <w:rPr>
          <w:rFonts w:hint="eastAsia" w:cs="Times New Roman"/>
          <w:color w:val="auto"/>
          <w:kern w:val="2"/>
          <w:sz w:val="24"/>
          <w:szCs w:val="24"/>
          <w:lang w:val="en-US" w:eastAsia="zh-CN" w:bidi="ar-SA"/>
        </w:rPr>
        <w:t>一</w:t>
      </w:r>
      <w:r>
        <w:rPr>
          <w:rFonts w:hint="eastAsia" w:ascii="Times New Roman" w:hAnsi="Times New Roman" w:eastAsia="宋体" w:cs="Times New Roman"/>
          <w:color w:val="auto"/>
          <w:kern w:val="2"/>
          <w:sz w:val="24"/>
          <w:szCs w:val="24"/>
          <w:lang w:val="en-US" w:eastAsia="zh-CN" w:bidi="ar-SA"/>
        </w:rPr>
        <w:t>）</w:t>
      </w:r>
      <w:r>
        <w:rPr>
          <w:rFonts w:hint="eastAsia"/>
          <w:color w:val="auto"/>
          <w:sz w:val="24"/>
        </w:rPr>
        <w:t>依法受理供应商的询问和质疑，对供应商的询问和质疑及时正确地以书面</w:t>
      </w:r>
    </w:p>
    <w:p w14:paraId="6EF857B7">
      <w:pPr>
        <w:adjustRightInd w:val="0"/>
        <w:snapToGrid w:val="0"/>
        <w:spacing w:line="500" w:lineRule="exact"/>
        <w:rPr>
          <w:color w:val="auto"/>
          <w:sz w:val="24"/>
        </w:rPr>
      </w:pPr>
      <w:r>
        <w:rPr>
          <w:rFonts w:hint="eastAsia"/>
          <w:color w:val="auto"/>
          <w:sz w:val="24"/>
        </w:rPr>
        <w:t>形式予以答复。</w:t>
      </w:r>
    </w:p>
    <w:p w14:paraId="790505BB">
      <w:pPr>
        <w:numPr>
          <w:ilvl w:val="0"/>
          <w:numId w:val="0"/>
        </w:numPr>
        <w:adjustRightInd w:val="0"/>
        <w:snapToGrid w:val="0"/>
        <w:spacing w:line="500" w:lineRule="exact"/>
        <w:ind w:firstLine="480" w:firstLineChars="0"/>
        <w:rPr>
          <w:color w:val="auto"/>
          <w:sz w:val="24"/>
        </w:rPr>
      </w:pPr>
      <w:r>
        <w:rPr>
          <w:rFonts w:hint="eastAsia" w:ascii="Times New Roman" w:hAnsi="Times New Roman" w:eastAsia="宋体" w:cs="Times New Roman"/>
          <w:color w:val="auto"/>
          <w:kern w:val="2"/>
          <w:sz w:val="24"/>
          <w:szCs w:val="24"/>
          <w:lang w:val="en-US" w:eastAsia="zh-CN" w:bidi="ar-SA"/>
        </w:rPr>
        <w:t>（十</w:t>
      </w:r>
      <w:r>
        <w:rPr>
          <w:rFonts w:hint="eastAsia" w:cs="Times New Roman"/>
          <w:color w:val="auto"/>
          <w:kern w:val="2"/>
          <w:sz w:val="24"/>
          <w:szCs w:val="24"/>
          <w:lang w:val="en-US" w:eastAsia="zh-CN" w:bidi="ar-SA"/>
        </w:rPr>
        <w:t>二</w:t>
      </w:r>
      <w:r>
        <w:rPr>
          <w:rFonts w:hint="eastAsia" w:ascii="Times New Roman" w:hAnsi="Times New Roman" w:eastAsia="宋体" w:cs="Times New Roman"/>
          <w:color w:val="auto"/>
          <w:kern w:val="2"/>
          <w:sz w:val="24"/>
          <w:szCs w:val="24"/>
          <w:lang w:val="en-US" w:eastAsia="zh-CN" w:bidi="ar-SA"/>
        </w:rPr>
        <w:t>）</w:t>
      </w:r>
      <w:r>
        <w:rPr>
          <w:rFonts w:hint="eastAsia"/>
          <w:color w:val="auto"/>
          <w:sz w:val="24"/>
        </w:rPr>
        <w:t>自觉接受</w:t>
      </w:r>
      <w:r>
        <w:rPr>
          <w:rFonts w:hint="eastAsia" w:ascii="Times New Roman" w:hAnsi="Times New Roman" w:cs="Times New Roman"/>
          <w:color w:val="auto"/>
          <w:sz w:val="24"/>
          <w:szCs w:val="24"/>
          <w:lang w:val="en-US" w:eastAsia="zh-CN"/>
        </w:rPr>
        <w:t>采购人</w:t>
      </w:r>
      <w:r>
        <w:rPr>
          <w:rFonts w:hint="eastAsia"/>
          <w:color w:val="auto"/>
          <w:sz w:val="24"/>
        </w:rPr>
        <w:t>等有关部门依法进行的监督检查和考核工作，不得反映虚假情况，提供虚假材料。拒绝检查的</w:t>
      </w:r>
      <w:r>
        <w:rPr>
          <w:rFonts w:hint="eastAsia"/>
          <w:color w:val="auto"/>
          <w:sz w:val="24"/>
          <w:lang w:eastAsia="zh-CN"/>
        </w:rPr>
        <w:t>，</w:t>
      </w:r>
      <w:r>
        <w:rPr>
          <w:rFonts w:hint="eastAsia"/>
          <w:color w:val="auto"/>
          <w:sz w:val="24"/>
          <w:lang w:val="en-US" w:eastAsia="zh-CN"/>
        </w:rPr>
        <w:t>采购人有权解除合同</w:t>
      </w:r>
      <w:r>
        <w:rPr>
          <w:rFonts w:hint="eastAsia"/>
          <w:color w:val="auto"/>
          <w:sz w:val="24"/>
        </w:rPr>
        <w:t>。</w:t>
      </w:r>
    </w:p>
    <w:p w14:paraId="7FD9D97C">
      <w:pPr>
        <w:numPr>
          <w:ilvl w:val="0"/>
          <w:numId w:val="0"/>
        </w:numPr>
        <w:adjustRightInd w:val="0"/>
        <w:snapToGrid w:val="0"/>
        <w:spacing w:line="500" w:lineRule="exact"/>
        <w:ind w:firstLine="480" w:firstLineChars="0"/>
        <w:rPr>
          <w:color w:val="auto"/>
          <w:sz w:val="24"/>
        </w:rPr>
      </w:pPr>
      <w:r>
        <w:rPr>
          <w:rFonts w:hint="eastAsia" w:ascii="Times New Roman" w:hAnsi="Times New Roman" w:eastAsia="宋体" w:cs="Times New Roman"/>
          <w:color w:val="auto"/>
          <w:kern w:val="2"/>
          <w:sz w:val="24"/>
          <w:szCs w:val="24"/>
          <w:lang w:val="en-US" w:eastAsia="zh-CN" w:bidi="ar-SA"/>
        </w:rPr>
        <w:t>（十</w:t>
      </w:r>
      <w:r>
        <w:rPr>
          <w:rFonts w:hint="eastAsia" w:cs="Times New Roman"/>
          <w:color w:val="auto"/>
          <w:kern w:val="2"/>
          <w:sz w:val="24"/>
          <w:szCs w:val="24"/>
          <w:lang w:val="en-US" w:eastAsia="zh-CN" w:bidi="ar-SA"/>
        </w:rPr>
        <w:t>三</w:t>
      </w:r>
      <w:r>
        <w:rPr>
          <w:rFonts w:hint="eastAsia" w:ascii="Times New Roman" w:hAnsi="Times New Roman" w:eastAsia="宋体" w:cs="Times New Roman"/>
          <w:color w:val="auto"/>
          <w:kern w:val="2"/>
          <w:sz w:val="24"/>
          <w:szCs w:val="24"/>
          <w:lang w:val="en-US" w:eastAsia="zh-CN" w:bidi="ar-SA"/>
        </w:rPr>
        <w:t>）</w:t>
      </w:r>
      <w:r>
        <w:rPr>
          <w:rFonts w:hint="eastAsia"/>
          <w:color w:val="auto"/>
          <w:sz w:val="24"/>
        </w:rPr>
        <w:t>积极组织和参加行业相关法律、法规等知识的培训工作，不断加强执业能</w:t>
      </w:r>
    </w:p>
    <w:p w14:paraId="233A7629">
      <w:pPr>
        <w:adjustRightInd w:val="0"/>
        <w:snapToGrid w:val="0"/>
        <w:spacing w:line="500" w:lineRule="exact"/>
        <w:rPr>
          <w:color w:val="auto"/>
          <w:sz w:val="24"/>
        </w:rPr>
      </w:pPr>
      <w:r>
        <w:rPr>
          <w:rFonts w:hint="eastAsia"/>
          <w:color w:val="auto"/>
          <w:sz w:val="24"/>
        </w:rPr>
        <w:t>力建设，提高从业人员的职业道德和专业技术水平。</w:t>
      </w:r>
    </w:p>
    <w:p w14:paraId="5FCF42D0">
      <w:pPr>
        <w:numPr>
          <w:ilvl w:val="0"/>
          <w:numId w:val="0"/>
        </w:numPr>
        <w:adjustRightInd w:val="0"/>
        <w:snapToGrid w:val="0"/>
        <w:spacing w:line="500" w:lineRule="exact"/>
        <w:ind w:firstLine="480" w:firstLineChars="0"/>
        <w:rPr>
          <w:rFonts w:ascii="宋体" w:hAnsi="宋体"/>
          <w:color w:val="auto"/>
          <w:sz w:val="24"/>
        </w:rPr>
      </w:pPr>
      <w:r>
        <w:rPr>
          <w:rFonts w:hint="eastAsia" w:ascii="宋体" w:hAnsi="宋体" w:eastAsia="宋体" w:cs="Times New Roman"/>
          <w:color w:val="auto"/>
          <w:kern w:val="2"/>
          <w:sz w:val="24"/>
          <w:szCs w:val="24"/>
          <w:lang w:val="en-US" w:eastAsia="zh-CN" w:bidi="ar-SA"/>
        </w:rPr>
        <w:t>（十</w:t>
      </w:r>
      <w:r>
        <w:rPr>
          <w:rFonts w:hint="eastAsia" w:ascii="宋体" w:hAnsi="宋体" w:cs="Times New Roman"/>
          <w:color w:val="auto"/>
          <w:kern w:val="2"/>
          <w:sz w:val="24"/>
          <w:szCs w:val="24"/>
          <w:lang w:val="en-US" w:eastAsia="zh-CN" w:bidi="ar-SA"/>
        </w:rPr>
        <w:t>四</w:t>
      </w:r>
      <w:r>
        <w:rPr>
          <w:rFonts w:hint="eastAsia" w:ascii="宋体" w:hAnsi="宋体" w:eastAsia="宋体" w:cs="Times New Roman"/>
          <w:color w:val="auto"/>
          <w:kern w:val="2"/>
          <w:sz w:val="24"/>
          <w:szCs w:val="24"/>
          <w:lang w:val="en-US" w:eastAsia="zh-CN" w:bidi="ar-SA"/>
        </w:rPr>
        <w:t>）</w:t>
      </w:r>
      <w:r>
        <w:rPr>
          <w:rFonts w:hint="eastAsia"/>
          <w:color w:val="auto"/>
          <w:sz w:val="24"/>
        </w:rPr>
        <w:t>其他未尽事宜，要严格执行行业相关法律、法规</w:t>
      </w:r>
      <w:r>
        <w:rPr>
          <w:rFonts w:hint="eastAsia" w:ascii="宋体" w:hAnsi="宋体"/>
          <w:color w:val="auto"/>
          <w:sz w:val="24"/>
        </w:rPr>
        <w:t>和规章制度，执行招标采</w:t>
      </w:r>
    </w:p>
    <w:p w14:paraId="7D386006">
      <w:pPr>
        <w:adjustRightInd w:val="0"/>
        <w:snapToGrid w:val="0"/>
        <w:spacing w:line="500" w:lineRule="exact"/>
        <w:rPr>
          <w:rFonts w:hint="eastAsia" w:ascii="宋体" w:hAnsi="宋体"/>
          <w:color w:val="auto"/>
          <w:sz w:val="24"/>
        </w:rPr>
      </w:pPr>
      <w:r>
        <w:rPr>
          <w:rFonts w:hint="eastAsia" w:ascii="宋体" w:hAnsi="宋体"/>
          <w:color w:val="auto"/>
          <w:sz w:val="24"/>
        </w:rPr>
        <w:t>购监督管理办法和规定。</w:t>
      </w:r>
    </w:p>
    <w:p w14:paraId="1C608A78">
      <w:pPr>
        <w:keepNext w:val="0"/>
        <w:keepLines w:val="0"/>
        <w:pageBreakBefore w:val="0"/>
        <w:widowControl w:val="0"/>
        <w:numPr>
          <w:ilvl w:val="0"/>
          <w:numId w:val="5"/>
        </w:numPr>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color w:val="auto"/>
          <w:sz w:val="24"/>
          <w:lang w:eastAsia="zh-CN"/>
        </w:rPr>
      </w:pPr>
      <w:r>
        <w:rPr>
          <w:rFonts w:hint="eastAsia" w:ascii="宋体" w:hAnsi="宋体"/>
          <w:color w:val="auto"/>
          <w:sz w:val="24"/>
          <w:lang w:eastAsia="zh-CN"/>
        </w:rPr>
        <w:t>各代理机构应在相关法律法规更新时，及时将相关文件信息传达给</w:t>
      </w:r>
      <w:r>
        <w:rPr>
          <w:rFonts w:hint="eastAsia" w:ascii="Times New Roman" w:hAnsi="Times New Roman" w:cs="Times New Roman"/>
          <w:color w:val="auto"/>
          <w:sz w:val="24"/>
          <w:szCs w:val="24"/>
          <w:lang w:val="en-US" w:eastAsia="zh-CN"/>
        </w:rPr>
        <w:t>采购人</w:t>
      </w:r>
      <w:r>
        <w:rPr>
          <w:rFonts w:hint="eastAsia" w:ascii="宋体" w:hAnsi="宋体"/>
          <w:color w:val="auto"/>
          <w:sz w:val="24"/>
          <w:lang w:eastAsia="zh-CN"/>
        </w:rPr>
        <w:t>招标办，有重大变化的，应按招标办要求为</w:t>
      </w:r>
      <w:r>
        <w:rPr>
          <w:rFonts w:hint="eastAsia" w:ascii="Times New Roman" w:hAnsi="Times New Roman" w:cs="Times New Roman"/>
          <w:color w:val="auto"/>
          <w:sz w:val="24"/>
          <w:szCs w:val="24"/>
          <w:lang w:val="en-US" w:eastAsia="zh-CN"/>
        </w:rPr>
        <w:t>采购人</w:t>
      </w:r>
      <w:r>
        <w:rPr>
          <w:rFonts w:hint="eastAsia" w:ascii="宋体" w:hAnsi="宋体"/>
          <w:color w:val="auto"/>
          <w:sz w:val="24"/>
          <w:lang w:eastAsia="zh-CN"/>
        </w:rPr>
        <w:t>提供政策解读、宣讲服务。</w:t>
      </w:r>
    </w:p>
    <w:p w14:paraId="75A3FCDD">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color w:val="auto"/>
          <w:sz w:val="24"/>
          <w:lang w:eastAsia="zh-CN"/>
        </w:rPr>
      </w:pPr>
      <w:r>
        <w:rPr>
          <w:rFonts w:hint="eastAsia" w:ascii="宋体" w:hAnsi="宋体"/>
          <w:color w:val="auto"/>
          <w:sz w:val="24"/>
        </w:rPr>
        <w:t>★</w:t>
      </w:r>
      <w:r>
        <w:rPr>
          <w:rFonts w:hint="eastAsia" w:ascii="宋体" w:hAnsi="宋体"/>
          <w:color w:val="auto"/>
          <w:sz w:val="24"/>
          <w:lang w:eastAsia="zh-CN"/>
        </w:rPr>
        <w:t>（十六）各代理机构应根据</w:t>
      </w:r>
      <w:r>
        <w:rPr>
          <w:rFonts w:hint="eastAsia" w:ascii="宋体" w:hAnsi="宋体"/>
          <w:color w:val="auto"/>
          <w:sz w:val="24"/>
          <w:lang w:val="en-US" w:eastAsia="zh-CN"/>
        </w:rPr>
        <w:t>采购人</w:t>
      </w:r>
      <w:r>
        <w:rPr>
          <w:rFonts w:hint="eastAsia" w:ascii="宋体" w:hAnsi="宋体"/>
          <w:color w:val="auto"/>
          <w:sz w:val="24"/>
          <w:lang w:eastAsia="zh-CN"/>
        </w:rPr>
        <w:t>要求无条件免费提供符合相关法律法规规定的开标服务，包括开标场所、录音录像、提供评委库供</w:t>
      </w:r>
      <w:r>
        <w:rPr>
          <w:rFonts w:hint="eastAsia" w:ascii="宋体" w:hAnsi="宋体"/>
          <w:color w:val="auto"/>
          <w:sz w:val="24"/>
          <w:lang w:val="en-US" w:eastAsia="zh-CN"/>
        </w:rPr>
        <w:t>采购人</w:t>
      </w:r>
      <w:r>
        <w:rPr>
          <w:rFonts w:hint="eastAsia" w:ascii="宋体" w:hAnsi="宋体"/>
          <w:color w:val="auto"/>
          <w:sz w:val="24"/>
          <w:lang w:eastAsia="zh-CN"/>
        </w:rPr>
        <w:t>抽取评委等，如</w:t>
      </w:r>
      <w:r>
        <w:rPr>
          <w:rFonts w:hint="eastAsia" w:ascii="Times New Roman" w:hAnsi="Times New Roman" w:cs="Times New Roman"/>
          <w:color w:val="auto"/>
          <w:sz w:val="24"/>
          <w:szCs w:val="24"/>
          <w:lang w:val="en-US" w:eastAsia="zh-CN"/>
        </w:rPr>
        <w:t>采购人</w:t>
      </w:r>
      <w:r>
        <w:rPr>
          <w:rFonts w:hint="eastAsia" w:ascii="宋体" w:hAnsi="宋体"/>
          <w:color w:val="auto"/>
          <w:sz w:val="24"/>
          <w:lang w:eastAsia="zh-CN"/>
        </w:rPr>
        <w:t>要求在娄底市区线下开标，各代理机构也应免费提供相关服务。</w:t>
      </w:r>
    </w:p>
    <w:p w14:paraId="2144681B">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color w:val="auto"/>
          <w:sz w:val="24"/>
          <w:lang w:eastAsia="zh-CN"/>
        </w:rPr>
      </w:pPr>
      <w:r>
        <w:rPr>
          <w:rFonts w:hint="eastAsia" w:ascii="宋体" w:hAnsi="宋体"/>
          <w:color w:val="auto"/>
          <w:sz w:val="24"/>
        </w:rPr>
        <w:t>★</w:t>
      </w:r>
      <w:r>
        <w:rPr>
          <w:rFonts w:hint="eastAsia" w:ascii="宋体" w:hAnsi="宋体"/>
          <w:color w:val="auto"/>
          <w:sz w:val="24"/>
          <w:lang w:val="en-US" w:eastAsia="zh-CN"/>
        </w:rPr>
        <w:t>（十七）包1的供应商在履行</w:t>
      </w:r>
      <w:r>
        <w:rPr>
          <w:rFonts w:hint="eastAsia" w:ascii="宋体" w:hAnsi="宋体" w:cs="宋体"/>
          <w:color w:val="auto"/>
          <w:sz w:val="24"/>
          <w:lang w:eastAsia="zh-CN"/>
        </w:rPr>
        <w:t>医用</w:t>
      </w:r>
      <w:r>
        <w:rPr>
          <w:rFonts w:hint="eastAsia" w:ascii="宋体" w:hAnsi="宋体" w:cs="宋体"/>
          <w:color w:val="auto"/>
          <w:sz w:val="24"/>
        </w:rPr>
        <w:t>试剂、</w:t>
      </w:r>
      <w:r>
        <w:rPr>
          <w:rFonts w:hint="eastAsia" w:ascii="宋体" w:hAnsi="宋体" w:cs="宋体"/>
          <w:color w:val="auto"/>
          <w:sz w:val="24"/>
          <w:lang w:eastAsia="zh-CN"/>
        </w:rPr>
        <w:t>医用</w:t>
      </w:r>
      <w:r>
        <w:rPr>
          <w:rFonts w:hint="eastAsia" w:ascii="宋体" w:hAnsi="宋体" w:cs="宋体"/>
          <w:color w:val="auto"/>
          <w:sz w:val="24"/>
        </w:rPr>
        <w:t>耗材项目招标（采购）</w:t>
      </w:r>
      <w:r>
        <w:rPr>
          <w:rFonts w:hint="eastAsia" w:ascii="宋体" w:hAnsi="宋体" w:cs="宋体"/>
          <w:color w:val="auto"/>
          <w:sz w:val="24"/>
          <w:lang w:eastAsia="zh-CN"/>
        </w:rPr>
        <w:t>任务时必须无条件免费提供</w:t>
      </w:r>
      <w:r>
        <w:rPr>
          <w:rFonts w:hint="eastAsia" w:ascii="宋体" w:hAnsi="宋体"/>
          <w:color w:val="auto"/>
          <w:sz w:val="24"/>
          <w:lang w:eastAsia="zh-CN"/>
        </w:rPr>
        <w:t>符合相关法律法规规定的电子招投标平台，实现招投标全过程全面电子化，并提供招投标全套资料的电子版本和纸质版本。</w:t>
      </w:r>
    </w:p>
    <w:p w14:paraId="790DDFDA">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olor w:val="auto"/>
          <w:sz w:val="24"/>
          <w:lang w:val="en-US" w:eastAsia="zh-CN"/>
        </w:rPr>
      </w:pPr>
      <w:r>
        <w:rPr>
          <w:rFonts w:hint="eastAsia" w:ascii="宋体" w:hAnsi="宋体"/>
          <w:color w:val="auto"/>
          <w:sz w:val="24"/>
        </w:rPr>
        <w:t>★</w:t>
      </w:r>
      <w:r>
        <w:rPr>
          <w:rFonts w:hint="eastAsia" w:ascii="宋体" w:hAnsi="宋体"/>
          <w:color w:val="auto"/>
          <w:sz w:val="24"/>
          <w:lang w:eastAsia="zh-CN"/>
        </w:rPr>
        <w:t>（十八）</w:t>
      </w:r>
      <w:r>
        <w:rPr>
          <w:rFonts w:hint="eastAsia" w:ascii="宋体" w:hAnsi="宋体"/>
          <w:color w:val="auto"/>
          <w:sz w:val="24"/>
          <w:lang w:val="en-US" w:eastAsia="zh-CN"/>
        </w:rPr>
        <w:t>包1的</w:t>
      </w:r>
      <w:r>
        <w:rPr>
          <w:rFonts w:hint="eastAsia" w:ascii="宋体" w:hAnsi="宋体"/>
          <w:color w:val="auto"/>
          <w:sz w:val="24"/>
          <w:lang w:eastAsia="zh-CN"/>
        </w:rPr>
        <w:t>供应商必须承诺供应商、供应商提供的电子招投标平台、与供应商存在单位负责人为同一人或存在直接控股、管理关系的其他单位均不得从事医疗器械、医用试剂、医用耗材的生产、销售、经营等活动。（格式自拟）</w:t>
      </w:r>
    </w:p>
    <w:p w14:paraId="36ADE411">
      <w:pPr>
        <w:widowControl/>
        <w:numPr>
          <w:ilvl w:val="0"/>
          <w:numId w:val="0"/>
        </w:numPr>
        <w:spacing w:line="360" w:lineRule="auto"/>
        <w:ind w:firstLine="480" w:firstLineChars="200"/>
        <w:jc w:val="both"/>
        <w:rPr>
          <w:rFonts w:hint="eastAsia" w:asciiTheme="majorEastAsia" w:hAnsiTheme="majorEastAsia" w:eastAsiaTheme="majorEastAsia" w:cstheme="majorEastAsia"/>
          <w:b w:val="0"/>
          <w:bCs w:val="0"/>
          <w:color w:val="auto"/>
          <w:kern w:val="0"/>
          <w:sz w:val="24"/>
          <w:szCs w:val="24"/>
          <w:lang w:val="en-US" w:eastAsia="zh-CN"/>
        </w:rPr>
      </w:pPr>
      <w:r>
        <w:rPr>
          <w:rFonts w:hint="eastAsia" w:asciiTheme="majorEastAsia" w:hAnsiTheme="majorEastAsia" w:eastAsiaTheme="majorEastAsia" w:cstheme="majorEastAsia"/>
          <w:b w:val="0"/>
          <w:bCs w:val="0"/>
          <w:color w:val="auto"/>
          <w:kern w:val="0"/>
          <w:sz w:val="24"/>
          <w:szCs w:val="24"/>
          <w:lang w:val="en-US" w:eastAsia="zh-CN" w:bidi="ar-SA"/>
        </w:rPr>
        <w:t>（十九）</w:t>
      </w:r>
      <w:r>
        <w:rPr>
          <w:rFonts w:hint="eastAsia" w:asciiTheme="majorEastAsia" w:hAnsiTheme="majorEastAsia" w:eastAsiaTheme="majorEastAsia" w:cstheme="majorEastAsia"/>
          <w:b w:val="0"/>
          <w:bCs w:val="0"/>
          <w:color w:val="auto"/>
          <w:kern w:val="0"/>
          <w:sz w:val="24"/>
          <w:szCs w:val="24"/>
          <w:lang w:val="en-US" w:eastAsia="zh-CN"/>
        </w:rPr>
        <w:t>接受采购人工作安排，对</w:t>
      </w:r>
      <w:r>
        <w:rPr>
          <w:rFonts w:hint="eastAsia" w:ascii="Times New Roman" w:hAnsi="Times New Roman" w:cs="Times New Roman"/>
          <w:color w:val="auto"/>
          <w:sz w:val="24"/>
          <w:szCs w:val="24"/>
          <w:lang w:val="en-US" w:eastAsia="zh-CN"/>
        </w:rPr>
        <w:t>采购人</w:t>
      </w:r>
      <w:r>
        <w:rPr>
          <w:rFonts w:hint="eastAsia" w:asciiTheme="majorEastAsia" w:hAnsiTheme="majorEastAsia" w:eastAsiaTheme="majorEastAsia" w:cstheme="majorEastAsia"/>
          <w:b w:val="0"/>
          <w:bCs w:val="0"/>
          <w:color w:val="auto"/>
          <w:kern w:val="0"/>
          <w:sz w:val="24"/>
          <w:szCs w:val="24"/>
          <w:lang w:val="en-US" w:eastAsia="zh-CN"/>
        </w:rPr>
        <w:t>评审专家和</w:t>
      </w:r>
      <w:r>
        <w:rPr>
          <w:rFonts w:hint="eastAsia" w:ascii="Times New Roman" w:hAnsi="Times New Roman" w:cs="Times New Roman"/>
          <w:color w:val="auto"/>
          <w:sz w:val="24"/>
          <w:szCs w:val="24"/>
          <w:lang w:val="en-US" w:eastAsia="zh-CN"/>
        </w:rPr>
        <w:t>采购人</w:t>
      </w:r>
      <w:r>
        <w:rPr>
          <w:rFonts w:hint="eastAsia" w:asciiTheme="majorEastAsia" w:hAnsiTheme="majorEastAsia" w:eastAsiaTheme="majorEastAsia" w:cstheme="majorEastAsia"/>
          <w:b w:val="0"/>
          <w:bCs w:val="0"/>
          <w:color w:val="auto"/>
          <w:kern w:val="0"/>
          <w:sz w:val="24"/>
          <w:szCs w:val="24"/>
          <w:lang w:val="en-US" w:eastAsia="zh-CN"/>
        </w:rPr>
        <w:t>招标采购人员进行培训，须提供培训计划承诺书（包含每次培训时长，培训次数）</w:t>
      </w:r>
    </w:p>
    <w:p w14:paraId="3DE359EF">
      <w:pPr>
        <w:widowControl/>
        <w:numPr>
          <w:ilvl w:val="0"/>
          <w:numId w:val="0"/>
        </w:numPr>
        <w:spacing w:line="360" w:lineRule="auto"/>
        <w:ind w:firstLine="480" w:firstLineChars="200"/>
        <w:jc w:val="both"/>
        <w:rPr>
          <w:rFonts w:ascii="宋体" w:hAnsi="宋体"/>
          <w:b/>
          <w:bCs/>
          <w:color w:val="auto"/>
          <w:kern w:val="0"/>
          <w:sz w:val="32"/>
          <w:szCs w:val="32"/>
        </w:rPr>
      </w:pPr>
      <w:r>
        <w:rPr>
          <w:rFonts w:hint="eastAsia" w:asciiTheme="majorEastAsia" w:hAnsiTheme="majorEastAsia" w:eastAsiaTheme="majorEastAsia" w:cstheme="majorEastAsia"/>
          <w:b w:val="0"/>
          <w:bCs w:val="0"/>
          <w:color w:val="auto"/>
          <w:kern w:val="0"/>
          <w:sz w:val="24"/>
          <w:szCs w:val="24"/>
        </w:rPr>
        <w:br w:type="page"/>
      </w:r>
      <w:r>
        <w:rPr>
          <w:rFonts w:hint="eastAsia" w:asciiTheme="majorEastAsia" w:hAnsiTheme="majorEastAsia" w:eastAsiaTheme="majorEastAsia" w:cstheme="majorEastAsia"/>
          <w:b w:val="0"/>
          <w:bCs w:val="0"/>
          <w:color w:val="auto"/>
          <w:kern w:val="0"/>
          <w:sz w:val="24"/>
          <w:szCs w:val="24"/>
          <w:lang w:val="en-US" w:eastAsia="zh-CN"/>
        </w:rPr>
        <w:t xml:space="preserve">                       </w:t>
      </w:r>
      <w:r>
        <w:rPr>
          <w:rFonts w:hint="eastAsia" w:ascii="宋体" w:hAnsi="宋体"/>
          <w:b/>
          <w:bCs/>
          <w:color w:val="auto"/>
          <w:kern w:val="0"/>
          <w:sz w:val="32"/>
          <w:szCs w:val="32"/>
        </w:rPr>
        <w:t>第四章 遴选办法</w:t>
      </w:r>
    </w:p>
    <w:p w14:paraId="1865538B">
      <w:pPr>
        <w:adjustRightInd w:val="0"/>
        <w:snapToGrid w:val="0"/>
        <w:spacing w:line="360" w:lineRule="auto"/>
        <w:ind w:firstLine="480"/>
        <w:rPr>
          <w:rFonts w:ascii="宋体" w:hAnsi="宋体"/>
          <w:color w:val="auto"/>
          <w:sz w:val="24"/>
        </w:rPr>
      </w:pPr>
      <w:r>
        <w:rPr>
          <w:rFonts w:hint="eastAsia" w:ascii="宋体" w:hAnsi="宋体"/>
          <w:color w:val="auto"/>
          <w:sz w:val="24"/>
        </w:rPr>
        <w:t>本遴选项目遴选办法为综合评分法（评分细则见附件）。遴选</w:t>
      </w:r>
      <w:r>
        <w:rPr>
          <w:rFonts w:hint="eastAsia" w:ascii="宋体" w:hAnsi="宋体"/>
          <w:color w:val="auto"/>
          <w:sz w:val="24"/>
          <w:lang w:val="en-US" w:eastAsia="zh-CN"/>
        </w:rPr>
        <w:t>小组</w:t>
      </w:r>
      <w:r>
        <w:rPr>
          <w:rFonts w:hint="eastAsia" w:ascii="宋体" w:hAnsi="宋体"/>
          <w:color w:val="auto"/>
          <w:sz w:val="24"/>
        </w:rPr>
        <w:t>根据评分情况，向</w:t>
      </w:r>
      <w:r>
        <w:rPr>
          <w:rFonts w:hint="eastAsia" w:ascii="宋体" w:hAnsi="宋体"/>
          <w:color w:val="auto"/>
          <w:sz w:val="24"/>
          <w:lang w:eastAsia="zh-CN"/>
        </w:rPr>
        <w:t>采购人</w:t>
      </w:r>
      <w:r>
        <w:rPr>
          <w:rFonts w:hint="eastAsia" w:ascii="宋体" w:hAnsi="宋体"/>
          <w:color w:val="auto"/>
          <w:sz w:val="24"/>
        </w:rPr>
        <w:t>推荐入选候选人</w:t>
      </w:r>
      <w:r>
        <w:rPr>
          <w:rFonts w:hint="eastAsia" w:ascii="宋体" w:hAnsi="宋体"/>
          <w:color w:val="auto"/>
          <w:sz w:val="24"/>
          <w:lang w:eastAsia="zh-CN"/>
        </w:rPr>
        <w:t>，评分相同的，按报价排序，报价相同的按</w:t>
      </w:r>
      <w:r>
        <w:rPr>
          <w:rFonts w:hint="eastAsia" w:ascii="Noto Sans" w:hAnsi="Noto Sans" w:cs="Noto Sans"/>
          <w:i w:val="0"/>
          <w:caps w:val="0"/>
          <w:color w:val="auto"/>
          <w:spacing w:val="0"/>
          <w:sz w:val="24"/>
          <w:szCs w:val="24"/>
          <w:shd w:val="clear" w:color="auto" w:fill="FFFFFF"/>
          <w:vertAlign w:val="baseline"/>
          <w:lang w:eastAsia="zh-CN"/>
        </w:rPr>
        <w:t>拟派</w:t>
      </w:r>
      <w:r>
        <w:rPr>
          <w:rFonts w:hint="eastAsia" w:ascii="Noto Sans" w:hAnsi="Noto Sans" w:eastAsia="宋体" w:cs="Noto Sans"/>
          <w:i w:val="0"/>
          <w:caps w:val="0"/>
          <w:color w:val="auto"/>
          <w:spacing w:val="0"/>
          <w:sz w:val="24"/>
          <w:szCs w:val="24"/>
          <w:shd w:val="clear" w:color="auto" w:fill="FFFFFF"/>
          <w:vertAlign w:val="baseline"/>
          <w:lang w:eastAsia="zh-CN"/>
        </w:rPr>
        <w:t>项目组成员</w:t>
      </w:r>
      <w:r>
        <w:rPr>
          <w:rFonts w:hint="eastAsia" w:ascii="Noto Sans" w:hAnsi="Noto Sans" w:cs="Noto Sans"/>
          <w:i w:val="0"/>
          <w:caps w:val="0"/>
          <w:color w:val="auto"/>
          <w:spacing w:val="0"/>
          <w:sz w:val="24"/>
          <w:szCs w:val="24"/>
          <w:shd w:val="clear" w:color="auto" w:fill="FFFFFF"/>
          <w:vertAlign w:val="baseline"/>
          <w:lang w:eastAsia="zh-CN"/>
        </w:rPr>
        <w:t>实力排序，得分再相同的，按增值服务分值排序，如得分依旧相同，则现场随机抽取</w:t>
      </w:r>
      <w:r>
        <w:rPr>
          <w:rFonts w:hint="eastAsia" w:ascii="宋体" w:hAnsi="宋体"/>
          <w:color w:val="auto"/>
          <w:sz w:val="24"/>
        </w:rPr>
        <w:t>。</w:t>
      </w:r>
    </w:p>
    <w:p w14:paraId="3C4680DD">
      <w:pPr>
        <w:widowControl/>
        <w:adjustRightInd w:val="0"/>
        <w:snapToGrid w:val="0"/>
        <w:spacing w:line="360" w:lineRule="auto"/>
        <w:ind w:firstLine="470"/>
        <w:outlineLvl w:val="0"/>
        <w:rPr>
          <w:rFonts w:ascii="宋体" w:hAnsi="宋体"/>
          <w:b/>
          <w:bCs/>
          <w:color w:val="auto"/>
          <w:spacing w:val="15"/>
          <w:kern w:val="0"/>
          <w:sz w:val="24"/>
        </w:rPr>
      </w:pPr>
      <w:r>
        <w:rPr>
          <w:rFonts w:hint="eastAsia" w:ascii="宋体" w:hAnsi="宋体"/>
          <w:b/>
          <w:bCs/>
          <w:color w:val="auto"/>
          <w:spacing w:val="15"/>
          <w:kern w:val="0"/>
          <w:sz w:val="24"/>
        </w:rPr>
        <w:t>一、遴选、评审及合同授予</w:t>
      </w:r>
    </w:p>
    <w:p w14:paraId="5010F3AD">
      <w:pPr>
        <w:adjustRightInd w:val="0"/>
        <w:snapToGrid w:val="0"/>
        <w:spacing w:line="360" w:lineRule="auto"/>
        <w:ind w:firstLine="480"/>
        <w:rPr>
          <w:rFonts w:ascii="宋体" w:hAnsi="宋体"/>
          <w:color w:val="auto"/>
          <w:sz w:val="24"/>
        </w:rPr>
      </w:pPr>
      <w:r>
        <w:rPr>
          <w:rFonts w:hint="eastAsia" w:ascii="宋体" w:hAnsi="宋体"/>
          <w:color w:val="auto"/>
          <w:sz w:val="24"/>
        </w:rPr>
        <w:t>本次遴选将于上述</w:t>
      </w:r>
      <w:r>
        <w:rPr>
          <w:rFonts w:hint="eastAsia" w:ascii="宋体" w:hAnsi="宋体"/>
          <w:color w:val="auto"/>
          <w:sz w:val="24"/>
          <w:lang w:val="en-US" w:eastAsia="zh-CN"/>
        </w:rPr>
        <w:t>响应</w:t>
      </w:r>
      <w:r>
        <w:rPr>
          <w:rFonts w:hint="eastAsia" w:ascii="宋体" w:hAnsi="宋体"/>
          <w:color w:val="auto"/>
          <w:sz w:val="24"/>
          <w:lang w:eastAsia="zh-CN"/>
        </w:rPr>
        <w:t>文件</w:t>
      </w:r>
      <w:r>
        <w:rPr>
          <w:rFonts w:hint="eastAsia" w:ascii="宋体" w:hAnsi="宋体"/>
          <w:color w:val="auto"/>
          <w:sz w:val="24"/>
        </w:rPr>
        <w:t>递交的同一时间、同一地点公开遴选。</w:t>
      </w:r>
      <w:r>
        <w:rPr>
          <w:rFonts w:hint="eastAsia" w:ascii="宋体" w:hAnsi="宋体"/>
          <w:color w:val="auto"/>
          <w:sz w:val="24"/>
          <w:lang w:eastAsia="zh-CN"/>
        </w:rPr>
        <w:t>供应商</w:t>
      </w:r>
      <w:r>
        <w:rPr>
          <w:rFonts w:hint="eastAsia" w:ascii="宋体" w:hAnsi="宋体"/>
          <w:color w:val="auto"/>
          <w:sz w:val="24"/>
        </w:rPr>
        <w:t>法</w:t>
      </w:r>
      <w:r>
        <w:rPr>
          <w:rFonts w:hint="eastAsia" w:ascii="宋体" w:hAnsi="宋体"/>
          <w:color w:val="auto"/>
          <w:sz w:val="24"/>
          <w:lang w:val="en-US" w:eastAsia="zh-CN"/>
        </w:rPr>
        <w:t>定</w:t>
      </w:r>
      <w:r>
        <w:rPr>
          <w:rFonts w:hint="eastAsia" w:ascii="宋体" w:hAnsi="宋体"/>
          <w:color w:val="auto"/>
          <w:sz w:val="24"/>
        </w:rPr>
        <w:t>代表</w:t>
      </w:r>
      <w:r>
        <w:rPr>
          <w:rFonts w:hint="eastAsia" w:ascii="宋体" w:hAnsi="宋体"/>
          <w:color w:val="auto"/>
          <w:sz w:val="24"/>
          <w:lang w:val="en-US" w:eastAsia="zh-CN"/>
        </w:rPr>
        <w:t>人</w:t>
      </w:r>
      <w:r>
        <w:rPr>
          <w:rFonts w:hint="eastAsia" w:ascii="宋体" w:hAnsi="宋体"/>
          <w:color w:val="auto"/>
          <w:sz w:val="24"/>
        </w:rPr>
        <w:t>或者法人授权委托人须到场递交</w:t>
      </w:r>
      <w:r>
        <w:rPr>
          <w:rFonts w:hint="eastAsia" w:ascii="宋体" w:hAnsi="宋体"/>
          <w:color w:val="auto"/>
          <w:sz w:val="24"/>
          <w:lang w:val="en-US" w:eastAsia="zh-CN"/>
        </w:rPr>
        <w:t>响应</w:t>
      </w:r>
      <w:r>
        <w:rPr>
          <w:rFonts w:hint="eastAsia" w:ascii="宋体" w:hAnsi="宋体"/>
          <w:color w:val="auto"/>
          <w:sz w:val="24"/>
          <w:lang w:eastAsia="zh-CN"/>
        </w:rPr>
        <w:t>文件</w:t>
      </w:r>
      <w:r>
        <w:rPr>
          <w:rFonts w:hint="eastAsia" w:ascii="宋体" w:hAnsi="宋体"/>
          <w:color w:val="auto"/>
          <w:sz w:val="24"/>
        </w:rPr>
        <w:t>，</w:t>
      </w:r>
      <w:r>
        <w:rPr>
          <w:rFonts w:hint="eastAsia" w:ascii="宋体" w:hAnsi="宋体"/>
          <w:color w:val="auto"/>
          <w:sz w:val="24"/>
          <w:lang w:eastAsia="zh-CN"/>
        </w:rPr>
        <w:t>未</w:t>
      </w:r>
      <w:r>
        <w:rPr>
          <w:rFonts w:hint="eastAsia" w:ascii="宋体" w:hAnsi="宋体"/>
          <w:color w:val="auto"/>
          <w:sz w:val="24"/>
        </w:rPr>
        <w:t>到场递交文件的将取消其遴选资格。</w:t>
      </w:r>
    </w:p>
    <w:p w14:paraId="02545AC4">
      <w:pPr>
        <w:widowControl/>
        <w:adjustRightInd w:val="0"/>
        <w:snapToGrid w:val="0"/>
        <w:spacing w:line="360" w:lineRule="auto"/>
        <w:ind w:firstLine="482" w:firstLineChars="200"/>
        <w:rPr>
          <w:rFonts w:ascii="宋体" w:hAnsi="宋体"/>
          <w:b/>
          <w:bCs/>
          <w:color w:val="auto"/>
          <w:kern w:val="0"/>
          <w:sz w:val="24"/>
        </w:rPr>
      </w:pPr>
      <w:r>
        <w:rPr>
          <w:rFonts w:hint="eastAsia" w:ascii="宋体" w:hAnsi="宋体"/>
          <w:b/>
          <w:bCs/>
          <w:color w:val="auto"/>
          <w:kern w:val="0"/>
          <w:sz w:val="24"/>
          <w:lang w:val="en-US" w:eastAsia="zh-CN"/>
        </w:rPr>
        <w:t>二</w:t>
      </w:r>
      <w:r>
        <w:rPr>
          <w:rFonts w:hint="eastAsia" w:ascii="宋体" w:hAnsi="宋体"/>
          <w:b/>
          <w:bCs/>
          <w:color w:val="auto"/>
          <w:kern w:val="0"/>
          <w:sz w:val="24"/>
        </w:rPr>
        <w:t>、</w:t>
      </w:r>
      <w:r>
        <w:rPr>
          <w:rFonts w:hint="eastAsia" w:ascii="宋体" w:hAnsi="宋体"/>
          <w:b/>
          <w:bCs/>
          <w:color w:val="auto"/>
          <w:sz w:val="24"/>
          <w:lang w:val="en-US" w:eastAsia="zh-CN"/>
        </w:rPr>
        <w:t>响应</w:t>
      </w:r>
      <w:r>
        <w:rPr>
          <w:rFonts w:hint="eastAsia" w:ascii="宋体" w:hAnsi="宋体"/>
          <w:b/>
          <w:bCs/>
          <w:color w:val="auto"/>
          <w:kern w:val="0"/>
          <w:sz w:val="24"/>
          <w:lang w:eastAsia="zh-CN"/>
        </w:rPr>
        <w:t>文件</w:t>
      </w:r>
      <w:r>
        <w:rPr>
          <w:rFonts w:hint="eastAsia" w:ascii="宋体" w:hAnsi="宋体"/>
          <w:b/>
          <w:bCs/>
          <w:color w:val="auto"/>
          <w:kern w:val="0"/>
          <w:sz w:val="24"/>
        </w:rPr>
        <w:t>的资格性及符合性检查。</w:t>
      </w:r>
    </w:p>
    <w:p w14:paraId="121594E1">
      <w:pPr>
        <w:numPr>
          <w:ilvl w:val="0"/>
          <w:numId w:val="6"/>
        </w:numPr>
        <w:adjustRightInd w:val="0"/>
        <w:snapToGrid w:val="0"/>
        <w:spacing w:line="360" w:lineRule="auto"/>
        <w:ind w:firstLine="480" w:firstLineChars="200"/>
        <w:rPr>
          <w:rFonts w:ascii="宋体" w:hAnsi="宋体"/>
          <w:color w:val="auto"/>
          <w:sz w:val="24"/>
        </w:rPr>
      </w:pPr>
      <w:r>
        <w:rPr>
          <w:rFonts w:hint="eastAsia" w:ascii="宋体" w:hAnsi="宋体"/>
          <w:color w:val="auto"/>
          <w:sz w:val="24"/>
        </w:rPr>
        <w:t>检查</w:t>
      </w:r>
      <w:r>
        <w:rPr>
          <w:rFonts w:hint="eastAsia" w:ascii="宋体" w:hAnsi="宋体"/>
          <w:color w:val="auto"/>
          <w:sz w:val="24"/>
          <w:lang w:val="en-US" w:eastAsia="zh-CN"/>
        </w:rPr>
        <w:t>响应</w:t>
      </w:r>
      <w:r>
        <w:rPr>
          <w:rFonts w:hint="eastAsia" w:ascii="宋体" w:hAnsi="宋体"/>
          <w:color w:val="auto"/>
          <w:sz w:val="24"/>
          <w:lang w:eastAsia="zh-CN"/>
        </w:rPr>
        <w:t>文件</w:t>
      </w:r>
      <w:r>
        <w:rPr>
          <w:rFonts w:hint="eastAsia" w:ascii="宋体" w:hAnsi="宋体"/>
          <w:color w:val="auto"/>
          <w:sz w:val="24"/>
        </w:rPr>
        <w:t>是否完整、资格证明是否齐全、有无计算上的错误。</w:t>
      </w:r>
    </w:p>
    <w:p w14:paraId="77994C36">
      <w:pPr>
        <w:numPr>
          <w:ilvl w:val="0"/>
          <w:numId w:val="6"/>
        </w:numPr>
        <w:adjustRightInd w:val="0"/>
        <w:snapToGrid w:val="0"/>
        <w:spacing w:line="360" w:lineRule="auto"/>
        <w:ind w:firstLine="480" w:firstLineChars="200"/>
        <w:rPr>
          <w:rFonts w:ascii="宋体" w:hAnsi="宋体"/>
          <w:color w:val="auto"/>
          <w:sz w:val="24"/>
        </w:rPr>
      </w:pPr>
      <w:r>
        <w:rPr>
          <w:rFonts w:hint="eastAsia" w:ascii="宋体" w:hAnsi="宋体"/>
          <w:color w:val="auto"/>
          <w:sz w:val="24"/>
        </w:rPr>
        <w:t>同一数值的表达不一致时，以</w:t>
      </w:r>
      <w:r>
        <w:rPr>
          <w:rFonts w:hint="eastAsia" w:ascii="宋体" w:hAnsi="宋体"/>
          <w:color w:val="auto"/>
          <w:sz w:val="24"/>
          <w:lang w:val="en-US" w:eastAsia="zh-CN"/>
        </w:rPr>
        <w:t>汉</w:t>
      </w:r>
      <w:r>
        <w:rPr>
          <w:rFonts w:hint="eastAsia" w:ascii="宋体" w:hAnsi="宋体"/>
          <w:color w:val="auto"/>
          <w:sz w:val="24"/>
        </w:rPr>
        <w:t>字表达为准。</w:t>
      </w:r>
      <w:r>
        <w:rPr>
          <w:rFonts w:hint="eastAsia" w:ascii="宋体" w:hAnsi="宋体"/>
          <w:color w:val="auto"/>
          <w:sz w:val="24"/>
          <w:lang w:eastAsia="zh-CN"/>
        </w:rPr>
        <w:t>供应商</w:t>
      </w:r>
      <w:r>
        <w:rPr>
          <w:rFonts w:hint="eastAsia" w:ascii="宋体" w:hAnsi="宋体"/>
          <w:color w:val="auto"/>
          <w:sz w:val="24"/>
        </w:rPr>
        <w:t>不接受对其错误的修正，视为</w:t>
      </w:r>
      <w:r>
        <w:rPr>
          <w:rFonts w:hint="eastAsia" w:ascii="宋体" w:hAnsi="宋体"/>
          <w:color w:val="auto"/>
          <w:sz w:val="24"/>
          <w:lang w:val="en-US" w:eastAsia="zh-CN"/>
        </w:rPr>
        <w:t>该供应商报送的响应文件</w:t>
      </w:r>
      <w:r>
        <w:rPr>
          <w:rFonts w:hint="eastAsia" w:ascii="宋体" w:hAnsi="宋体"/>
          <w:color w:val="auto"/>
          <w:sz w:val="24"/>
        </w:rPr>
        <w:t>无效。</w:t>
      </w:r>
    </w:p>
    <w:p w14:paraId="6D444277">
      <w:pPr>
        <w:numPr>
          <w:ilvl w:val="0"/>
          <w:numId w:val="6"/>
        </w:numPr>
        <w:adjustRightInd w:val="0"/>
        <w:snapToGrid w:val="0"/>
        <w:spacing w:line="360" w:lineRule="auto"/>
        <w:ind w:firstLine="480" w:firstLineChars="200"/>
        <w:rPr>
          <w:rFonts w:ascii="宋体" w:hAnsi="宋体"/>
          <w:color w:val="auto"/>
          <w:sz w:val="24"/>
        </w:rPr>
      </w:pPr>
      <w:r>
        <w:rPr>
          <w:rFonts w:hint="eastAsia" w:ascii="宋体" w:hAnsi="宋体"/>
          <w:color w:val="auto"/>
          <w:sz w:val="24"/>
        </w:rPr>
        <w:t>对于</w:t>
      </w:r>
      <w:r>
        <w:rPr>
          <w:rFonts w:hint="eastAsia" w:ascii="宋体" w:hAnsi="宋体"/>
          <w:color w:val="auto"/>
          <w:sz w:val="24"/>
          <w:lang w:val="en-US" w:eastAsia="zh-CN"/>
        </w:rPr>
        <w:t>响应</w:t>
      </w:r>
      <w:r>
        <w:rPr>
          <w:rFonts w:hint="eastAsia" w:ascii="宋体" w:hAnsi="宋体"/>
          <w:color w:val="auto"/>
          <w:sz w:val="24"/>
          <w:lang w:eastAsia="zh-CN"/>
        </w:rPr>
        <w:t>文件</w:t>
      </w:r>
      <w:r>
        <w:rPr>
          <w:rFonts w:hint="eastAsia" w:ascii="宋体" w:hAnsi="宋体"/>
          <w:color w:val="auto"/>
          <w:sz w:val="24"/>
        </w:rPr>
        <w:t>中不构成实质性偏差的不正规、不一致、或不规则，</w:t>
      </w:r>
      <w:r>
        <w:rPr>
          <w:rFonts w:hint="eastAsia" w:ascii="宋体" w:hAnsi="宋体"/>
          <w:color w:val="auto"/>
          <w:sz w:val="24"/>
          <w:lang w:eastAsia="zh-CN"/>
        </w:rPr>
        <w:t>采购人</w:t>
      </w:r>
      <w:r>
        <w:rPr>
          <w:rFonts w:hint="eastAsia" w:ascii="宋体" w:hAnsi="宋体"/>
          <w:color w:val="auto"/>
          <w:sz w:val="24"/>
        </w:rPr>
        <w:t>可以接受，但这种接受将影响</w:t>
      </w:r>
      <w:r>
        <w:rPr>
          <w:rFonts w:hint="eastAsia" w:ascii="宋体" w:hAnsi="宋体"/>
          <w:color w:val="auto"/>
          <w:sz w:val="24"/>
          <w:lang w:eastAsia="zh-CN"/>
        </w:rPr>
        <w:t>供应商</w:t>
      </w:r>
      <w:r>
        <w:rPr>
          <w:rFonts w:hint="eastAsia" w:ascii="宋体" w:hAnsi="宋体"/>
          <w:color w:val="auto"/>
          <w:sz w:val="24"/>
        </w:rPr>
        <w:t>的综合得分</w:t>
      </w:r>
      <w:r>
        <w:rPr>
          <w:rFonts w:hint="eastAsia" w:ascii="宋体" w:hAnsi="宋体"/>
          <w:color w:val="auto"/>
          <w:sz w:val="24"/>
          <w:lang w:eastAsia="zh-CN"/>
        </w:rPr>
        <w:t>，非实质性条款负偏离大于等于</w:t>
      </w:r>
      <w:r>
        <w:rPr>
          <w:rFonts w:hint="eastAsia" w:ascii="宋体" w:hAnsi="宋体"/>
          <w:color w:val="auto"/>
          <w:sz w:val="24"/>
          <w:lang w:val="en-US" w:eastAsia="zh-CN"/>
        </w:rPr>
        <w:t>6条的，将</w:t>
      </w:r>
      <w:r>
        <w:rPr>
          <w:rFonts w:hint="eastAsia" w:ascii="宋体" w:hAnsi="宋体"/>
          <w:color w:val="auto"/>
          <w:sz w:val="24"/>
        </w:rPr>
        <w:t>视为</w:t>
      </w:r>
      <w:r>
        <w:rPr>
          <w:rFonts w:hint="eastAsia" w:ascii="宋体" w:hAnsi="宋体"/>
          <w:color w:val="auto"/>
          <w:sz w:val="24"/>
          <w:lang w:val="en-US" w:eastAsia="zh-CN"/>
        </w:rPr>
        <w:t>该供应商报送的响应文件</w:t>
      </w:r>
      <w:r>
        <w:rPr>
          <w:rFonts w:hint="eastAsia" w:ascii="宋体" w:hAnsi="宋体"/>
          <w:color w:val="auto"/>
          <w:sz w:val="24"/>
        </w:rPr>
        <w:t>无效。</w:t>
      </w:r>
    </w:p>
    <w:p w14:paraId="780E6FC3">
      <w:pPr>
        <w:numPr>
          <w:ilvl w:val="0"/>
          <w:numId w:val="6"/>
        </w:numPr>
        <w:adjustRightInd w:val="0"/>
        <w:snapToGrid w:val="0"/>
        <w:spacing w:line="360" w:lineRule="auto"/>
        <w:ind w:firstLine="480" w:firstLineChars="200"/>
        <w:rPr>
          <w:rFonts w:ascii="宋体" w:hAnsi="宋体"/>
          <w:color w:val="auto"/>
          <w:sz w:val="24"/>
        </w:rPr>
      </w:pPr>
      <w:r>
        <w:rPr>
          <w:rFonts w:hint="eastAsia" w:ascii="宋体" w:hAnsi="宋体"/>
          <w:color w:val="auto"/>
          <w:sz w:val="24"/>
        </w:rPr>
        <w:t>在</w:t>
      </w:r>
      <w:r>
        <w:rPr>
          <w:rFonts w:hint="eastAsia" w:ascii="宋体" w:hAnsi="宋体"/>
          <w:color w:val="auto"/>
          <w:sz w:val="24"/>
          <w:lang w:val="en-US" w:eastAsia="zh-CN"/>
        </w:rPr>
        <w:t>遴选开始</w:t>
      </w:r>
      <w:r>
        <w:rPr>
          <w:rFonts w:hint="eastAsia" w:ascii="宋体" w:hAnsi="宋体"/>
          <w:color w:val="auto"/>
          <w:sz w:val="24"/>
        </w:rPr>
        <w:t>前，</w:t>
      </w:r>
      <w:r>
        <w:rPr>
          <w:rFonts w:hint="eastAsia" w:ascii="宋体" w:hAnsi="宋体"/>
          <w:color w:val="auto"/>
          <w:sz w:val="24"/>
          <w:lang w:val="en-US" w:eastAsia="zh-CN"/>
        </w:rPr>
        <w:t>遴选小组</w:t>
      </w:r>
      <w:r>
        <w:rPr>
          <w:rFonts w:hint="eastAsia" w:ascii="宋体" w:hAnsi="宋体"/>
          <w:color w:val="auto"/>
          <w:sz w:val="24"/>
        </w:rPr>
        <w:t>审查每份</w:t>
      </w:r>
      <w:r>
        <w:rPr>
          <w:rFonts w:hint="eastAsia" w:ascii="宋体" w:hAnsi="宋体"/>
          <w:color w:val="auto"/>
          <w:sz w:val="24"/>
          <w:lang w:val="en-US" w:eastAsia="zh-CN"/>
        </w:rPr>
        <w:t>响应</w:t>
      </w:r>
      <w:r>
        <w:rPr>
          <w:rFonts w:hint="eastAsia" w:ascii="宋体" w:hAnsi="宋体"/>
          <w:color w:val="auto"/>
          <w:sz w:val="24"/>
          <w:lang w:eastAsia="zh-CN"/>
        </w:rPr>
        <w:t>文件</w:t>
      </w:r>
      <w:r>
        <w:rPr>
          <w:rFonts w:hint="eastAsia" w:ascii="宋体" w:hAnsi="宋体"/>
          <w:color w:val="auto"/>
          <w:sz w:val="24"/>
        </w:rPr>
        <w:t>是否实质上响应遴选文件的要求。</w:t>
      </w:r>
    </w:p>
    <w:p w14:paraId="15DEEA2D">
      <w:pPr>
        <w:numPr>
          <w:ilvl w:val="0"/>
          <w:numId w:val="6"/>
        </w:numPr>
        <w:adjustRightInd w:val="0"/>
        <w:snapToGrid w:val="0"/>
        <w:spacing w:line="360" w:lineRule="auto"/>
        <w:ind w:firstLine="480" w:firstLineChars="200"/>
        <w:rPr>
          <w:rFonts w:ascii="宋体" w:hAnsi="宋体"/>
          <w:color w:val="auto"/>
          <w:sz w:val="24"/>
        </w:rPr>
      </w:pPr>
      <w:r>
        <w:rPr>
          <w:rFonts w:hint="eastAsia" w:ascii="宋体" w:hAnsi="宋体"/>
          <w:color w:val="auto"/>
          <w:sz w:val="24"/>
        </w:rPr>
        <w:t>实质上没有响应遴选文件要求的</w:t>
      </w:r>
      <w:r>
        <w:rPr>
          <w:rFonts w:hint="eastAsia" w:ascii="宋体" w:hAnsi="宋体"/>
          <w:color w:val="auto"/>
          <w:sz w:val="24"/>
          <w:lang w:val="en-US" w:eastAsia="zh-CN"/>
        </w:rPr>
        <w:t>响应</w:t>
      </w:r>
      <w:r>
        <w:rPr>
          <w:rFonts w:hint="eastAsia" w:ascii="宋体" w:hAnsi="宋体"/>
          <w:color w:val="auto"/>
          <w:sz w:val="24"/>
          <w:lang w:eastAsia="zh-CN"/>
        </w:rPr>
        <w:t>文件</w:t>
      </w:r>
      <w:r>
        <w:rPr>
          <w:rFonts w:hint="eastAsia" w:ascii="宋体" w:hAnsi="宋体"/>
          <w:color w:val="auto"/>
          <w:sz w:val="24"/>
        </w:rPr>
        <w:t>将被拒绝。</w:t>
      </w:r>
    </w:p>
    <w:p w14:paraId="78228CBD">
      <w:pPr>
        <w:widowControl/>
        <w:adjustRightInd w:val="0"/>
        <w:snapToGrid w:val="0"/>
        <w:spacing w:line="360" w:lineRule="auto"/>
        <w:ind w:firstLine="482" w:firstLineChars="200"/>
        <w:rPr>
          <w:rFonts w:ascii="宋体" w:hAnsi="宋体"/>
          <w:b/>
          <w:bCs/>
          <w:color w:val="auto"/>
          <w:kern w:val="0"/>
          <w:sz w:val="24"/>
        </w:rPr>
      </w:pPr>
      <w:r>
        <w:rPr>
          <w:rFonts w:hint="eastAsia" w:ascii="宋体" w:hAnsi="宋体"/>
          <w:b/>
          <w:bCs/>
          <w:color w:val="auto"/>
          <w:kern w:val="0"/>
          <w:sz w:val="24"/>
          <w:lang w:eastAsia="zh-CN"/>
        </w:rPr>
        <w:t>三</w:t>
      </w:r>
      <w:r>
        <w:rPr>
          <w:rFonts w:hint="eastAsia" w:ascii="宋体" w:hAnsi="宋体"/>
          <w:b/>
          <w:bCs/>
          <w:color w:val="auto"/>
          <w:kern w:val="0"/>
          <w:sz w:val="24"/>
        </w:rPr>
        <w:t>、</w:t>
      </w:r>
      <w:r>
        <w:rPr>
          <w:rFonts w:hint="eastAsia" w:ascii="宋体" w:hAnsi="宋体"/>
          <w:b/>
          <w:bCs/>
          <w:color w:val="auto"/>
          <w:sz w:val="24"/>
          <w:lang w:val="en-US" w:eastAsia="zh-CN"/>
        </w:rPr>
        <w:t>响应</w:t>
      </w:r>
      <w:r>
        <w:rPr>
          <w:rFonts w:hint="eastAsia" w:ascii="宋体" w:hAnsi="宋体"/>
          <w:b/>
          <w:bCs/>
          <w:color w:val="auto"/>
          <w:kern w:val="0"/>
          <w:sz w:val="24"/>
          <w:lang w:eastAsia="zh-CN"/>
        </w:rPr>
        <w:t>文件</w:t>
      </w:r>
      <w:r>
        <w:rPr>
          <w:rFonts w:hint="eastAsia" w:ascii="宋体" w:hAnsi="宋体"/>
          <w:b/>
          <w:bCs/>
          <w:color w:val="auto"/>
          <w:kern w:val="0"/>
          <w:sz w:val="24"/>
        </w:rPr>
        <w:t>的详细评审</w:t>
      </w:r>
    </w:p>
    <w:p w14:paraId="5E85AE5F">
      <w:pPr>
        <w:widowControl/>
        <w:adjustRightInd w:val="0"/>
        <w:snapToGrid w:val="0"/>
        <w:spacing w:line="360" w:lineRule="auto"/>
        <w:ind w:firstLine="482" w:firstLineChars="200"/>
        <w:rPr>
          <w:rFonts w:ascii="宋体" w:hAnsi="宋体"/>
          <w:b/>
          <w:bCs/>
          <w:color w:val="auto"/>
          <w:kern w:val="0"/>
          <w:sz w:val="24"/>
        </w:rPr>
      </w:pPr>
      <w:r>
        <w:rPr>
          <w:rFonts w:hint="eastAsia" w:ascii="宋体" w:hAnsi="宋体"/>
          <w:b/>
          <w:bCs/>
          <w:color w:val="auto"/>
          <w:kern w:val="0"/>
          <w:sz w:val="24"/>
        </w:rPr>
        <w:t>第一包：</w:t>
      </w:r>
    </w:p>
    <w:p w14:paraId="31879827">
      <w:pPr>
        <w:numPr>
          <w:ilvl w:val="0"/>
          <w:numId w:val="7"/>
        </w:numPr>
        <w:adjustRightInd w:val="0"/>
        <w:snapToGrid w:val="0"/>
        <w:spacing w:line="360" w:lineRule="auto"/>
        <w:ind w:firstLine="480" w:firstLineChars="200"/>
        <w:rPr>
          <w:rFonts w:ascii="宋体" w:hAnsi="宋体"/>
          <w:color w:val="auto"/>
          <w:sz w:val="24"/>
        </w:rPr>
      </w:pPr>
      <w:r>
        <w:rPr>
          <w:rFonts w:hint="eastAsia" w:ascii="宋体" w:hAnsi="宋体"/>
          <w:color w:val="auto"/>
          <w:sz w:val="24"/>
          <w:lang w:val="en-US" w:eastAsia="zh-CN"/>
        </w:rPr>
        <w:t>遴选小组</w:t>
      </w:r>
      <w:r>
        <w:rPr>
          <w:rFonts w:hint="eastAsia" w:ascii="宋体" w:hAnsi="宋体"/>
          <w:color w:val="auto"/>
          <w:sz w:val="24"/>
        </w:rPr>
        <w:t>将只对实质上响应遴选文件要求的参选进行详细评审。</w:t>
      </w:r>
    </w:p>
    <w:p w14:paraId="47FA54E5">
      <w:pPr>
        <w:numPr>
          <w:ilvl w:val="0"/>
          <w:numId w:val="7"/>
        </w:numPr>
        <w:adjustRightInd w:val="0"/>
        <w:snapToGrid w:val="0"/>
        <w:spacing w:line="360" w:lineRule="auto"/>
        <w:ind w:firstLine="480" w:firstLineChars="200"/>
        <w:rPr>
          <w:rFonts w:ascii="宋体" w:hAnsi="宋体"/>
          <w:color w:val="auto"/>
          <w:sz w:val="24"/>
        </w:rPr>
      </w:pPr>
      <w:r>
        <w:rPr>
          <w:rFonts w:hint="eastAsia" w:ascii="宋体" w:hAnsi="宋体"/>
          <w:color w:val="auto"/>
          <w:sz w:val="24"/>
        </w:rPr>
        <w:t>详细评审按第一包附表1确定的标准进行综合评分。</w:t>
      </w:r>
    </w:p>
    <w:p w14:paraId="4479A689">
      <w:pPr>
        <w:widowControl/>
        <w:adjustRightInd w:val="0"/>
        <w:snapToGrid w:val="0"/>
        <w:spacing w:line="360" w:lineRule="auto"/>
        <w:ind w:firstLine="482" w:firstLineChars="200"/>
        <w:rPr>
          <w:rFonts w:ascii="宋体" w:hAnsi="宋体"/>
          <w:b/>
          <w:bCs/>
          <w:color w:val="auto"/>
          <w:kern w:val="0"/>
          <w:sz w:val="24"/>
        </w:rPr>
      </w:pPr>
      <w:r>
        <w:rPr>
          <w:rFonts w:hint="eastAsia" w:ascii="宋体" w:hAnsi="宋体"/>
          <w:b/>
          <w:bCs/>
          <w:color w:val="auto"/>
          <w:kern w:val="0"/>
          <w:sz w:val="24"/>
        </w:rPr>
        <w:t>第二包：</w:t>
      </w:r>
    </w:p>
    <w:p w14:paraId="652C5021">
      <w:pPr>
        <w:numPr>
          <w:ilvl w:val="0"/>
          <w:numId w:val="8"/>
        </w:numPr>
        <w:adjustRightInd w:val="0"/>
        <w:snapToGrid w:val="0"/>
        <w:spacing w:line="360" w:lineRule="auto"/>
        <w:ind w:firstLine="480" w:firstLineChars="200"/>
        <w:rPr>
          <w:rFonts w:ascii="宋体" w:hAnsi="宋体"/>
          <w:color w:val="auto"/>
          <w:sz w:val="24"/>
        </w:rPr>
      </w:pPr>
      <w:r>
        <w:rPr>
          <w:rFonts w:hint="eastAsia" w:ascii="宋体" w:hAnsi="宋体"/>
          <w:color w:val="auto"/>
          <w:sz w:val="24"/>
          <w:lang w:val="en-US" w:eastAsia="zh-CN"/>
        </w:rPr>
        <w:t>遴选小组</w:t>
      </w:r>
      <w:r>
        <w:rPr>
          <w:rFonts w:hint="eastAsia" w:ascii="宋体" w:hAnsi="宋体"/>
          <w:color w:val="auto"/>
          <w:sz w:val="24"/>
        </w:rPr>
        <w:t>将只对实质上响应遴选文件要求的参选进行详细评审。</w:t>
      </w:r>
    </w:p>
    <w:p w14:paraId="798AD6DD">
      <w:pPr>
        <w:numPr>
          <w:ilvl w:val="0"/>
          <w:numId w:val="8"/>
        </w:numPr>
        <w:adjustRightInd w:val="0"/>
        <w:snapToGrid w:val="0"/>
        <w:spacing w:line="360" w:lineRule="auto"/>
        <w:ind w:firstLine="480" w:firstLineChars="200"/>
        <w:rPr>
          <w:rFonts w:ascii="宋体" w:hAnsi="宋体"/>
          <w:color w:val="auto"/>
          <w:sz w:val="24"/>
        </w:rPr>
      </w:pPr>
      <w:r>
        <w:rPr>
          <w:rFonts w:hint="eastAsia" w:ascii="宋体" w:hAnsi="宋体"/>
          <w:color w:val="auto"/>
          <w:sz w:val="24"/>
        </w:rPr>
        <w:t>详细评审按第二包附表2确定的标准进行综合评分。</w:t>
      </w:r>
    </w:p>
    <w:p w14:paraId="4BD4405C">
      <w:pPr>
        <w:widowControl/>
        <w:adjustRightInd w:val="0"/>
        <w:snapToGrid w:val="0"/>
        <w:spacing w:line="360" w:lineRule="auto"/>
        <w:ind w:firstLine="482" w:firstLineChars="200"/>
        <w:rPr>
          <w:rFonts w:ascii="宋体" w:hAnsi="宋体"/>
          <w:b/>
          <w:bCs/>
          <w:color w:val="auto"/>
          <w:kern w:val="0"/>
          <w:sz w:val="24"/>
        </w:rPr>
      </w:pPr>
      <w:r>
        <w:rPr>
          <w:rFonts w:hint="eastAsia" w:ascii="宋体" w:hAnsi="宋体"/>
          <w:b/>
          <w:bCs/>
          <w:color w:val="auto"/>
          <w:kern w:val="0"/>
          <w:sz w:val="24"/>
          <w:lang w:eastAsia="zh-CN"/>
        </w:rPr>
        <w:t>四</w:t>
      </w:r>
      <w:r>
        <w:rPr>
          <w:rFonts w:hint="eastAsia" w:ascii="宋体" w:hAnsi="宋体"/>
          <w:b/>
          <w:bCs/>
          <w:color w:val="auto"/>
          <w:kern w:val="0"/>
          <w:sz w:val="24"/>
        </w:rPr>
        <w:t>、合同授予</w:t>
      </w:r>
    </w:p>
    <w:p w14:paraId="6C71E4F8">
      <w:pPr>
        <w:numPr>
          <w:ilvl w:val="0"/>
          <w:numId w:val="9"/>
        </w:numPr>
        <w:adjustRightInd w:val="0"/>
        <w:snapToGrid w:val="0"/>
        <w:spacing w:line="360" w:lineRule="auto"/>
        <w:ind w:firstLine="480" w:firstLineChars="200"/>
        <w:rPr>
          <w:rFonts w:ascii="宋体" w:hAnsi="宋体"/>
          <w:color w:val="auto"/>
          <w:sz w:val="24"/>
        </w:rPr>
      </w:pPr>
      <w:r>
        <w:rPr>
          <w:rFonts w:hint="eastAsia" w:ascii="宋体" w:hAnsi="宋体"/>
          <w:color w:val="auto"/>
          <w:sz w:val="24"/>
        </w:rPr>
        <w:t>《中标公示》将作为签订合同的依据，也是合同文件的组成部分。</w:t>
      </w:r>
    </w:p>
    <w:p w14:paraId="621FC9F1">
      <w:pPr>
        <w:numPr>
          <w:ilvl w:val="0"/>
          <w:numId w:val="9"/>
        </w:numPr>
        <w:adjustRightInd w:val="0"/>
        <w:snapToGrid w:val="0"/>
        <w:spacing w:line="360" w:lineRule="auto"/>
        <w:ind w:firstLine="480" w:firstLineChars="200"/>
        <w:rPr>
          <w:rFonts w:ascii="宋体" w:hAnsi="宋体"/>
          <w:color w:val="auto"/>
          <w:sz w:val="24"/>
        </w:rPr>
      </w:pPr>
      <w:r>
        <w:rPr>
          <w:rFonts w:hint="eastAsia" w:ascii="宋体" w:hAnsi="宋体"/>
          <w:color w:val="auto"/>
          <w:sz w:val="24"/>
          <w:lang w:eastAsia="zh-CN"/>
        </w:rPr>
        <w:t>采购人</w:t>
      </w:r>
      <w:r>
        <w:rPr>
          <w:rFonts w:hint="eastAsia" w:ascii="宋体" w:hAnsi="宋体"/>
          <w:color w:val="auto"/>
          <w:sz w:val="24"/>
        </w:rPr>
        <w:t>和</w:t>
      </w:r>
      <w:r>
        <w:rPr>
          <w:rFonts w:hint="eastAsia" w:ascii="宋体" w:hAnsi="宋体"/>
          <w:color w:val="auto"/>
          <w:sz w:val="24"/>
          <w:lang w:val="en-US" w:eastAsia="zh-CN"/>
        </w:rPr>
        <w:t>中</w:t>
      </w:r>
      <w:r>
        <w:rPr>
          <w:rFonts w:hint="eastAsia" w:ascii="宋体" w:hAnsi="宋体"/>
          <w:color w:val="auto"/>
          <w:sz w:val="24"/>
        </w:rPr>
        <w:t>选</w:t>
      </w:r>
      <w:r>
        <w:rPr>
          <w:rFonts w:hint="eastAsia" w:ascii="宋体" w:hAnsi="宋体"/>
          <w:color w:val="auto"/>
          <w:sz w:val="24"/>
          <w:lang w:val="en-US" w:eastAsia="zh-CN"/>
        </w:rPr>
        <w:t>供应商</w:t>
      </w:r>
      <w:r>
        <w:rPr>
          <w:rFonts w:hint="eastAsia" w:ascii="宋体" w:hAnsi="宋体"/>
          <w:color w:val="auto"/>
          <w:sz w:val="24"/>
        </w:rPr>
        <w:t>应当</w:t>
      </w:r>
      <w:r>
        <w:rPr>
          <w:rFonts w:hint="eastAsia" w:ascii="宋体" w:hAnsi="宋体"/>
          <w:color w:val="auto"/>
          <w:sz w:val="24"/>
          <w:lang w:eastAsia="zh-CN"/>
        </w:rPr>
        <w:t>在</w:t>
      </w:r>
      <w:r>
        <w:rPr>
          <w:rFonts w:hint="eastAsia" w:ascii="宋体" w:hAnsi="宋体"/>
          <w:color w:val="auto"/>
          <w:sz w:val="24"/>
        </w:rPr>
        <w:t>中</w:t>
      </w:r>
      <w:r>
        <w:rPr>
          <w:rFonts w:hint="eastAsia" w:ascii="宋体" w:hAnsi="宋体"/>
          <w:color w:val="auto"/>
          <w:sz w:val="24"/>
          <w:lang w:val="en-US" w:eastAsia="zh-CN"/>
        </w:rPr>
        <w:t>选</w:t>
      </w:r>
      <w:r>
        <w:rPr>
          <w:rFonts w:hint="eastAsia" w:ascii="宋体" w:hAnsi="宋体"/>
          <w:color w:val="auto"/>
          <w:sz w:val="24"/>
        </w:rPr>
        <w:t>公示期满</w:t>
      </w:r>
      <w:r>
        <w:rPr>
          <w:rFonts w:hint="eastAsia" w:ascii="宋体" w:hAnsi="宋体"/>
          <w:color w:val="auto"/>
          <w:sz w:val="24"/>
          <w:lang w:eastAsia="zh-CN"/>
        </w:rPr>
        <w:t>后</w:t>
      </w:r>
      <w:r>
        <w:rPr>
          <w:rFonts w:hint="eastAsia" w:ascii="宋体" w:hAnsi="宋体"/>
          <w:color w:val="auto"/>
          <w:sz w:val="24"/>
        </w:rPr>
        <w:t>根据</w:t>
      </w:r>
      <w:r>
        <w:rPr>
          <w:rFonts w:hint="eastAsia" w:ascii="宋体" w:hAnsi="宋体"/>
          <w:color w:val="auto"/>
          <w:sz w:val="24"/>
          <w:lang w:val="en-US" w:eastAsia="zh-CN"/>
        </w:rPr>
        <w:t>响应</w:t>
      </w:r>
      <w:r>
        <w:rPr>
          <w:rFonts w:hint="eastAsia" w:ascii="宋体" w:hAnsi="宋体"/>
          <w:color w:val="auto"/>
          <w:sz w:val="24"/>
        </w:rPr>
        <w:t>文件订立合同。</w:t>
      </w:r>
    </w:p>
    <w:p w14:paraId="72E31F40">
      <w:pPr>
        <w:widowControl/>
        <w:adjustRightInd w:val="0"/>
        <w:snapToGrid w:val="0"/>
        <w:spacing w:line="360" w:lineRule="auto"/>
        <w:ind w:firstLine="482" w:firstLineChars="200"/>
        <w:rPr>
          <w:rFonts w:ascii="宋体" w:hAnsi="宋体"/>
          <w:b/>
          <w:bCs/>
          <w:color w:val="auto"/>
          <w:kern w:val="0"/>
          <w:sz w:val="24"/>
        </w:rPr>
      </w:pPr>
      <w:r>
        <w:rPr>
          <w:rFonts w:hint="eastAsia" w:ascii="宋体" w:hAnsi="宋体"/>
          <w:b/>
          <w:bCs/>
          <w:color w:val="auto"/>
          <w:kern w:val="0"/>
          <w:sz w:val="24"/>
          <w:lang w:val="en-US" w:eastAsia="zh-CN"/>
        </w:rPr>
        <w:t>五</w:t>
      </w:r>
      <w:r>
        <w:rPr>
          <w:rFonts w:hint="eastAsia" w:ascii="宋体" w:hAnsi="宋体"/>
          <w:b/>
          <w:bCs/>
          <w:color w:val="auto"/>
          <w:kern w:val="0"/>
          <w:sz w:val="24"/>
        </w:rPr>
        <w:t>、</w:t>
      </w:r>
      <w:r>
        <w:rPr>
          <w:rFonts w:hint="eastAsia" w:ascii="宋体" w:hAnsi="宋体"/>
          <w:b/>
          <w:bCs/>
          <w:color w:val="auto"/>
          <w:kern w:val="0"/>
          <w:sz w:val="24"/>
          <w:lang w:eastAsia="zh-CN"/>
        </w:rPr>
        <w:t>供应商</w:t>
      </w:r>
      <w:r>
        <w:rPr>
          <w:rFonts w:hint="eastAsia" w:ascii="宋体" w:hAnsi="宋体"/>
          <w:b/>
          <w:bCs/>
          <w:color w:val="auto"/>
          <w:kern w:val="0"/>
          <w:sz w:val="24"/>
        </w:rPr>
        <w:t>出现以下情况之一，其</w:t>
      </w:r>
      <w:r>
        <w:rPr>
          <w:rFonts w:hint="eastAsia" w:ascii="宋体" w:hAnsi="宋体"/>
          <w:b/>
          <w:bCs/>
          <w:color w:val="auto"/>
          <w:sz w:val="24"/>
          <w:lang w:val="en-US" w:eastAsia="zh-CN"/>
        </w:rPr>
        <w:t>响应</w:t>
      </w:r>
      <w:r>
        <w:rPr>
          <w:rFonts w:hint="eastAsia" w:ascii="宋体" w:hAnsi="宋体"/>
          <w:b/>
          <w:bCs/>
          <w:color w:val="auto"/>
          <w:kern w:val="0"/>
          <w:sz w:val="24"/>
          <w:lang w:eastAsia="zh-CN"/>
        </w:rPr>
        <w:t>文件</w:t>
      </w:r>
      <w:r>
        <w:rPr>
          <w:rFonts w:hint="eastAsia" w:ascii="宋体" w:hAnsi="宋体"/>
          <w:b/>
          <w:bCs/>
          <w:color w:val="auto"/>
          <w:kern w:val="0"/>
          <w:sz w:val="24"/>
        </w:rPr>
        <w:t>作废：</w:t>
      </w:r>
    </w:p>
    <w:p w14:paraId="068CCE21">
      <w:pPr>
        <w:numPr>
          <w:ilvl w:val="0"/>
          <w:numId w:val="10"/>
        </w:numPr>
        <w:adjustRightInd w:val="0"/>
        <w:snapToGrid w:val="0"/>
        <w:spacing w:line="360" w:lineRule="auto"/>
        <w:ind w:firstLine="480" w:firstLineChars="200"/>
        <w:rPr>
          <w:rFonts w:ascii="宋体" w:hAnsi="宋体"/>
          <w:color w:val="auto"/>
          <w:sz w:val="24"/>
        </w:rPr>
      </w:pPr>
      <w:r>
        <w:rPr>
          <w:rFonts w:hint="eastAsia" w:ascii="宋体" w:hAnsi="宋体"/>
          <w:color w:val="auto"/>
          <w:sz w:val="24"/>
          <w:lang w:val="en-US" w:eastAsia="zh-CN"/>
        </w:rPr>
        <w:t>响应</w:t>
      </w:r>
      <w:r>
        <w:rPr>
          <w:rFonts w:hint="eastAsia" w:ascii="宋体" w:hAnsi="宋体"/>
          <w:color w:val="auto"/>
          <w:sz w:val="24"/>
          <w:lang w:eastAsia="zh-CN"/>
        </w:rPr>
        <w:t>文件</w:t>
      </w:r>
      <w:r>
        <w:rPr>
          <w:rFonts w:hint="eastAsia" w:ascii="宋体" w:hAnsi="宋体"/>
          <w:color w:val="auto"/>
          <w:sz w:val="24"/>
        </w:rPr>
        <w:t>未按要求密封。</w:t>
      </w:r>
    </w:p>
    <w:p w14:paraId="2EDAB60F">
      <w:pPr>
        <w:numPr>
          <w:ilvl w:val="0"/>
          <w:numId w:val="10"/>
        </w:numPr>
        <w:adjustRightInd w:val="0"/>
        <w:snapToGrid w:val="0"/>
        <w:spacing w:line="360" w:lineRule="auto"/>
        <w:ind w:firstLine="480" w:firstLineChars="200"/>
        <w:rPr>
          <w:rFonts w:ascii="宋体" w:hAnsi="宋体"/>
          <w:color w:val="auto"/>
          <w:sz w:val="24"/>
        </w:rPr>
      </w:pPr>
      <w:r>
        <w:rPr>
          <w:rFonts w:hint="eastAsia" w:ascii="宋体" w:hAnsi="宋体"/>
          <w:color w:val="auto"/>
          <w:sz w:val="24"/>
          <w:lang w:val="en-US" w:eastAsia="zh-CN"/>
        </w:rPr>
        <w:t>响应</w:t>
      </w:r>
      <w:r>
        <w:rPr>
          <w:rFonts w:hint="eastAsia" w:ascii="宋体" w:hAnsi="宋体"/>
          <w:color w:val="auto"/>
          <w:sz w:val="24"/>
          <w:lang w:eastAsia="zh-CN"/>
        </w:rPr>
        <w:t>文件</w:t>
      </w:r>
      <w:r>
        <w:rPr>
          <w:rFonts w:hint="eastAsia" w:ascii="宋体" w:hAnsi="宋体"/>
          <w:color w:val="auto"/>
          <w:sz w:val="24"/>
        </w:rPr>
        <w:t>中有弄虚作假的内容。（如假证书、假业绩、隐瞒不良行为记录、夸大荣誉、使用非本单位在职员工的相关证件等），在签订合同之前，</w:t>
      </w:r>
      <w:r>
        <w:rPr>
          <w:rFonts w:hint="eastAsia" w:ascii="宋体" w:hAnsi="宋体"/>
          <w:color w:val="auto"/>
          <w:sz w:val="24"/>
          <w:lang w:eastAsia="zh-CN"/>
        </w:rPr>
        <w:t>采购人</w:t>
      </w:r>
      <w:r>
        <w:rPr>
          <w:rFonts w:hint="eastAsia" w:ascii="宋体" w:hAnsi="宋体"/>
          <w:color w:val="auto"/>
          <w:sz w:val="24"/>
        </w:rPr>
        <w:t>如发现入选</w:t>
      </w:r>
      <w:r>
        <w:rPr>
          <w:rFonts w:hint="eastAsia" w:ascii="宋体" w:hAnsi="宋体"/>
          <w:color w:val="auto"/>
          <w:sz w:val="24"/>
          <w:lang w:val="en-US" w:eastAsia="zh-CN"/>
        </w:rPr>
        <w:t>供应商</w:t>
      </w:r>
      <w:r>
        <w:rPr>
          <w:rFonts w:hint="eastAsia" w:ascii="宋体" w:hAnsi="宋体"/>
          <w:color w:val="auto"/>
          <w:sz w:val="24"/>
        </w:rPr>
        <w:t>的</w:t>
      </w:r>
      <w:r>
        <w:rPr>
          <w:rFonts w:hint="eastAsia" w:ascii="宋体" w:hAnsi="宋体"/>
          <w:color w:val="auto"/>
          <w:sz w:val="24"/>
          <w:lang w:val="en-US" w:eastAsia="zh-CN"/>
        </w:rPr>
        <w:t>响应</w:t>
      </w:r>
      <w:r>
        <w:rPr>
          <w:rFonts w:hint="eastAsia" w:ascii="宋体" w:hAnsi="宋体"/>
          <w:color w:val="auto"/>
          <w:sz w:val="24"/>
          <w:lang w:eastAsia="zh-CN"/>
        </w:rPr>
        <w:t>文件</w:t>
      </w:r>
      <w:r>
        <w:rPr>
          <w:rFonts w:hint="eastAsia" w:ascii="宋体" w:hAnsi="宋体"/>
          <w:color w:val="auto"/>
          <w:sz w:val="24"/>
        </w:rPr>
        <w:t>有弄虚作假内容，</w:t>
      </w:r>
      <w:r>
        <w:rPr>
          <w:rFonts w:hint="eastAsia" w:ascii="宋体" w:hAnsi="宋体"/>
          <w:color w:val="auto"/>
          <w:sz w:val="24"/>
          <w:lang w:eastAsia="zh-CN"/>
        </w:rPr>
        <w:t>采购人</w:t>
      </w:r>
      <w:r>
        <w:rPr>
          <w:rFonts w:hint="eastAsia" w:ascii="宋体" w:hAnsi="宋体"/>
          <w:color w:val="auto"/>
          <w:sz w:val="24"/>
        </w:rPr>
        <w:t>可拒绝与其签订合同，并要求入选</w:t>
      </w:r>
      <w:r>
        <w:rPr>
          <w:rFonts w:hint="eastAsia" w:ascii="宋体" w:hAnsi="宋体"/>
          <w:color w:val="auto"/>
          <w:sz w:val="24"/>
          <w:lang w:val="en-US" w:eastAsia="zh-CN"/>
        </w:rPr>
        <w:t>供应商</w:t>
      </w:r>
      <w:r>
        <w:rPr>
          <w:rFonts w:hint="eastAsia" w:ascii="宋体" w:hAnsi="宋体"/>
          <w:color w:val="auto"/>
          <w:sz w:val="24"/>
        </w:rPr>
        <w:t>赔偿损失。</w:t>
      </w:r>
    </w:p>
    <w:p w14:paraId="3A347934">
      <w:pPr>
        <w:numPr>
          <w:ilvl w:val="0"/>
          <w:numId w:val="10"/>
        </w:numPr>
        <w:adjustRightInd w:val="0"/>
        <w:snapToGrid w:val="0"/>
        <w:spacing w:line="360" w:lineRule="auto"/>
        <w:ind w:firstLine="480" w:firstLineChars="200"/>
        <w:rPr>
          <w:rFonts w:ascii="宋体" w:hAnsi="宋体"/>
          <w:color w:val="auto"/>
          <w:sz w:val="24"/>
        </w:rPr>
      </w:pPr>
      <w:r>
        <w:rPr>
          <w:rFonts w:hint="eastAsia" w:ascii="宋体" w:hAnsi="宋体"/>
          <w:color w:val="auto"/>
          <w:sz w:val="24"/>
          <w:lang w:val="en-US" w:eastAsia="zh-CN"/>
        </w:rPr>
        <w:t>响应</w:t>
      </w:r>
      <w:r>
        <w:rPr>
          <w:rFonts w:hint="eastAsia" w:ascii="宋体" w:hAnsi="宋体"/>
          <w:color w:val="auto"/>
          <w:sz w:val="24"/>
          <w:lang w:eastAsia="zh-CN"/>
        </w:rPr>
        <w:t>文件</w:t>
      </w:r>
      <w:r>
        <w:rPr>
          <w:rFonts w:hint="eastAsia" w:ascii="宋体" w:hAnsi="宋体"/>
          <w:color w:val="auto"/>
          <w:sz w:val="24"/>
        </w:rPr>
        <w:t>附有</w:t>
      </w:r>
      <w:r>
        <w:rPr>
          <w:rFonts w:hint="eastAsia" w:ascii="宋体" w:hAnsi="宋体"/>
          <w:color w:val="auto"/>
          <w:sz w:val="24"/>
          <w:lang w:eastAsia="zh-CN"/>
        </w:rPr>
        <w:t>采购人</w:t>
      </w:r>
      <w:r>
        <w:rPr>
          <w:rFonts w:hint="eastAsia" w:ascii="宋体" w:hAnsi="宋体"/>
          <w:color w:val="auto"/>
          <w:sz w:val="24"/>
        </w:rPr>
        <w:t>不能接受的条件。</w:t>
      </w:r>
    </w:p>
    <w:p w14:paraId="140B762A">
      <w:pPr>
        <w:numPr>
          <w:ilvl w:val="0"/>
          <w:numId w:val="10"/>
        </w:numPr>
        <w:adjustRightInd w:val="0"/>
        <w:snapToGrid w:val="0"/>
        <w:spacing w:line="360" w:lineRule="auto"/>
        <w:ind w:firstLine="480" w:firstLineChars="200"/>
        <w:rPr>
          <w:rFonts w:ascii="宋体" w:hAnsi="宋体"/>
          <w:color w:val="auto"/>
          <w:sz w:val="24"/>
        </w:rPr>
      </w:pPr>
      <w:r>
        <w:rPr>
          <w:rFonts w:hint="eastAsia" w:ascii="宋体" w:hAnsi="宋体"/>
          <w:color w:val="auto"/>
          <w:sz w:val="24"/>
          <w:lang w:val="en-US" w:eastAsia="zh-CN"/>
        </w:rPr>
        <w:t>响应</w:t>
      </w:r>
      <w:r>
        <w:rPr>
          <w:rFonts w:hint="eastAsia" w:ascii="宋体" w:hAnsi="宋体"/>
          <w:color w:val="auto"/>
          <w:sz w:val="24"/>
        </w:rPr>
        <w:t>有效期不足。</w:t>
      </w:r>
    </w:p>
    <w:p w14:paraId="7047D1FB">
      <w:pPr>
        <w:numPr>
          <w:ilvl w:val="0"/>
          <w:numId w:val="10"/>
        </w:numPr>
        <w:adjustRightInd w:val="0"/>
        <w:snapToGrid w:val="0"/>
        <w:spacing w:line="360" w:lineRule="auto"/>
        <w:ind w:firstLine="480" w:firstLineChars="200"/>
        <w:rPr>
          <w:rFonts w:ascii="宋体" w:hAnsi="宋体"/>
          <w:color w:val="auto"/>
          <w:sz w:val="24"/>
        </w:rPr>
      </w:pPr>
      <w:r>
        <w:rPr>
          <w:rFonts w:hint="eastAsia" w:ascii="宋体" w:hAnsi="宋体"/>
          <w:color w:val="auto"/>
          <w:sz w:val="24"/>
        </w:rPr>
        <w:t>实质上没有响应遴选文件要求</w:t>
      </w:r>
      <w:r>
        <w:rPr>
          <w:rFonts w:hint="eastAsia" w:ascii="宋体" w:hAnsi="宋体"/>
          <w:color w:val="auto"/>
          <w:sz w:val="24"/>
          <w:lang w:eastAsia="zh-CN"/>
        </w:rPr>
        <w:t>的</w:t>
      </w:r>
      <w:r>
        <w:rPr>
          <w:rFonts w:hint="eastAsia" w:ascii="宋体" w:hAnsi="宋体"/>
          <w:color w:val="auto"/>
          <w:sz w:val="24"/>
        </w:rPr>
        <w:t>。</w:t>
      </w:r>
    </w:p>
    <w:p w14:paraId="68649E84">
      <w:pPr>
        <w:numPr>
          <w:ilvl w:val="0"/>
          <w:numId w:val="10"/>
        </w:numPr>
        <w:adjustRightInd w:val="0"/>
        <w:snapToGrid w:val="0"/>
        <w:spacing w:line="360" w:lineRule="auto"/>
        <w:ind w:firstLine="480" w:firstLineChars="200"/>
        <w:rPr>
          <w:rFonts w:ascii="宋体" w:hAnsi="宋体"/>
          <w:color w:val="auto"/>
          <w:sz w:val="24"/>
        </w:rPr>
      </w:pPr>
      <w:r>
        <w:rPr>
          <w:rFonts w:hint="eastAsia" w:ascii="宋体" w:hAnsi="宋体"/>
          <w:color w:val="auto"/>
          <w:sz w:val="24"/>
        </w:rPr>
        <w:t>出现关键内容字迹模糊无法辩认的。</w:t>
      </w:r>
    </w:p>
    <w:p w14:paraId="03147FC1">
      <w:pPr>
        <w:numPr>
          <w:ilvl w:val="0"/>
          <w:numId w:val="10"/>
        </w:numPr>
        <w:adjustRightInd w:val="0"/>
        <w:snapToGrid w:val="0"/>
        <w:spacing w:line="360" w:lineRule="auto"/>
        <w:ind w:firstLine="480" w:firstLineChars="200"/>
        <w:rPr>
          <w:rFonts w:ascii="宋体" w:hAnsi="宋体"/>
          <w:color w:val="auto"/>
          <w:sz w:val="24"/>
        </w:rPr>
      </w:pPr>
      <w:r>
        <w:rPr>
          <w:rFonts w:hint="eastAsia" w:ascii="宋体" w:hAnsi="宋体"/>
          <w:color w:val="auto"/>
          <w:sz w:val="24"/>
        </w:rPr>
        <w:t>出现</w:t>
      </w:r>
      <w:r>
        <w:rPr>
          <w:rFonts w:hint="eastAsia" w:ascii="宋体" w:hAnsi="宋体"/>
          <w:color w:val="auto"/>
          <w:sz w:val="24"/>
          <w:lang w:val="en-US" w:eastAsia="zh-CN"/>
        </w:rPr>
        <w:t>响应</w:t>
      </w:r>
      <w:r>
        <w:rPr>
          <w:rFonts w:hint="eastAsia" w:ascii="宋体" w:hAnsi="宋体"/>
          <w:color w:val="auto"/>
          <w:sz w:val="24"/>
          <w:lang w:eastAsia="zh-CN"/>
        </w:rPr>
        <w:t>文件</w:t>
      </w:r>
      <w:r>
        <w:rPr>
          <w:rFonts w:hint="eastAsia" w:ascii="宋体" w:hAnsi="宋体"/>
          <w:color w:val="auto"/>
          <w:sz w:val="24"/>
        </w:rPr>
        <w:t>前后矛盾。</w:t>
      </w:r>
    </w:p>
    <w:p w14:paraId="5AC68D03">
      <w:pPr>
        <w:numPr>
          <w:ilvl w:val="0"/>
          <w:numId w:val="10"/>
        </w:numPr>
        <w:adjustRightInd w:val="0"/>
        <w:snapToGrid w:val="0"/>
        <w:spacing w:line="360" w:lineRule="auto"/>
        <w:ind w:firstLine="480" w:firstLineChars="200"/>
        <w:rPr>
          <w:rFonts w:ascii="宋体" w:hAnsi="宋体"/>
          <w:color w:val="auto"/>
          <w:sz w:val="24"/>
        </w:rPr>
      </w:pPr>
      <w:r>
        <w:rPr>
          <w:rFonts w:hint="eastAsia" w:ascii="宋体" w:hAnsi="宋体"/>
          <w:color w:val="auto"/>
          <w:sz w:val="24"/>
        </w:rPr>
        <w:t>按照相关法律法规，应视为</w:t>
      </w:r>
      <w:r>
        <w:rPr>
          <w:rFonts w:hint="eastAsia" w:ascii="宋体" w:hAnsi="宋体"/>
          <w:color w:val="auto"/>
          <w:sz w:val="24"/>
          <w:lang w:val="en-US" w:eastAsia="zh-CN"/>
        </w:rPr>
        <w:t>无效响应文件</w:t>
      </w:r>
      <w:r>
        <w:rPr>
          <w:rFonts w:hint="eastAsia" w:ascii="宋体" w:hAnsi="宋体"/>
          <w:color w:val="auto"/>
          <w:sz w:val="24"/>
        </w:rPr>
        <w:t>的其他情形。</w:t>
      </w:r>
    </w:p>
    <w:p w14:paraId="0456FDB5">
      <w:pPr>
        <w:widowControl/>
        <w:spacing w:line="360" w:lineRule="auto"/>
        <w:jc w:val="center"/>
        <w:rPr>
          <w:rFonts w:hint="eastAsia" w:ascii="宋体" w:hAnsi="宋体" w:eastAsia="宋体"/>
          <w:b/>
          <w:bCs/>
          <w:color w:val="auto"/>
          <w:kern w:val="0"/>
          <w:sz w:val="32"/>
          <w:szCs w:val="32"/>
          <w:lang w:eastAsia="zh-CN"/>
        </w:rPr>
      </w:pPr>
      <w:r>
        <w:rPr>
          <w:rFonts w:ascii="宋体" w:hAnsi="宋体"/>
          <w:color w:val="auto"/>
          <w:spacing w:val="15"/>
          <w:kern w:val="0"/>
          <w:sz w:val="24"/>
        </w:rPr>
        <w:br w:type="page"/>
      </w:r>
      <w:r>
        <w:rPr>
          <w:rFonts w:hint="eastAsia" w:ascii="宋体" w:hAnsi="宋体"/>
          <w:b/>
          <w:bCs/>
          <w:color w:val="auto"/>
          <w:kern w:val="0"/>
          <w:sz w:val="32"/>
          <w:szCs w:val="32"/>
        </w:rPr>
        <w:t xml:space="preserve">第五章 </w:t>
      </w:r>
      <w:r>
        <w:rPr>
          <w:rFonts w:hint="eastAsia" w:ascii="宋体" w:hAnsi="宋体"/>
          <w:b/>
          <w:bCs/>
          <w:color w:val="auto"/>
          <w:kern w:val="0"/>
          <w:sz w:val="32"/>
          <w:szCs w:val="32"/>
          <w:lang w:val="en-US" w:eastAsia="zh-CN"/>
        </w:rPr>
        <w:t>响应</w:t>
      </w:r>
      <w:r>
        <w:rPr>
          <w:rFonts w:hint="eastAsia" w:ascii="宋体" w:hAnsi="宋体"/>
          <w:b/>
          <w:bCs/>
          <w:color w:val="auto"/>
          <w:kern w:val="0"/>
          <w:sz w:val="32"/>
          <w:szCs w:val="32"/>
          <w:lang w:eastAsia="zh-CN"/>
        </w:rPr>
        <w:t>文件要求</w:t>
      </w:r>
    </w:p>
    <w:p w14:paraId="58AA6D6D">
      <w:pPr>
        <w:pStyle w:val="4"/>
        <w:numPr>
          <w:ilvl w:val="0"/>
          <w:numId w:val="11"/>
        </w:numPr>
        <w:adjustRightInd w:val="0"/>
        <w:snapToGrid w:val="0"/>
        <w:spacing w:line="440" w:lineRule="exact"/>
        <w:ind w:leftChars="0" w:firstLine="562" w:firstLineChars="200"/>
        <w:rPr>
          <w:color w:val="auto"/>
        </w:rPr>
      </w:pPr>
      <w:r>
        <w:rPr>
          <w:rFonts w:hint="eastAsia" w:ascii="宋体" w:hAnsi="宋体"/>
          <w:b/>
          <w:color w:val="auto"/>
          <w:sz w:val="28"/>
          <w:szCs w:val="28"/>
          <w:lang w:val="en-US" w:eastAsia="zh-CN"/>
        </w:rPr>
        <w:t>响应</w:t>
      </w:r>
      <w:r>
        <w:rPr>
          <w:rFonts w:hint="eastAsia" w:ascii="宋体" w:hAnsi="宋体"/>
          <w:b/>
          <w:color w:val="auto"/>
          <w:sz w:val="28"/>
          <w:szCs w:val="28"/>
          <w:lang w:eastAsia="zh-CN"/>
        </w:rPr>
        <w:t>文件</w:t>
      </w:r>
      <w:r>
        <w:rPr>
          <w:rFonts w:hint="eastAsia" w:ascii="宋体" w:hAnsi="宋体"/>
          <w:b/>
          <w:color w:val="auto"/>
          <w:sz w:val="28"/>
          <w:szCs w:val="28"/>
        </w:rPr>
        <w:t>格式:</w:t>
      </w:r>
    </w:p>
    <w:p w14:paraId="71446CD7">
      <w:pPr>
        <w:adjustRightInd w:val="0"/>
        <w:snapToGrid w:val="0"/>
        <w:spacing w:line="360" w:lineRule="auto"/>
        <w:ind w:firstLine="480"/>
        <w:rPr>
          <w:rFonts w:hint="eastAsia" w:ascii="宋体" w:hAnsi="宋体"/>
          <w:color w:val="auto"/>
          <w:sz w:val="24"/>
        </w:rPr>
      </w:pPr>
    </w:p>
    <w:p w14:paraId="38B503C8">
      <w:pPr>
        <w:adjustRightInd w:val="0"/>
        <w:snapToGrid w:val="0"/>
        <w:spacing w:line="360" w:lineRule="auto"/>
        <w:ind w:firstLine="480"/>
        <w:rPr>
          <w:rFonts w:ascii="宋体" w:hAnsi="宋体"/>
          <w:color w:val="auto"/>
          <w:sz w:val="24"/>
        </w:rPr>
      </w:pPr>
      <w:r>
        <w:rPr>
          <w:rFonts w:hint="eastAsia" w:ascii="宋体" w:hAnsi="宋体"/>
          <w:color w:val="auto"/>
          <w:sz w:val="24"/>
        </w:rPr>
        <w:t>（1）资料如有复印件，须在复印件上加盖</w:t>
      </w:r>
      <w:r>
        <w:rPr>
          <w:rFonts w:hint="eastAsia" w:ascii="宋体" w:hAnsi="宋体"/>
          <w:color w:val="auto"/>
          <w:sz w:val="24"/>
          <w:lang w:eastAsia="zh-CN"/>
        </w:rPr>
        <w:t>供应商</w:t>
      </w:r>
      <w:r>
        <w:rPr>
          <w:rFonts w:hint="eastAsia" w:ascii="宋体" w:hAnsi="宋体"/>
          <w:color w:val="auto"/>
          <w:sz w:val="24"/>
        </w:rPr>
        <w:t>公章。</w:t>
      </w:r>
    </w:p>
    <w:p w14:paraId="3224A962">
      <w:pPr>
        <w:adjustRightInd w:val="0"/>
        <w:snapToGrid w:val="0"/>
        <w:spacing w:line="360" w:lineRule="auto"/>
        <w:ind w:firstLine="480"/>
        <w:rPr>
          <w:rFonts w:ascii="宋体" w:hAnsi="宋体"/>
          <w:color w:val="auto"/>
          <w:sz w:val="24"/>
        </w:rPr>
      </w:pPr>
      <w:r>
        <w:rPr>
          <w:rFonts w:hint="eastAsia" w:ascii="宋体" w:hAnsi="宋体"/>
          <w:color w:val="auto"/>
          <w:sz w:val="24"/>
        </w:rPr>
        <w:t>（2）</w:t>
      </w:r>
      <w:r>
        <w:rPr>
          <w:rFonts w:hint="eastAsia" w:ascii="宋体" w:hAnsi="宋体"/>
          <w:color w:val="auto"/>
          <w:sz w:val="24"/>
          <w:szCs w:val="24"/>
          <w:lang w:val="en-US" w:eastAsia="zh-CN"/>
        </w:rPr>
        <w:t>响应</w:t>
      </w:r>
      <w:r>
        <w:rPr>
          <w:rFonts w:hint="eastAsia" w:ascii="宋体" w:hAnsi="宋体"/>
          <w:color w:val="auto"/>
          <w:sz w:val="24"/>
          <w:lang w:eastAsia="zh-CN"/>
        </w:rPr>
        <w:t>文件</w:t>
      </w:r>
      <w:r>
        <w:rPr>
          <w:rFonts w:hint="eastAsia" w:ascii="宋体" w:hAnsi="宋体"/>
          <w:color w:val="auto"/>
          <w:sz w:val="24"/>
        </w:rPr>
        <w:t>须由</w:t>
      </w:r>
      <w:r>
        <w:rPr>
          <w:rFonts w:hint="eastAsia" w:ascii="宋体" w:hAnsi="宋体"/>
          <w:color w:val="auto"/>
          <w:sz w:val="24"/>
          <w:lang w:eastAsia="zh-CN"/>
        </w:rPr>
        <w:t>供应商</w:t>
      </w:r>
      <w:r>
        <w:rPr>
          <w:rFonts w:hint="eastAsia" w:ascii="宋体" w:hAnsi="宋体"/>
          <w:color w:val="auto"/>
          <w:sz w:val="24"/>
        </w:rPr>
        <w:t>法定代表人或授权代理人签字，当由授权代理人签字时，须同时提交《法定代表人授权委托书》。</w:t>
      </w:r>
    </w:p>
    <w:p w14:paraId="1A1F4504">
      <w:pPr>
        <w:adjustRightInd w:val="0"/>
        <w:snapToGrid w:val="0"/>
        <w:spacing w:line="360" w:lineRule="auto"/>
        <w:ind w:firstLine="480"/>
        <w:rPr>
          <w:rFonts w:ascii="宋体" w:hAnsi="宋体"/>
          <w:color w:val="auto"/>
          <w:sz w:val="24"/>
        </w:rPr>
      </w:pPr>
      <w:r>
        <w:rPr>
          <w:rFonts w:hint="eastAsia" w:ascii="宋体" w:hAnsi="宋体"/>
          <w:color w:val="auto"/>
          <w:sz w:val="24"/>
        </w:rPr>
        <w:t>（3）</w:t>
      </w:r>
      <w:r>
        <w:rPr>
          <w:rFonts w:hint="eastAsia" w:ascii="宋体" w:hAnsi="宋体"/>
          <w:color w:val="auto"/>
          <w:sz w:val="24"/>
          <w:szCs w:val="24"/>
          <w:lang w:val="en-US" w:eastAsia="zh-CN"/>
        </w:rPr>
        <w:t>响应</w:t>
      </w:r>
      <w:r>
        <w:rPr>
          <w:rFonts w:hint="eastAsia" w:ascii="宋体" w:hAnsi="宋体"/>
          <w:color w:val="auto"/>
          <w:sz w:val="24"/>
          <w:lang w:eastAsia="zh-CN"/>
        </w:rPr>
        <w:t>文件</w:t>
      </w:r>
      <w:r>
        <w:rPr>
          <w:rFonts w:hint="eastAsia" w:ascii="宋体" w:hAnsi="宋体"/>
          <w:color w:val="auto"/>
          <w:sz w:val="24"/>
        </w:rPr>
        <w:t>均需打印或用不褪色的书写工具书写，字迹工整，任何一页不得涂改、插字、删字。</w:t>
      </w:r>
    </w:p>
    <w:p w14:paraId="2E5EF53F">
      <w:pPr>
        <w:adjustRightInd w:val="0"/>
        <w:snapToGrid w:val="0"/>
        <w:spacing w:line="360" w:lineRule="auto"/>
        <w:ind w:firstLine="480"/>
        <w:rPr>
          <w:rFonts w:hint="eastAsia" w:ascii="宋体" w:hAnsi="宋体"/>
          <w:color w:val="auto"/>
          <w:sz w:val="24"/>
          <w:lang w:eastAsia="zh-CN"/>
        </w:rPr>
      </w:pPr>
      <w:r>
        <w:rPr>
          <w:rFonts w:hint="eastAsia" w:ascii="宋体" w:hAnsi="宋体"/>
          <w:color w:val="auto"/>
          <w:sz w:val="24"/>
        </w:rPr>
        <w:t>（4）</w:t>
      </w:r>
      <w:r>
        <w:rPr>
          <w:rFonts w:hint="eastAsia" w:ascii="宋体" w:hAnsi="宋体"/>
          <w:color w:val="auto"/>
          <w:sz w:val="24"/>
          <w:szCs w:val="24"/>
          <w:lang w:val="en-US" w:eastAsia="zh-CN"/>
        </w:rPr>
        <w:t>响应</w:t>
      </w:r>
      <w:r>
        <w:rPr>
          <w:rFonts w:hint="eastAsia" w:ascii="宋体" w:hAnsi="宋体"/>
          <w:color w:val="auto"/>
          <w:sz w:val="24"/>
          <w:lang w:eastAsia="zh-CN"/>
        </w:rPr>
        <w:t>文件</w:t>
      </w:r>
      <w:r>
        <w:rPr>
          <w:rFonts w:hint="eastAsia" w:ascii="宋体" w:hAnsi="宋体"/>
          <w:color w:val="auto"/>
          <w:sz w:val="24"/>
        </w:rPr>
        <w:t>共</w:t>
      </w:r>
      <w:r>
        <w:rPr>
          <w:rFonts w:hint="eastAsia" w:ascii="宋体" w:hAnsi="宋体"/>
          <w:color w:val="auto"/>
          <w:sz w:val="24"/>
          <w:lang w:eastAsia="zh-CN"/>
        </w:rPr>
        <w:t>两</w:t>
      </w:r>
      <w:r>
        <w:rPr>
          <w:rFonts w:hint="eastAsia" w:ascii="宋体" w:hAnsi="宋体"/>
          <w:color w:val="auto"/>
          <w:sz w:val="24"/>
        </w:rPr>
        <w:t>份</w:t>
      </w:r>
      <w:r>
        <w:rPr>
          <w:rFonts w:hint="eastAsia" w:ascii="宋体" w:hAnsi="宋体"/>
          <w:color w:val="auto"/>
          <w:sz w:val="24"/>
          <w:lang w:eastAsia="zh-CN"/>
        </w:rPr>
        <w:t>纸质版</w:t>
      </w:r>
      <w:r>
        <w:rPr>
          <w:rFonts w:hint="eastAsia" w:ascii="宋体" w:hAnsi="宋体"/>
          <w:color w:val="auto"/>
          <w:sz w:val="24"/>
        </w:rPr>
        <w:t>，</w:t>
      </w:r>
      <w:r>
        <w:rPr>
          <w:rFonts w:hint="eastAsia" w:ascii="宋体" w:hAnsi="宋体"/>
          <w:color w:val="auto"/>
          <w:sz w:val="24"/>
          <w:lang w:eastAsia="zh-CN"/>
        </w:rPr>
        <w:t>均需加盖公章。</w:t>
      </w:r>
    </w:p>
    <w:p w14:paraId="0F2EF672">
      <w:pPr>
        <w:adjustRightInd w:val="0"/>
        <w:snapToGrid w:val="0"/>
        <w:spacing w:line="360" w:lineRule="auto"/>
        <w:ind w:firstLine="480"/>
        <w:rPr>
          <w:rFonts w:ascii="宋体" w:hAnsi="宋体"/>
          <w:color w:val="auto"/>
          <w:sz w:val="24"/>
        </w:rPr>
      </w:pPr>
      <w:r>
        <w:rPr>
          <w:rFonts w:hint="eastAsia" w:ascii="宋体" w:hAnsi="宋体"/>
          <w:color w:val="auto"/>
          <w:sz w:val="24"/>
        </w:rPr>
        <w:t>（5）</w:t>
      </w:r>
      <w:r>
        <w:rPr>
          <w:rFonts w:hint="eastAsia" w:ascii="宋体" w:hAnsi="宋体"/>
          <w:color w:val="auto"/>
          <w:sz w:val="24"/>
          <w:lang w:eastAsia="zh-CN"/>
        </w:rPr>
        <w:t>供应商</w:t>
      </w:r>
      <w:r>
        <w:rPr>
          <w:rFonts w:hint="eastAsia" w:ascii="宋体" w:hAnsi="宋体"/>
          <w:color w:val="auto"/>
          <w:sz w:val="24"/>
        </w:rPr>
        <w:t>应将</w:t>
      </w:r>
      <w:r>
        <w:rPr>
          <w:rFonts w:hint="eastAsia" w:ascii="宋体" w:hAnsi="宋体"/>
          <w:color w:val="auto"/>
          <w:sz w:val="24"/>
          <w:szCs w:val="24"/>
          <w:lang w:val="en-US" w:eastAsia="zh-CN"/>
        </w:rPr>
        <w:t>响应</w:t>
      </w:r>
      <w:r>
        <w:rPr>
          <w:rFonts w:hint="eastAsia" w:ascii="宋体" w:hAnsi="宋体"/>
          <w:color w:val="auto"/>
          <w:sz w:val="24"/>
          <w:lang w:eastAsia="zh-CN"/>
        </w:rPr>
        <w:t>文件</w:t>
      </w:r>
      <w:r>
        <w:rPr>
          <w:rFonts w:hint="eastAsia" w:ascii="宋体" w:hAnsi="宋体"/>
          <w:color w:val="auto"/>
          <w:sz w:val="24"/>
        </w:rPr>
        <w:t>装入同一个密封袋中递交，并在密封袋上加盖</w:t>
      </w:r>
      <w:r>
        <w:rPr>
          <w:rFonts w:hint="eastAsia" w:ascii="宋体" w:hAnsi="宋体"/>
          <w:color w:val="auto"/>
          <w:sz w:val="24"/>
          <w:lang w:eastAsia="zh-CN"/>
        </w:rPr>
        <w:t>供应商</w:t>
      </w:r>
      <w:r>
        <w:rPr>
          <w:rFonts w:hint="eastAsia" w:ascii="宋体" w:hAnsi="宋体"/>
          <w:color w:val="auto"/>
          <w:sz w:val="24"/>
        </w:rPr>
        <w:t>单位公章和法定代表人印鉴或签字。未密封的</w:t>
      </w:r>
      <w:r>
        <w:rPr>
          <w:rFonts w:hint="eastAsia" w:ascii="宋体" w:hAnsi="宋体"/>
          <w:color w:val="auto"/>
          <w:sz w:val="24"/>
          <w:szCs w:val="24"/>
          <w:lang w:val="en-US" w:eastAsia="zh-CN"/>
        </w:rPr>
        <w:t>响应</w:t>
      </w:r>
      <w:r>
        <w:rPr>
          <w:rFonts w:hint="eastAsia" w:ascii="宋体" w:hAnsi="宋体"/>
          <w:color w:val="auto"/>
          <w:sz w:val="24"/>
          <w:lang w:eastAsia="zh-CN"/>
        </w:rPr>
        <w:t>文件</w:t>
      </w:r>
      <w:r>
        <w:rPr>
          <w:rFonts w:hint="eastAsia" w:ascii="宋体" w:hAnsi="宋体"/>
          <w:color w:val="auto"/>
          <w:sz w:val="24"/>
        </w:rPr>
        <w:t>将不予签收。</w:t>
      </w:r>
    </w:p>
    <w:p w14:paraId="59BB98D6">
      <w:pPr>
        <w:adjustRightInd w:val="0"/>
        <w:snapToGrid w:val="0"/>
        <w:spacing w:line="360" w:lineRule="auto"/>
        <w:ind w:firstLine="480"/>
        <w:rPr>
          <w:rFonts w:ascii="宋体" w:hAnsi="宋体"/>
          <w:color w:val="auto"/>
          <w:sz w:val="24"/>
        </w:rPr>
      </w:pPr>
      <w:r>
        <w:rPr>
          <w:rFonts w:hint="eastAsia" w:ascii="宋体" w:hAnsi="宋体"/>
          <w:color w:val="auto"/>
          <w:sz w:val="24"/>
          <w:szCs w:val="24"/>
          <w:lang w:val="en-US" w:eastAsia="zh-CN"/>
        </w:rPr>
        <w:t>响应</w:t>
      </w:r>
      <w:r>
        <w:rPr>
          <w:rFonts w:hint="eastAsia" w:ascii="宋体" w:hAnsi="宋体"/>
          <w:color w:val="auto"/>
          <w:sz w:val="24"/>
          <w:lang w:eastAsia="zh-CN"/>
        </w:rPr>
        <w:t>文件</w:t>
      </w:r>
      <w:r>
        <w:rPr>
          <w:rFonts w:hint="eastAsia" w:ascii="宋体" w:hAnsi="宋体"/>
          <w:color w:val="auto"/>
          <w:sz w:val="24"/>
        </w:rPr>
        <w:t>的封皮内容如下：</w:t>
      </w:r>
    </w:p>
    <w:tbl>
      <w:tblPr>
        <w:tblStyle w:val="21"/>
        <w:tblW w:w="9039" w:type="dxa"/>
        <w:tblInd w:w="0" w:type="dxa"/>
        <w:tblLayout w:type="fixed"/>
        <w:tblCellMar>
          <w:top w:w="0" w:type="dxa"/>
          <w:left w:w="108" w:type="dxa"/>
          <w:bottom w:w="0" w:type="dxa"/>
          <w:right w:w="108" w:type="dxa"/>
        </w:tblCellMar>
      </w:tblPr>
      <w:tblGrid>
        <w:gridCol w:w="9039"/>
      </w:tblGrid>
      <w:tr w14:paraId="439D39C5">
        <w:tblPrEx>
          <w:tblCellMar>
            <w:top w:w="0" w:type="dxa"/>
            <w:left w:w="108" w:type="dxa"/>
            <w:bottom w:w="0" w:type="dxa"/>
            <w:right w:w="108" w:type="dxa"/>
          </w:tblCellMar>
        </w:tblPrEx>
        <w:tc>
          <w:tcPr>
            <w:tcW w:w="9039" w:type="dxa"/>
            <w:tcBorders>
              <w:top w:val="single" w:color="000000" w:sz="4" w:space="0"/>
              <w:left w:val="single" w:color="000000" w:sz="4" w:space="0"/>
              <w:bottom w:val="single" w:color="000000" w:sz="4" w:space="0"/>
              <w:right w:val="single" w:color="000000" w:sz="4" w:space="0"/>
            </w:tcBorders>
          </w:tcPr>
          <w:p w14:paraId="1C1AB90D">
            <w:pPr>
              <w:widowControl/>
              <w:adjustRightInd w:val="0"/>
              <w:snapToGrid w:val="0"/>
              <w:spacing w:line="360" w:lineRule="auto"/>
              <w:ind w:left="4" w:hanging="4"/>
              <w:rPr>
                <w:rFonts w:ascii="宋体" w:hAnsi="宋体"/>
                <w:color w:val="auto"/>
                <w:kern w:val="0"/>
                <w:sz w:val="24"/>
              </w:rPr>
            </w:pPr>
            <w:r>
              <w:rPr>
                <w:rFonts w:hint="eastAsia" w:ascii="宋体" w:hAnsi="宋体"/>
                <w:color w:val="auto"/>
                <w:spacing w:val="15"/>
                <w:kern w:val="0"/>
                <w:sz w:val="24"/>
                <w:lang w:eastAsia="zh-CN"/>
              </w:rPr>
              <w:t>采购人</w:t>
            </w:r>
            <w:r>
              <w:rPr>
                <w:rFonts w:hint="eastAsia" w:ascii="宋体" w:hAnsi="宋体"/>
                <w:color w:val="auto"/>
                <w:spacing w:val="15"/>
                <w:kern w:val="0"/>
                <w:sz w:val="24"/>
              </w:rPr>
              <w:t>：</w:t>
            </w:r>
            <w:r>
              <w:rPr>
                <w:rFonts w:hint="eastAsia" w:ascii="宋体" w:hAnsi="宋体"/>
                <w:color w:val="auto"/>
                <w:kern w:val="0"/>
                <w:sz w:val="24"/>
              </w:rPr>
              <w:t xml:space="preserve"> </w:t>
            </w:r>
          </w:p>
          <w:p w14:paraId="5D3314E5">
            <w:pPr>
              <w:widowControl/>
              <w:adjustRightInd w:val="0"/>
              <w:snapToGrid w:val="0"/>
              <w:spacing w:line="360" w:lineRule="auto"/>
              <w:ind w:left="4" w:hanging="4"/>
              <w:rPr>
                <w:rFonts w:ascii="宋体" w:hAnsi="宋体"/>
                <w:color w:val="auto"/>
                <w:spacing w:val="15"/>
                <w:kern w:val="0"/>
                <w:sz w:val="24"/>
              </w:rPr>
            </w:pPr>
            <w:r>
              <w:rPr>
                <w:rFonts w:hint="eastAsia" w:ascii="宋体" w:hAnsi="宋体"/>
                <w:color w:val="auto"/>
                <w:spacing w:val="15"/>
                <w:kern w:val="0"/>
                <w:sz w:val="24"/>
              </w:rPr>
              <w:t>遴选项目名称：</w:t>
            </w:r>
            <w:r>
              <w:rPr>
                <w:rFonts w:hint="eastAsia" w:ascii="宋体" w:hAnsi="宋体"/>
                <w:color w:val="auto"/>
                <w:kern w:val="0"/>
                <w:sz w:val="24"/>
                <w:lang w:eastAsia="zh-CN"/>
              </w:rPr>
              <w:t>娄底市中心医院</w:t>
            </w:r>
            <w:r>
              <w:rPr>
                <w:rFonts w:ascii="宋体" w:hAnsi="宋体"/>
                <w:color w:val="auto"/>
                <w:kern w:val="0"/>
                <w:sz w:val="24"/>
              </w:rPr>
              <w:t>招标采购代理机构遴选项目</w:t>
            </w:r>
            <w:r>
              <w:rPr>
                <w:rFonts w:hint="eastAsia" w:ascii="宋体" w:hAnsi="宋体"/>
                <w:color w:val="auto"/>
                <w:kern w:val="0"/>
                <w:sz w:val="24"/>
              </w:rPr>
              <w:t>第</w:t>
            </w:r>
            <w:r>
              <w:rPr>
                <w:rFonts w:hint="eastAsia" w:ascii="宋体" w:hAnsi="宋体"/>
                <w:color w:val="auto"/>
                <w:kern w:val="0"/>
                <w:sz w:val="24"/>
                <w:lang w:val="en-US" w:eastAsia="zh-CN"/>
              </w:rPr>
              <w:t>*</w:t>
            </w:r>
            <w:r>
              <w:rPr>
                <w:rFonts w:hint="eastAsia" w:ascii="宋体" w:hAnsi="宋体"/>
                <w:color w:val="auto"/>
                <w:kern w:val="0"/>
                <w:sz w:val="24"/>
              </w:rPr>
              <w:t>包</w:t>
            </w:r>
          </w:p>
          <w:p w14:paraId="005CC868">
            <w:pPr>
              <w:widowControl/>
              <w:adjustRightInd w:val="0"/>
              <w:snapToGrid w:val="0"/>
              <w:spacing w:line="360" w:lineRule="auto"/>
              <w:rPr>
                <w:rFonts w:ascii="宋体" w:hAnsi="宋体"/>
                <w:color w:val="auto"/>
                <w:spacing w:val="15"/>
                <w:kern w:val="0"/>
                <w:sz w:val="24"/>
              </w:rPr>
            </w:pPr>
            <w:r>
              <w:rPr>
                <w:rFonts w:hint="eastAsia" w:ascii="宋体" w:hAnsi="宋体"/>
                <w:color w:val="auto"/>
                <w:spacing w:val="15"/>
                <w:kern w:val="0"/>
                <w:sz w:val="24"/>
                <w:lang w:eastAsia="zh-CN"/>
              </w:rPr>
              <w:t>供应商</w:t>
            </w:r>
            <w:r>
              <w:rPr>
                <w:rFonts w:hint="eastAsia" w:ascii="宋体" w:hAnsi="宋体"/>
                <w:color w:val="auto"/>
                <w:spacing w:val="15"/>
                <w:kern w:val="0"/>
                <w:sz w:val="24"/>
              </w:rPr>
              <w:t>：</w:t>
            </w:r>
          </w:p>
          <w:p w14:paraId="514EEB23">
            <w:pPr>
              <w:widowControl/>
              <w:adjustRightInd w:val="0"/>
              <w:snapToGrid w:val="0"/>
              <w:spacing w:line="360" w:lineRule="auto"/>
              <w:rPr>
                <w:rFonts w:ascii="宋体" w:hAnsi="宋体"/>
                <w:color w:val="auto"/>
                <w:spacing w:val="15"/>
                <w:kern w:val="0"/>
                <w:sz w:val="24"/>
              </w:rPr>
            </w:pPr>
            <w:r>
              <w:rPr>
                <w:rFonts w:hint="eastAsia" w:ascii="宋体" w:hAnsi="宋体"/>
                <w:color w:val="auto"/>
                <w:spacing w:val="15"/>
                <w:kern w:val="0"/>
                <w:sz w:val="24"/>
              </w:rPr>
              <w:t>在</w:t>
            </w:r>
            <w:r>
              <w:rPr>
                <w:rFonts w:hint="eastAsia" w:ascii="宋体" w:hAnsi="宋体"/>
                <w:color w:val="auto"/>
                <w:spacing w:val="15"/>
                <w:kern w:val="0"/>
                <w:sz w:val="24"/>
                <w:u w:val="single"/>
              </w:rPr>
              <w:t>20</w:t>
            </w:r>
            <w:r>
              <w:rPr>
                <w:rFonts w:ascii="宋体" w:hAnsi="宋体"/>
                <w:color w:val="auto"/>
                <w:spacing w:val="15"/>
                <w:kern w:val="0"/>
                <w:sz w:val="24"/>
                <w:u w:val="single"/>
              </w:rPr>
              <w:t>2</w:t>
            </w:r>
            <w:r>
              <w:rPr>
                <w:rFonts w:hint="eastAsia" w:ascii="宋体" w:hAnsi="宋体"/>
                <w:color w:val="auto"/>
                <w:spacing w:val="15"/>
                <w:kern w:val="0"/>
                <w:sz w:val="24"/>
                <w:u w:val="single"/>
                <w:lang w:val="en-US" w:eastAsia="zh-CN"/>
              </w:rPr>
              <w:t>5</w:t>
            </w:r>
            <w:r>
              <w:rPr>
                <w:rFonts w:hint="eastAsia" w:ascii="宋体" w:hAnsi="宋体"/>
                <w:color w:val="auto"/>
                <w:spacing w:val="15"/>
                <w:kern w:val="0"/>
                <w:sz w:val="24"/>
                <w:u w:val="single"/>
              </w:rPr>
              <w:t>年</w:t>
            </w:r>
            <w:r>
              <w:rPr>
                <w:rFonts w:hint="eastAsia" w:ascii="宋体" w:hAnsi="宋体"/>
                <w:color w:val="auto"/>
                <w:spacing w:val="15"/>
                <w:kern w:val="0"/>
                <w:sz w:val="24"/>
                <w:u w:val="single"/>
                <w:lang w:val="en-US" w:eastAsia="zh-CN"/>
              </w:rPr>
              <w:t xml:space="preserve">  </w:t>
            </w:r>
            <w:r>
              <w:rPr>
                <w:rFonts w:hint="eastAsia" w:ascii="宋体" w:hAnsi="宋体"/>
                <w:color w:val="auto"/>
                <w:spacing w:val="15"/>
                <w:kern w:val="0"/>
                <w:sz w:val="24"/>
              </w:rPr>
              <w:t>月</w:t>
            </w:r>
            <w:r>
              <w:rPr>
                <w:rFonts w:hint="eastAsia" w:ascii="宋体" w:hAnsi="宋体"/>
                <w:color w:val="auto"/>
                <w:spacing w:val="15"/>
                <w:kern w:val="0"/>
                <w:sz w:val="24"/>
                <w:u w:val="single"/>
                <w:lang w:val="en-US" w:eastAsia="zh-CN"/>
              </w:rPr>
              <w:t xml:space="preserve">  </w:t>
            </w:r>
            <w:r>
              <w:rPr>
                <w:rFonts w:hint="eastAsia" w:ascii="宋体" w:hAnsi="宋体"/>
                <w:color w:val="auto"/>
                <w:spacing w:val="15"/>
                <w:kern w:val="0"/>
                <w:sz w:val="24"/>
              </w:rPr>
              <w:t>日上午</w:t>
            </w:r>
            <w:r>
              <w:rPr>
                <w:rFonts w:hint="eastAsia" w:ascii="宋体" w:hAnsi="宋体"/>
                <w:color w:val="auto"/>
                <w:spacing w:val="15"/>
                <w:kern w:val="0"/>
                <w:sz w:val="24"/>
                <w:u w:val="single"/>
              </w:rPr>
              <w:t xml:space="preserve"> 9</w:t>
            </w:r>
            <w:r>
              <w:rPr>
                <w:rFonts w:hint="eastAsia" w:ascii="宋体" w:hAnsi="宋体"/>
                <w:color w:val="auto"/>
                <w:spacing w:val="15"/>
                <w:kern w:val="0"/>
                <w:sz w:val="24"/>
              </w:rPr>
              <w:t xml:space="preserve"> 时</w:t>
            </w:r>
            <w:r>
              <w:rPr>
                <w:rFonts w:hint="eastAsia" w:ascii="宋体" w:hAnsi="宋体"/>
                <w:color w:val="auto"/>
                <w:spacing w:val="15"/>
                <w:kern w:val="0"/>
                <w:sz w:val="24"/>
                <w:u w:val="single"/>
              </w:rPr>
              <w:t>0</w:t>
            </w:r>
            <w:r>
              <w:rPr>
                <w:rFonts w:ascii="宋体" w:hAnsi="宋体"/>
                <w:color w:val="auto"/>
                <w:spacing w:val="15"/>
                <w:kern w:val="0"/>
                <w:sz w:val="24"/>
                <w:u w:val="single"/>
              </w:rPr>
              <w:t>0</w:t>
            </w:r>
            <w:r>
              <w:rPr>
                <w:rFonts w:hint="eastAsia" w:ascii="宋体" w:hAnsi="宋体"/>
                <w:color w:val="auto"/>
                <w:spacing w:val="15"/>
                <w:kern w:val="0"/>
                <w:sz w:val="24"/>
              </w:rPr>
              <w:t>分，此时间以前不得开封。</w:t>
            </w:r>
          </w:p>
        </w:tc>
      </w:tr>
    </w:tbl>
    <w:p w14:paraId="4E10FDF0">
      <w:pPr>
        <w:adjustRightInd w:val="0"/>
        <w:snapToGrid w:val="0"/>
        <w:spacing w:line="360" w:lineRule="auto"/>
        <w:ind w:firstLine="480"/>
        <w:rPr>
          <w:rFonts w:ascii="宋体" w:hAnsi="宋体"/>
          <w:color w:val="auto"/>
          <w:sz w:val="24"/>
        </w:rPr>
      </w:pPr>
    </w:p>
    <w:p w14:paraId="3A65A6E6">
      <w:pPr>
        <w:adjustRightInd w:val="0"/>
        <w:snapToGrid w:val="0"/>
        <w:spacing w:line="360" w:lineRule="auto"/>
        <w:ind w:firstLine="480"/>
        <w:rPr>
          <w:rFonts w:ascii="宋体" w:hAnsi="宋体"/>
          <w:color w:val="auto"/>
          <w:sz w:val="24"/>
        </w:rPr>
      </w:pPr>
      <w:r>
        <w:rPr>
          <w:rFonts w:hint="eastAsia" w:ascii="宋体" w:hAnsi="宋体"/>
          <w:color w:val="auto"/>
          <w:sz w:val="24"/>
        </w:rPr>
        <w:t>密封袋不得有任何修饰、破损及其他痕迹。如果</w:t>
      </w:r>
      <w:r>
        <w:rPr>
          <w:rFonts w:hint="eastAsia" w:ascii="宋体" w:hAnsi="宋体"/>
          <w:color w:val="auto"/>
          <w:sz w:val="24"/>
          <w:szCs w:val="24"/>
          <w:lang w:val="en-US" w:eastAsia="zh-CN"/>
        </w:rPr>
        <w:t>响应</w:t>
      </w:r>
      <w:r>
        <w:rPr>
          <w:rFonts w:hint="eastAsia" w:ascii="宋体" w:hAnsi="宋体"/>
          <w:color w:val="auto"/>
          <w:sz w:val="24"/>
          <w:lang w:eastAsia="zh-CN"/>
        </w:rPr>
        <w:t>文件</w:t>
      </w:r>
      <w:r>
        <w:rPr>
          <w:rFonts w:hint="eastAsia" w:ascii="宋体" w:hAnsi="宋体"/>
          <w:color w:val="auto"/>
          <w:sz w:val="24"/>
        </w:rPr>
        <w:t>没有按上述要求密封，</w:t>
      </w:r>
      <w:r>
        <w:rPr>
          <w:rFonts w:hint="eastAsia" w:ascii="宋体" w:hAnsi="宋体"/>
          <w:color w:val="auto"/>
          <w:sz w:val="24"/>
          <w:lang w:eastAsia="zh-CN"/>
        </w:rPr>
        <w:t>采购人</w:t>
      </w:r>
      <w:r>
        <w:rPr>
          <w:rFonts w:hint="eastAsia" w:ascii="宋体" w:hAnsi="宋体"/>
          <w:color w:val="auto"/>
          <w:sz w:val="24"/>
        </w:rPr>
        <w:t>将不承担</w:t>
      </w:r>
      <w:r>
        <w:rPr>
          <w:rFonts w:hint="eastAsia" w:ascii="宋体" w:hAnsi="宋体"/>
          <w:color w:val="auto"/>
          <w:sz w:val="24"/>
          <w:szCs w:val="24"/>
          <w:lang w:val="en-US" w:eastAsia="zh-CN"/>
        </w:rPr>
        <w:t>响应</w:t>
      </w:r>
      <w:r>
        <w:rPr>
          <w:rFonts w:hint="eastAsia" w:ascii="宋体" w:hAnsi="宋体"/>
          <w:color w:val="auto"/>
          <w:sz w:val="24"/>
          <w:lang w:eastAsia="zh-CN"/>
        </w:rPr>
        <w:t>文件</w:t>
      </w:r>
      <w:r>
        <w:rPr>
          <w:rFonts w:hint="eastAsia" w:ascii="宋体" w:hAnsi="宋体"/>
          <w:color w:val="auto"/>
          <w:sz w:val="24"/>
        </w:rPr>
        <w:t>错放或提前开封的责任，</w:t>
      </w:r>
      <w:r>
        <w:rPr>
          <w:rFonts w:hint="eastAsia" w:ascii="宋体" w:hAnsi="宋体"/>
          <w:color w:val="auto"/>
          <w:sz w:val="24"/>
          <w:szCs w:val="24"/>
          <w:lang w:val="en-US" w:eastAsia="zh-CN"/>
        </w:rPr>
        <w:t>响应</w:t>
      </w:r>
      <w:r>
        <w:rPr>
          <w:rFonts w:hint="eastAsia" w:ascii="宋体" w:hAnsi="宋体"/>
          <w:color w:val="auto"/>
          <w:sz w:val="24"/>
          <w:lang w:eastAsia="zh-CN"/>
        </w:rPr>
        <w:t>文件</w:t>
      </w:r>
      <w:r>
        <w:rPr>
          <w:rFonts w:hint="eastAsia" w:ascii="宋体" w:hAnsi="宋体"/>
          <w:color w:val="auto"/>
          <w:sz w:val="24"/>
        </w:rPr>
        <w:t>将予以拒绝。</w:t>
      </w:r>
    </w:p>
    <w:p w14:paraId="08A0CBDB">
      <w:pPr>
        <w:adjustRightInd w:val="0"/>
        <w:snapToGrid w:val="0"/>
        <w:spacing w:line="360" w:lineRule="auto"/>
        <w:ind w:firstLine="480"/>
        <w:rPr>
          <w:rFonts w:ascii="宋体" w:hAnsi="宋体"/>
          <w:color w:val="auto"/>
          <w:sz w:val="24"/>
        </w:rPr>
      </w:pPr>
      <w:r>
        <w:rPr>
          <w:rFonts w:hint="eastAsia" w:ascii="宋体" w:hAnsi="宋体"/>
          <w:color w:val="auto"/>
          <w:sz w:val="24"/>
        </w:rPr>
        <w:t>（6）遴选有效期为</w:t>
      </w:r>
      <w:r>
        <w:rPr>
          <w:rFonts w:hint="eastAsia" w:ascii="宋体" w:hAnsi="宋体"/>
          <w:color w:val="auto"/>
          <w:sz w:val="24"/>
          <w:szCs w:val="24"/>
          <w:lang w:val="en-US" w:eastAsia="zh-CN"/>
        </w:rPr>
        <w:t>响应</w:t>
      </w:r>
      <w:r>
        <w:rPr>
          <w:rFonts w:hint="eastAsia" w:ascii="宋体" w:hAnsi="宋体"/>
          <w:color w:val="auto"/>
          <w:sz w:val="24"/>
          <w:lang w:eastAsia="zh-CN"/>
        </w:rPr>
        <w:t>文件</w:t>
      </w:r>
      <w:r>
        <w:rPr>
          <w:rFonts w:hint="eastAsia" w:ascii="宋体" w:hAnsi="宋体"/>
          <w:color w:val="auto"/>
          <w:sz w:val="24"/>
        </w:rPr>
        <w:t>递交的截止时间起90天，在此期限内，凡符合遴选公告和遴选文件的</w:t>
      </w:r>
      <w:r>
        <w:rPr>
          <w:rFonts w:hint="eastAsia" w:ascii="宋体" w:hAnsi="宋体"/>
          <w:color w:val="auto"/>
          <w:sz w:val="24"/>
          <w:szCs w:val="24"/>
          <w:lang w:val="en-US" w:eastAsia="zh-CN"/>
        </w:rPr>
        <w:t>响应</w:t>
      </w:r>
      <w:r>
        <w:rPr>
          <w:rFonts w:hint="eastAsia" w:ascii="宋体" w:hAnsi="宋体"/>
          <w:color w:val="auto"/>
          <w:sz w:val="24"/>
          <w:lang w:eastAsia="zh-CN"/>
        </w:rPr>
        <w:t>文件</w:t>
      </w:r>
      <w:r>
        <w:rPr>
          <w:rFonts w:hint="eastAsia" w:ascii="宋体" w:hAnsi="宋体"/>
          <w:color w:val="auto"/>
          <w:sz w:val="24"/>
        </w:rPr>
        <w:t>均保持有效。本次</w:t>
      </w:r>
      <w:r>
        <w:rPr>
          <w:rFonts w:hint="eastAsia" w:ascii="宋体" w:hAnsi="宋体"/>
          <w:color w:val="auto"/>
          <w:sz w:val="24"/>
          <w:szCs w:val="24"/>
          <w:lang w:val="en-US" w:eastAsia="zh-CN"/>
        </w:rPr>
        <w:t>响应</w:t>
      </w:r>
      <w:r>
        <w:rPr>
          <w:rFonts w:hint="eastAsia" w:ascii="宋体" w:hAnsi="宋体"/>
          <w:color w:val="auto"/>
          <w:sz w:val="24"/>
          <w:lang w:eastAsia="zh-CN"/>
        </w:rPr>
        <w:t>文件</w:t>
      </w:r>
      <w:r>
        <w:rPr>
          <w:rFonts w:hint="eastAsia" w:ascii="宋体" w:hAnsi="宋体"/>
          <w:color w:val="auto"/>
          <w:sz w:val="24"/>
        </w:rPr>
        <w:t>资料均不退还。</w:t>
      </w:r>
    </w:p>
    <w:p w14:paraId="7EAC5D5E">
      <w:pPr>
        <w:widowControl/>
        <w:spacing w:line="360" w:lineRule="auto"/>
        <w:rPr>
          <w:rFonts w:ascii="宋体" w:hAnsi="宋体"/>
          <w:color w:val="auto"/>
          <w:kern w:val="0"/>
          <w:szCs w:val="21"/>
        </w:rPr>
      </w:pPr>
    </w:p>
    <w:p w14:paraId="2B56782D">
      <w:pPr>
        <w:widowControl/>
        <w:spacing w:line="360" w:lineRule="auto"/>
        <w:rPr>
          <w:rFonts w:ascii="宋体" w:hAnsi="宋体"/>
          <w:color w:val="auto"/>
          <w:kern w:val="0"/>
          <w:szCs w:val="21"/>
        </w:rPr>
      </w:pPr>
    </w:p>
    <w:p w14:paraId="3B82DF36">
      <w:pPr>
        <w:rPr>
          <w:rFonts w:ascii="黑体" w:eastAsia="黑体"/>
          <w:color w:val="auto"/>
          <w:sz w:val="32"/>
        </w:rPr>
      </w:pPr>
    </w:p>
    <w:p w14:paraId="2747D51E">
      <w:pPr>
        <w:rPr>
          <w:rFonts w:ascii="黑体" w:eastAsia="黑体"/>
          <w:color w:val="auto"/>
          <w:sz w:val="32"/>
        </w:rPr>
      </w:pPr>
    </w:p>
    <w:p w14:paraId="5E38BD37">
      <w:pPr>
        <w:rPr>
          <w:rFonts w:ascii="黑体" w:eastAsia="黑体"/>
          <w:color w:val="auto"/>
          <w:sz w:val="32"/>
        </w:rPr>
      </w:pPr>
    </w:p>
    <w:p w14:paraId="3B4541F2">
      <w:pPr>
        <w:rPr>
          <w:rFonts w:ascii="黑体" w:eastAsia="黑体"/>
          <w:color w:val="auto"/>
          <w:sz w:val="32"/>
        </w:rPr>
      </w:pPr>
    </w:p>
    <w:p w14:paraId="28A2D3A0">
      <w:pPr>
        <w:rPr>
          <w:rFonts w:ascii="黑体" w:eastAsia="黑体"/>
          <w:color w:val="auto"/>
          <w:sz w:val="32"/>
        </w:rPr>
      </w:pPr>
    </w:p>
    <w:p w14:paraId="22A94609">
      <w:pPr>
        <w:pStyle w:val="4"/>
        <w:rPr>
          <w:color w:val="auto"/>
        </w:rPr>
      </w:pPr>
    </w:p>
    <w:p w14:paraId="4DBBC66C">
      <w:pPr>
        <w:rPr>
          <w:rFonts w:ascii="黑体" w:eastAsia="黑体"/>
          <w:color w:val="auto"/>
          <w:sz w:val="32"/>
        </w:rPr>
      </w:pPr>
      <w:r>
        <w:rPr>
          <w:rFonts w:hint="eastAsia" w:ascii="黑体" w:eastAsia="黑体"/>
          <w:color w:val="auto"/>
          <w:sz w:val="32"/>
        </w:rPr>
        <w:t xml:space="preserve">附表1   </w:t>
      </w:r>
    </w:p>
    <w:p w14:paraId="467E9A0A">
      <w:pPr>
        <w:jc w:val="center"/>
        <w:rPr>
          <w:rFonts w:ascii="黑体" w:eastAsia="黑体"/>
          <w:color w:val="auto"/>
          <w:sz w:val="32"/>
        </w:rPr>
      </w:pPr>
      <w:r>
        <w:rPr>
          <w:rFonts w:hint="eastAsia" w:ascii="黑体" w:eastAsia="黑体"/>
          <w:color w:val="auto"/>
          <w:sz w:val="32"/>
          <w:lang w:eastAsia="zh-CN"/>
        </w:rPr>
        <w:t>包</w:t>
      </w:r>
      <w:r>
        <w:rPr>
          <w:rFonts w:hint="eastAsia" w:ascii="黑体" w:eastAsia="黑体"/>
          <w:color w:val="auto"/>
          <w:sz w:val="32"/>
          <w:lang w:val="en-US" w:eastAsia="zh-CN"/>
        </w:rPr>
        <w:t>1</w:t>
      </w:r>
      <w:r>
        <w:rPr>
          <w:rFonts w:hint="eastAsia" w:ascii="黑体" w:eastAsia="黑体"/>
          <w:color w:val="auto"/>
          <w:sz w:val="32"/>
        </w:rPr>
        <w:t>评委评分表</w:t>
      </w:r>
      <w:r>
        <w:rPr>
          <w:rFonts w:hint="eastAsia" w:ascii="黑体" w:eastAsia="黑体"/>
          <w:color w:val="auto"/>
          <w:sz w:val="32"/>
          <w:lang w:val="en-US" w:eastAsia="zh-CN"/>
        </w:rPr>
        <w:t xml:space="preserve">  </w:t>
      </w:r>
      <w:r>
        <w:rPr>
          <w:rFonts w:hint="eastAsia" w:ascii="黑体" w:eastAsia="黑体"/>
          <w:color w:val="auto"/>
          <w:sz w:val="32"/>
        </w:rPr>
        <w:t>代理机构库1</w:t>
      </w:r>
      <w:r>
        <w:rPr>
          <w:rFonts w:hint="eastAsia" w:ascii="黑体" w:eastAsia="黑体"/>
          <w:color w:val="auto"/>
          <w:sz w:val="32"/>
          <w:lang w:val="en-US" w:eastAsia="zh-CN"/>
        </w:rPr>
        <w:t xml:space="preserve"> </w:t>
      </w:r>
      <w:r>
        <w:rPr>
          <w:rFonts w:hint="eastAsia" w:ascii="黑体" w:eastAsia="黑体"/>
          <w:color w:val="auto"/>
          <w:sz w:val="32"/>
        </w:rPr>
        <w:t>含货物（医疗器械）、医用试剂、医用耗材项目招标（采购）</w:t>
      </w:r>
    </w:p>
    <w:p w14:paraId="6C99E8CD">
      <w:pPr>
        <w:rPr>
          <w:color w:val="auto"/>
        </w:rPr>
      </w:pPr>
    </w:p>
    <w:tbl>
      <w:tblPr>
        <w:tblStyle w:val="21"/>
        <w:tblW w:w="84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4"/>
        <w:gridCol w:w="746"/>
        <w:gridCol w:w="6383"/>
      </w:tblGrid>
      <w:tr w14:paraId="1C553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blHeader/>
          <w:jc w:val="center"/>
        </w:trPr>
        <w:tc>
          <w:tcPr>
            <w:tcW w:w="1344" w:type="dxa"/>
            <w:vAlign w:val="center"/>
          </w:tcPr>
          <w:p w14:paraId="1D46D30D">
            <w:pPr>
              <w:spacing w:line="240" w:lineRule="auto"/>
              <w:jc w:val="center"/>
              <w:rPr>
                <w:b/>
                <w:bCs/>
                <w:color w:val="auto"/>
                <w:szCs w:val="21"/>
              </w:rPr>
            </w:pPr>
            <w:r>
              <w:rPr>
                <w:b/>
                <w:bCs/>
                <w:color w:val="auto"/>
                <w:szCs w:val="21"/>
              </w:rPr>
              <w:t>评审因素</w:t>
            </w:r>
          </w:p>
        </w:tc>
        <w:tc>
          <w:tcPr>
            <w:tcW w:w="746" w:type="dxa"/>
            <w:vAlign w:val="center"/>
          </w:tcPr>
          <w:p w14:paraId="27C6E8D9">
            <w:pPr>
              <w:spacing w:line="240" w:lineRule="auto"/>
              <w:jc w:val="center"/>
              <w:rPr>
                <w:b/>
                <w:bCs/>
                <w:color w:val="auto"/>
                <w:szCs w:val="21"/>
              </w:rPr>
            </w:pPr>
            <w:r>
              <w:rPr>
                <w:b/>
                <w:bCs/>
                <w:color w:val="auto"/>
                <w:szCs w:val="21"/>
              </w:rPr>
              <w:t>分值</w:t>
            </w:r>
          </w:p>
        </w:tc>
        <w:tc>
          <w:tcPr>
            <w:tcW w:w="6383" w:type="dxa"/>
            <w:vAlign w:val="center"/>
          </w:tcPr>
          <w:p w14:paraId="7908D3C8">
            <w:pPr>
              <w:spacing w:line="240" w:lineRule="auto"/>
              <w:jc w:val="center"/>
              <w:rPr>
                <w:b/>
                <w:bCs/>
                <w:color w:val="auto"/>
                <w:szCs w:val="21"/>
              </w:rPr>
            </w:pPr>
            <w:r>
              <w:rPr>
                <w:b/>
                <w:bCs/>
                <w:color w:val="auto"/>
                <w:szCs w:val="21"/>
              </w:rPr>
              <w:t>评分标准</w:t>
            </w:r>
          </w:p>
        </w:tc>
      </w:tr>
      <w:tr w14:paraId="440C6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344" w:type="dxa"/>
            <w:vAlign w:val="center"/>
          </w:tcPr>
          <w:p w14:paraId="6945488D">
            <w:pPr>
              <w:spacing w:line="240" w:lineRule="auto"/>
              <w:jc w:val="center"/>
              <w:rPr>
                <w:color w:val="auto"/>
                <w:szCs w:val="21"/>
              </w:rPr>
            </w:pPr>
            <w:r>
              <w:rPr>
                <w:color w:val="auto"/>
                <w:szCs w:val="21"/>
              </w:rPr>
              <w:t>办公</w:t>
            </w:r>
          </w:p>
          <w:p w14:paraId="3F1A5896">
            <w:pPr>
              <w:spacing w:line="240" w:lineRule="auto"/>
              <w:jc w:val="center"/>
              <w:rPr>
                <w:color w:val="auto"/>
                <w:szCs w:val="21"/>
              </w:rPr>
            </w:pPr>
            <w:r>
              <w:rPr>
                <w:color w:val="auto"/>
                <w:szCs w:val="21"/>
              </w:rPr>
              <w:t>场地</w:t>
            </w:r>
          </w:p>
        </w:tc>
        <w:tc>
          <w:tcPr>
            <w:tcW w:w="746" w:type="dxa"/>
            <w:vAlign w:val="center"/>
          </w:tcPr>
          <w:p w14:paraId="09636226">
            <w:pPr>
              <w:spacing w:line="240" w:lineRule="auto"/>
              <w:jc w:val="center"/>
              <w:rPr>
                <w:color w:val="auto"/>
                <w:szCs w:val="21"/>
              </w:rPr>
            </w:pPr>
            <w:r>
              <w:rPr>
                <w:rFonts w:hint="eastAsia"/>
                <w:color w:val="auto"/>
                <w:szCs w:val="21"/>
                <w:lang w:val="en-US" w:eastAsia="zh-CN"/>
              </w:rPr>
              <w:t>18</w:t>
            </w:r>
            <w:r>
              <w:rPr>
                <w:color w:val="auto"/>
                <w:szCs w:val="21"/>
              </w:rPr>
              <w:t>分</w:t>
            </w:r>
          </w:p>
        </w:tc>
        <w:tc>
          <w:tcPr>
            <w:tcW w:w="6383" w:type="dxa"/>
            <w:vAlign w:val="center"/>
          </w:tcPr>
          <w:p w14:paraId="78D29B35">
            <w:pPr>
              <w:spacing w:line="240" w:lineRule="auto"/>
              <w:jc w:val="left"/>
              <w:rPr>
                <w:rFonts w:hint="eastAsia"/>
                <w:color w:val="auto"/>
                <w:szCs w:val="21"/>
                <w:lang w:val="en-US" w:eastAsia="zh-CN"/>
              </w:rPr>
            </w:pPr>
            <w:r>
              <w:rPr>
                <w:rFonts w:hint="eastAsia"/>
                <w:color w:val="auto"/>
                <w:szCs w:val="21"/>
                <w:lang w:val="en-US" w:eastAsia="zh-CN"/>
              </w:rPr>
              <w:t>1、</w:t>
            </w:r>
            <w:r>
              <w:rPr>
                <w:rFonts w:hint="default"/>
                <w:color w:val="auto"/>
                <w:szCs w:val="21"/>
                <w:lang w:val="en-US" w:eastAsia="zh-CN"/>
              </w:rPr>
              <w:t>具备独立的办公场所</w:t>
            </w:r>
            <w:r>
              <w:rPr>
                <w:rFonts w:hint="eastAsia"/>
                <w:color w:val="auto"/>
                <w:szCs w:val="21"/>
                <w:lang w:val="en-US" w:eastAsia="zh-CN"/>
              </w:rPr>
              <w:t>及设备等</w:t>
            </w:r>
            <w:r>
              <w:rPr>
                <w:rFonts w:hint="default"/>
                <w:color w:val="auto"/>
                <w:szCs w:val="21"/>
                <w:lang w:val="en-US" w:eastAsia="zh-CN"/>
              </w:rPr>
              <w:t>代理采购业务所必需的办公条件</w:t>
            </w:r>
            <w:r>
              <w:rPr>
                <w:rFonts w:hint="eastAsia"/>
                <w:color w:val="auto"/>
                <w:szCs w:val="21"/>
                <w:lang w:val="en-US" w:eastAsia="zh-CN"/>
              </w:rPr>
              <w:t>的计4分。</w:t>
            </w:r>
          </w:p>
          <w:p w14:paraId="0200C3C5">
            <w:pPr>
              <w:spacing w:line="240" w:lineRule="auto"/>
              <w:jc w:val="left"/>
              <w:rPr>
                <w:rFonts w:hint="eastAsia"/>
                <w:color w:val="auto"/>
                <w:szCs w:val="21"/>
                <w:lang w:val="en-US" w:eastAsia="zh-CN"/>
              </w:rPr>
            </w:pPr>
            <w:r>
              <w:rPr>
                <w:rFonts w:hint="eastAsia"/>
                <w:color w:val="auto"/>
                <w:szCs w:val="21"/>
                <w:lang w:val="en-US" w:eastAsia="zh-CN"/>
              </w:rPr>
              <w:t>2、办公场所中具备组织开、评标条件的计4分。</w:t>
            </w:r>
          </w:p>
          <w:p w14:paraId="1DB68D16">
            <w:pPr>
              <w:spacing w:line="240" w:lineRule="auto"/>
              <w:jc w:val="left"/>
              <w:rPr>
                <w:rFonts w:hint="eastAsia"/>
                <w:color w:val="auto"/>
                <w:szCs w:val="21"/>
                <w:lang w:val="en-US" w:eastAsia="zh-CN"/>
              </w:rPr>
            </w:pPr>
            <w:r>
              <w:rPr>
                <w:rFonts w:hint="eastAsia"/>
                <w:color w:val="auto"/>
                <w:szCs w:val="21"/>
                <w:lang w:val="en-US" w:eastAsia="zh-CN"/>
              </w:rPr>
              <w:t>3、</w:t>
            </w:r>
            <w:r>
              <w:rPr>
                <w:rFonts w:hint="default"/>
                <w:color w:val="auto"/>
                <w:szCs w:val="21"/>
                <w:lang w:val="en-US" w:eastAsia="zh-CN"/>
              </w:rPr>
              <w:t>具备独立的档案存储场所</w:t>
            </w:r>
            <w:r>
              <w:rPr>
                <w:rFonts w:hint="eastAsia"/>
                <w:color w:val="auto"/>
                <w:szCs w:val="21"/>
                <w:lang w:val="en-US" w:eastAsia="zh-CN"/>
              </w:rPr>
              <w:t>的计4分，档案存储场所应符合相关要求。</w:t>
            </w:r>
          </w:p>
          <w:p w14:paraId="74F8EFAB">
            <w:pPr>
              <w:spacing w:line="240" w:lineRule="auto"/>
              <w:jc w:val="left"/>
              <w:rPr>
                <w:rFonts w:hint="eastAsia" w:ascii="Times New Roman" w:hAnsi="Times New Roman" w:cs="Times New Roman"/>
                <w:color w:val="auto"/>
                <w:szCs w:val="21"/>
                <w:lang w:val="en-US" w:eastAsia="zh-CN"/>
              </w:rPr>
            </w:pPr>
            <w:r>
              <w:rPr>
                <w:rFonts w:hint="eastAsia"/>
                <w:color w:val="auto"/>
                <w:szCs w:val="21"/>
                <w:lang w:val="en-US" w:eastAsia="zh-CN"/>
              </w:rPr>
              <w:t>4、独立办公场所面积</w:t>
            </w:r>
            <w:r>
              <w:rPr>
                <w:rFonts w:hint="eastAsia" w:ascii="Times New Roman" w:hAnsi="Times New Roman" w:cs="Times New Roman"/>
                <w:color w:val="auto"/>
                <w:szCs w:val="21"/>
                <w:lang w:val="en-US" w:eastAsia="zh-CN"/>
              </w:rPr>
              <w:t>≥200平方米的计3</w:t>
            </w:r>
            <w:r>
              <w:rPr>
                <w:rFonts w:hint="eastAsia" w:cs="Times New Roman"/>
                <w:color w:val="auto"/>
                <w:szCs w:val="21"/>
                <w:lang w:val="en-US" w:eastAsia="zh-CN"/>
              </w:rPr>
              <w:t>分</w:t>
            </w:r>
            <w:r>
              <w:rPr>
                <w:rFonts w:hint="eastAsia" w:ascii="Times New Roman" w:hAnsi="Times New Roman" w:cs="Times New Roman"/>
                <w:color w:val="auto"/>
                <w:szCs w:val="21"/>
                <w:lang w:val="en-US" w:eastAsia="zh-CN"/>
              </w:rPr>
              <w:t>。</w:t>
            </w:r>
          </w:p>
          <w:p w14:paraId="38D76D69">
            <w:pPr>
              <w:spacing w:line="240" w:lineRule="auto"/>
              <w:jc w:val="left"/>
              <w:rPr>
                <w:rFonts w:hint="default"/>
                <w:color w:val="auto"/>
                <w:szCs w:val="21"/>
                <w:lang w:val="en-US" w:eastAsia="zh-CN"/>
              </w:rPr>
            </w:pPr>
            <w:r>
              <w:rPr>
                <w:rFonts w:hint="eastAsia" w:ascii="Times New Roman" w:hAnsi="Times New Roman" w:cs="Times New Roman"/>
                <w:color w:val="auto"/>
                <w:szCs w:val="21"/>
                <w:lang w:val="en-US" w:eastAsia="zh-CN"/>
              </w:rPr>
              <w:t>5、</w:t>
            </w:r>
            <w:r>
              <w:rPr>
                <w:rFonts w:hint="default"/>
                <w:color w:val="auto"/>
                <w:szCs w:val="21"/>
                <w:lang w:val="en-US" w:eastAsia="zh-CN"/>
              </w:rPr>
              <w:t>独立的档案存储场所</w:t>
            </w:r>
            <w:r>
              <w:rPr>
                <w:rFonts w:hint="eastAsia"/>
                <w:color w:val="auto"/>
                <w:szCs w:val="21"/>
                <w:lang w:val="en-US" w:eastAsia="zh-CN"/>
              </w:rPr>
              <w:t>面积</w:t>
            </w:r>
            <w:r>
              <w:rPr>
                <w:rFonts w:hint="eastAsia" w:ascii="Times New Roman" w:hAnsi="Times New Roman" w:cs="Times New Roman"/>
                <w:color w:val="auto"/>
                <w:szCs w:val="21"/>
                <w:lang w:val="en-US" w:eastAsia="zh-CN"/>
              </w:rPr>
              <w:t>≥100平方米的计3分。</w:t>
            </w:r>
          </w:p>
          <w:p w14:paraId="514727EF">
            <w:pPr>
              <w:spacing w:line="240" w:lineRule="auto"/>
              <w:jc w:val="left"/>
              <w:rPr>
                <w:rFonts w:hint="eastAsia"/>
                <w:color w:val="auto"/>
                <w:szCs w:val="21"/>
                <w:lang w:val="en-US" w:eastAsia="zh-CN"/>
              </w:rPr>
            </w:pPr>
            <w:r>
              <w:rPr>
                <w:rFonts w:hint="eastAsia"/>
                <w:color w:val="auto"/>
                <w:szCs w:val="21"/>
                <w:lang w:val="en-US" w:eastAsia="zh-CN"/>
              </w:rPr>
              <w:t>（注：须提供办公场所房产证和租赁合同复印件，提供办公场所与档案存储场所实景照片，未提供的不计分，不排除采购人事后实地考察的需要，如不符合，按虚假应标处理）</w:t>
            </w:r>
          </w:p>
        </w:tc>
      </w:tr>
      <w:tr w14:paraId="5FBD2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344" w:type="dxa"/>
            <w:vMerge w:val="restart"/>
            <w:vAlign w:val="center"/>
          </w:tcPr>
          <w:p w14:paraId="0236E356">
            <w:pPr>
              <w:spacing w:line="240" w:lineRule="auto"/>
              <w:jc w:val="center"/>
              <w:rPr>
                <w:color w:val="auto"/>
                <w:szCs w:val="21"/>
              </w:rPr>
            </w:pPr>
            <w:r>
              <w:rPr>
                <w:rFonts w:hint="eastAsia" w:ascii="Noto Sans" w:hAnsi="Noto Sans" w:cs="Noto Sans"/>
                <w:i w:val="0"/>
                <w:caps w:val="0"/>
                <w:color w:val="auto"/>
                <w:spacing w:val="0"/>
                <w:sz w:val="24"/>
                <w:szCs w:val="24"/>
                <w:shd w:val="clear" w:color="auto" w:fill="FFFFFF"/>
                <w:vertAlign w:val="baseline"/>
                <w:lang w:eastAsia="zh-CN"/>
              </w:rPr>
              <w:t>拟派</w:t>
            </w:r>
            <w:r>
              <w:rPr>
                <w:rFonts w:hint="eastAsia" w:ascii="Noto Sans" w:hAnsi="Noto Sans" w:eastAsia="宋体" w:cs="Noto Sans"/>
                <w:i w:val="0"/>
                <w:caps w:val="0"/>
                <w:color w:val="auto"/>
                <w:spacing w:val="0"/>
                <w:sz w:val="24"/>
                <w:szCs w:val="24"/>
                <w:shd w:val="clear" w:color="auto" w:fill="FFFFFF"/>
                <w:vertAlign w:val="baseline"/>
                <w:lang w:eastAsia="zh-CN"/>
              </w:rPr>
              <w:t>项目组成员</w:t>
            </w:r>
            <w:r>
              <w:rPr>
                <w:rFonts w:hint="eastAsia" w:ascii="Noto Sans" w:hAnsi="Noto Sans" w:cs="Noto Sans"/>
                <w:i w:val="0"/>
                <w:caps w:val="0"/>
                <w:color w:val="auto"/>
                <w:spacing w:val="0"/>
                <w:sz w:val="24"/>
                <w:szCs w:val="24"/>
                <w:shd w:val="clear" w:color="auto" w:fill="FFFFFF"/>
                <w:vertAlign w:val="baseline"/>
                <w:lang w:eastAsia="zh-CN"/>
              </w:rPr>
              <w:t>实力</w:t>
            </w:r>
          </w:p>
        </w:tc>
        <w:tc>
          <w:tcPr>
            <w:tcW w:w="746" w:type="dxa"/>
            <w:vAlign w:val="center"/>
          </w:tcPr>
          <w:p w14:paraId="784A5939">
            <w:pPr>
              <w:spacing w:line="240" w:lineRule="auto"/>
              <w:jc w:val="center"/>
              <w:rPr>
                <w:color w:val="auto"/>
                <w:szCs w:val="21"/>
              </w:rPr>
            </w:pPr>
            <w:r>
              <w:rPr>
                <w:rFonts w:hint="eastAsia"/>
                <w:color w:val="auto"/>
                <w:szCs w:val="21"/>
                <w:lang w:val="en-US" w:eastAsia="zh-CN"/>
              </w:rPr>
              <w:t>18</w:t>
            </w:r>
            <w:r>
              <w:rPr>
                <w:rFonts w:hint="eastAsia"/>
                <w:color w:val="auto"/>
                <w:szCs w:val="21"/>
              </w:rPr>
              <w:t>分</w:t>
            </w:r>
          </w:p>
        </w:tc>
        <w:tc>
          <w:tcPr>
            <w:tcW w:w="6383" w:type="dxa"/>
            <w:vAlign w:val="center"/>
          </w:tcPr>
          <w:p w14:paraId="1BDA74CA">
            <w:pPr>
              <w:spacing w:line="240" w:lineRule="auto"/>
              <w:jc w:val="left"/>
              <w:rPr>
                <w:rFonts w:hint="eastAsia"/>
                <w:color w:val="auto"/>
                <w:szCs w:val="21"/>
                <w:lang w:val="en-US" w:eastAsia="zh-CN"/>
              </w:rPr>
            </w:pPr>
            <w:r>
              <w:rPr>
                <w:rFonts w:hint="eastAsia"/>
                <w:color w:val="auto"/>
                <w:szCs w:val="21"/>
                <w:lang w:val="en-US" w:eastAsia="zh-CN"/>
              </w:rPr>
              <w:t>拟派项目组从业人员：</w:t>
            </w:r>
          </w:p>
          <w:p w14:paraId="60BE127A">
            <w:pPr>
              <w:spacing w:line="240" w:lineRule="auto"/>
              <w:jc w:val="left"/>
              <w:rPr>
                <w:rFonts w:hint="eastAsia"/>
                <w:color w:val="auto"/>
                <w:szCs w:val="21"/>
                <w:lang w:val="en-US" w:eastAsia="zh-CN"/>
              </w:rPr>
            </w:pPr>
            <w:r>
              <w:rPr>
                <w:rFonts w:hint="eastAsia"/>
                <w:color w:val="auto"/>
                <w:szCs w:val="21"/>
                <w:lang w:val="en-US" w:eastAsia="zh-CN"/>
              </w:rPr>
              <w:t>1、湖南省内的通过湖南省政府采购协会颁发的政府采购人员培训合格证代理机构业务能力考试的（湖南省外的取得政府采购从业人员岗前培训证明的），每人计2分；最高计6分；</w:t>
            </w:r>
          </w:p>
          <w:p w14:paraId="2656FEA2">
            <w:pPr>
              <w:spacing w:line="240" w:lineRule="auto"/>
              <w:jc w:val="left"/>
              <w:rPr>
                <w:rFonts w:hint="default"/>
                <w:color w:val="auto"/>
                <w:szCs w:val="21"/>
                <w:lang w:val="en-US" w:eastAsia="zh-CN"/>
              </w:rPr>
            </w:pPr>
            <w:r>
              <w:rPr>
                <w:rFonts w:hint="eastAsia"/>
                <w:color w:val="auto"/>
                <w:szCs w:val="21"/>
                <w:lang w:val="en-US" w:eastAsia="zh-CN"/>
              </w:rPr>
              <w:t>2、拟派项目组从业人员具备中级及以上职称的每人计1分，最高计3分。</w:t>
            </w:r>
          </w:p>
          <w:p w14:paraId="14273197">
            <w:pPr>
              <w:spacing w:line="240" w:lineRule="auto"/>
              <w:jc w:val="left"/>
              <w:rPr>
                <w:rFonts w:hint="eastAsia"/>
                <w:color w:val="auto"/>
                <w:szCs w:val="21"/>
                <w:lang w:val="en-US" w:eastAsia="zh-CN"/>
              </w:rPr>
            </w:pPr>
            <w:r>
              <w:rPr>
                <w:rFonts w:hint="eastAsia"/>
                <w:color w:val="auto"/>
                <w:szCs w:val="21"/>
                <w:lang w:val="en-US" w:eastAsia="zh-CN"/>
              </w:rPr>
              <w:t>3、拟派项目组从业人员从业经验5年及以上的每人计2分，最高计6分。（需提供2017年1月1日起的证明材料，一个自然年内至少一份采购代理协议，且该代理协议明确该人员是项目组成员，否则不计分）</w:t>
            </w:r>
          </w:p>
          <w:p w14:paraId="78D9762E">
            <w:pPr>
              <w:spacing w:line="240" w:lineRule="auto"/>
              <w:jc w:val="left"/>
              <w:rPr>
                <w:rFonts w:hint="default"/>
                <w:color w:val="auto"/>
                <w:szCs w:val="21"/>
                <w:lang w:val="en-US" w:eastAsia="zh-CN"/>
              </w:rPr>
            </w:pPr>
            <w:r>
              <w:rPr>
                <w:rFonts w:hint="eastAsia"/>
                <w:color w:val="auto"/>
                <w:szCs w:val="21"/>
                <w:lang w:val="en-US" w:eastAsia="zh-CN"/>
              </w:rPr>
              <w:t>4、拟派项目组从业人员具备医用试剂或医用耗材等医疗器械的管理、生产、销售、经营相关经验5年及以上的每人计1分，最高计3分（提供2017年1月1日起从事该行业相关证明）</w:t>
            </w:r>
          </w:p>
          <w:p w14:paraId="4C13C48C">
            <w:pPr>
              <w:spacing w:line="240" w:lineRule="auto"/>
              <w:jc w:val="left"/>
              <w:rPr>
                <w:rFonts w:hint="eastAsia"/>
                <w:color w:val="auto"/>
                <w:szCs w:val="21"/>
                <w:lang w:val="en-US" w:eastAsia="zh-CN"/>
              </w:rPr>
            </w:pPr>
            <w:r>
              <w:rPr>
                <w:rFonts w:hint="eastAsia"/>
                <w:color w:val="auto"/>
                <w:szCs w:val="21"/>
                <w:lang w:val="en-US" w:eastAsia="zh-CN"/>
              </w:rPr>
              <w:t>（注：提供与从业人员姓名相对应的身份证和政府采购代理机构培训合格证复印件；提供供应商为该成员缴纳社保证明复印件《如：社会保险费缴款书或银行电子缴税（费）凭证或社保管理部门出具的有效的缴款证明》，未提供的不计分。）</w:t>
            </w:r>
          </w:p>
        </w:tc>
      </w:tr>
      <w:tr w14:paraId="3026C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8" w:hRule="atLeast"/>
          <w:jc w:val="center"/>
        </w:trPr>
        <w:tc>
          <w:tcPr>
            <w:tcW w:w="1344" w:type="dxa"/>
            <w:vMerge w:val="continue"/>
            <w:vAlign w:val="center"/>
          </w:tcPr>
          <w:p w14:paraId="52B04BA0">
            <w:pPr>
              <w:spacing w:line="240" w:lineRule="auto"/>
              <w:jc w:val="center"/>
              <w:rPr>
                <w:color w:val="auto"/>
                <w:szCs w:val="21"/>
              </w:rPr>
            </w:pPr>
          </w:p>
        </w:tc>
        <w:tc>
          <w:tcPr>
            <w:tcW w:w="746" w:type="dxa"/>
            <w:vAlign w:val="center"/>
          </w:tcPr>
          <w:p w14:paraId="0DD5843B">
            <w:pPr>
              <w:spacing w:line="240" w:lineRule="auto"/>
              <w:jc w:val="center"/>
              <w:rPr>
                <w:rFonts w:hint="eastAsia" w:ascii="Noto Sans" w:hAnsi="Noto Sans" w:eastAsia="宋体" w:cs="Noto Sans"/>
                <w:i w:val="0"/>
                <w:caps w:val="0"/>
                <w:color w:val="auto"/>
                <w:spacing w:val="0"/>
                <w:sz w:val="24"/>
                <w:szCs w:val="24"/>
                <w:shd w:val="clear" w:color="auto" w:fill="FFFFFF"/>
                <w:vertAlign w:val="baseline"/>
                <w:lang w:eastAsia="zh-CN"/>
              </w:rPr>
            </w:pPr>
            <w:r>
              <w:rPr>
                <w:rFonts w:hint="eastAsia"/>
                <w:color w:val="auto"/>
                <w:szCs w:val="21"/>
                <w:lang w:val="en-US" w:eastAsia="zh-CN"/>
              </w:rPr>
              <w:t>6</w:t>
            </w:r>
            <w:r>
              <w:rPr>
                <w:color w:val="auto"/>
                <w:szCs w:val="21"/>
              </w:rPr>
              <w:t>分</w:t>
            </w:r>
          </w:p>
        </w:tc>
        <w:tc>
          <w:tcPr>
            <w:tcW w:w="6383" w:type="dxa"/>
            <w:vAlign w:val="center"/>
          </w:tcPr>
          <w:p w14:paraId="115FB290">
            <w:pPr>
              <w:spacing w:line="240" w:lineRule="auto"/>
              <w:jc w:val="left"/>
              <w:rPr>
                <w:rFonts w:hint="eastAsia"/>
                <w:color w:val="auto"/>
                <w:szCs w:val="21"/>
                <w:lang w:val="en-US" w:eastAsia="zh-CN"/>
              </w:rPr>
            </w:pPr>
            <w:r>
              <w:rPr>
                <w:rFonts w:hint="eastAsia"/>
                <w:color w:val="auto"/>
                <w:szCs w:val="21"/>
                <w:lang w:val="en-US" w:eastAsia="zh-CN"/>
              </w:rPr>
              <w:t>1、提供自2021年1月1日起至今，项目负责人负责的三甲综合公立医院医疗器械政府采购代理</w:t>
            </w:r>
            <w:r>
              <w:rPr>
                <w:rFonts w:hint="eastAsia"/>
                <w:color w:val="auto"/>
                <w:szCs w:val="21"/>
                <w:lang w:val="en" w:eastAsia="zh-CN"/>
              </w:rPr>
              <w:t>经验（</w:t>
            </w:r>
            <w:r>
              <w:rPr>
                <w:rFonts w:hint="eastAsia"/>
                <w:color w:val="auto"/>
                <w:szCs w:val="21"/>
                <w:lang w:val="en-US" w:eastAsia="zh-CN"/>
              </w:rPr>
              <w:t>业绩</w:t>
            </w:r>
            <w:r>
              <w:rPr>
                <w:rFonts w:hint="eastAsia"/>
                <w:color w:val="auto"/>
                <w:szCs w:val="21"/>
                <w:lang w:val="en" w:eastAsia="zh-CN"/>
              </w:rPr>
              <w:t>）</w:t>
            </w:r>
            <w:r>
              <w:rPr>
                <w:rFonts w:hint="eastAsia"/>
                <w:color w:val="auto"/>
                <w:szCs w:val="21"/>
                <w:lang w:val="en-US" w:eastAsia="zh-CN"/>
              </w:rPr>
              <w:t>的计3分；最多计3分。</w:t>
            </w:r>
          </w:p>
          <w:p w14:paraId="02264C9F">
            <w:pPr>
              <w:spacing w:line="240" w:lineRule="auto"/>
              <w:jc w:val="left"/>
              <w:rPr>
                <w:rFonts w:hint="eastAsia"/>
                <w:color w:val="auto"/>
                <w:szCs w:val="21"/>
                <w:lang w:val="en-US" w:eastAsia="zh-CN"/>
              </w:rPr>
            </w:pPr>
            <w:r>
              <w:rPr>
                <w:rFonts w:hint="eastAsia"/>
                <w:color w:val="auto"/>
                <w:szCs w:val="21"/>
                <w:lang w:val="en-US" w:eastAsia="zh-CN"/>
              </w:rPr>
              <w:t>2、提供自2021年1月1日起至今，项目负责人负责的三甲综合公立医院医用耗材或医用试剂采购代理</w:t>
            </w:r>
            <w:r>
              <w:rPr>
                <w:rFonts w:hint="eastAsia"/>
                <w:color w:val="auto"/>
                <w:szCs w:val="21"/>
                <w:lang w:val="en" w:eastAsia="zh-CN"/>
              </w:rPr>
              <w:t>经验（</w:t>
            </w:r>
            <w:r>
              <w:rPr>
                <w:rFonts w:hint="eastAsia"/>
                <w:color w:val="auto"/>
                <w:szCs w:val="21"/>
                <w:lang w:val="en-US" w:eastAsia="zh-CN"/>
              </w:rPr>
              <w:t>业绩</w:t>
            </w:r>
            <w:r>
              <w:rPr>
                <w:rFonts w:hint="eastAsia"/>
                <w:color w:val="auto"/>
                <w:szCs w:val="21"/>
                <w:lang w:val="en" w:eastAsia="zh-CN"/>
              </w:rPr>
              <w:t>）</w:t>
            </w:r>
            <w:r>
              <w:rPr>
                <w:rFonts w:hint="eastAsia"/>
                <w:color w:val="auto"/>
                <w:szCs w:val="21"/>
                <w:lang w:val="en-US" w:eastAsia="zh-CN"/>
              </w:rPr>
              <w:t>的计3分；最多计3分。</w:t>
            </w:r>
          </w:p>
          <w:p w14:paraId="55B1DB12">
            <w:pPr>
              <w:spacing w:line="240" w:lineRule="auto"/>
              <w:jc w:val="left"/>
              <w:rPr>
                <w:rFonts w:hint="eastAsia"/>
                <w:color w:val="auto"/>
                <w:szCs w:val="21"/>
                <w:lang w:val="en-US" w:eastAsia="zh-CN"/>
              </w:rPr>
            </w:pPr>
            <w:r>
              <w:rPr>
                <w:rFonts w:hint="eastAsia"/>
                <w:color w:val="auto"/>
                <w:szCs w:val="21"/>
                <w:lang w:val="en-US" w:eastAsia="zh-CN"/>
              </w:rPr>
              <w:t>（注：以上三个业绩项目为同一医院的不重复计分；项目负责人须为供应商员工，提供供应商为项目负责人依法缴纳社保的证明和身份证复印件。提供业绩的采购代理合同与网上采购公告公示页面截图（所提供的业绩</w:t>
            </w:r>
            <w:r>
              <w:rPr>
                <w:rFonts w:hint="eastAsia"/>
                <w:color w:val="auto"/>
                <w:szCs w:val="21"/>
                <w:highlight w:val="none"/>
                <w:lang w:val="en-US" w:eastAsia="zh-CN"/>
              </w:rPr>
              <w:t>可为不同供应商的</w:t>
            </w:r>
            <w:r>
              <w:rPr>
                <w:rFonts w:hint="eastAsia"/>
                <w:color w:val="auto"/>
                <w:szCs w:val="21"/>
                <w:lang w:val="en-US" w:eastAsia="zh-CN"/>
              </w:rPr>
              <w:t>，但采购代理合同签署的项目负责人为同一人即可），未提供的不计分。）</w:t>
            </w:r>
          </w:p>
        </w:tc>
      </w:tr>
      <w:tr w14:paraId="1185F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1344" w:type="dxa"/>
            <w:vMerge w:val="continue"/>
            <w:vAlign w:val="center"/>
          </w:tcPr>
          <w:p w14:paraId="2F8EEAB2">
            <w:pPr>
              <w:spacing w:line="240" w:lineRule="auto"/>
              <w:jc w:val="center"/>
              <w:rPr>
                <w:color w:val="auto"/>
                <w:szCs w:val="21"/>
              </w:rPr>
            </w:pPr>
          </w:p>
        </w:tc>
        <w:tc>
          <w:tcPr>
            <w:tcW w:w="746" w:type="dxa"/>
            <w:shd w:val="clear" w:color="auto" w:fill="auto"/>
            <w:vAlign w:val="center"/>
          </w:tcPr>
          <w:p w14:paraId="35B235F2">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32" w:lineRule="atLeast"/>
              <w:ind w:right="0" w:rightChars="0"/>
              <w:textAlignment w:val="baseline"/>
              <w:rPr>
                <w:rFonts w:hint="eastAsia" w:ascii="宋体" w:hAnsi="宋体" w:eastAsia="宋体" w:cs="宋体"/>
                <w:color w:val="auto"/>
                <w:kern w:val="0"/>
                <w:sz w:val="24"/>
                <w:szCs w:val="21"/>
                <w:lang w:val="en-US" w:eastAsia="zh-CN" w:bidi="ar-SA"/>
              </w:rPr>
            </w:pPr>
            <w:r>
              <w:rPr>
                <w:rFonts w:hint="eastAsia" w:ascii="Noto Sans" w:hAnsi="Noto Sans" w:cs="Noto Sans"/>
                <w:i w:val="0"/>
                <w:caps w:val="0"/>
                <w:color w:val="auto"/>
                <w:spacing w:val="0"/>
                <w:sz w:val="24"/>
                <w:szCs w:val="24"/>
                <w:shd w:val="clear" w:color="auto" w:fill="FFFFFF"/>
                <w:vertAlign w:val="baseline"/>
                <w:lang w:val="en-US" w:eastAsia="zh-CN"/>
              </w:rPr>
              <w:t>3</w:t>
            </w:r>
            <w:r>
              <w:rPr>
                <w:rFonts w:hint="eastAsia" w:ascii="Noto Sans" w:hAnsi="Noto Sans" w:eastAsia="宋体" w:cs="Noto Sans"/>
                <w:i w:val="0"/>
                <w:caps w:val="0"/>
                <w:color w:val="auto"/>
                <w:spacing w:val="0"/>
                <w:sz w:val="24"/>
                <w:szCs w:val="24"/>
                <w:shd w:val="clear" w:color="auto" w:fill="FFFFFF"/>
                <w:vertAlign w:val="baseline"/>
                <w:lang w:eastAsia="zh-CN"/>
              </w:rPr>
              <w:t>分</w:t>
            </w:r>
          </w:p>
        </w:tc>
        <w:tc>
          <w:tcPr>
            <w:tcW w:w="6383" w:type="dxa"/>
            <w:shd w:val="clear" w:color="auto" w:fill="auto"/>
            <w:vAlign w:val="center"/>
          </w:tcPr>
          <w:p w14:paraId="39F21B5E">
            <w:pPr>
              <w:spacing w:line="240" w:lineRule="auto"/>
              <w:jc w:val="left"/>
              <w:rPr>
                <w:rFonts w:hint="eastAsia"/>
                <w:color w:val="auto"/>
                <w:szCs w:val="21"/>
                <w:lang w:val="en-US" w:eastAsia="zh-CN"/>
              </w:rPr>
            </w:pPr>
            <w:r>
              <w:rPr>
                <w:rFonts w:hint="eastAsia"/>
                <w:color w:val="auto"/>
                <w:szCs w:val="21"/>
                <w:lang w:val="en-US" w:eastAsia="zh-CN"/>
              </w:rPr>
              <w:t>1、项目组成员具备丰富的采购经验，提供项目组成员负责的一个项目，项目经过行政复议或行政诉讼且处理恰当的计1分。</w:t>
            </w:r>
          </w:p>
          <w:p w14:paraId="382B0C08">
            <w:pPr>
              <w:spacing w:line="240" w:lineRule="auto"/>
              <w:jc w:val="left"/>
              <w:rPr>
                <w:rFonts w:hint="eastAsia"/>
                <w:color w:val="auto"/>
                <w:szCs w:val="21"/>
                <w:lang w:val="en-US" w:eastAsia="zh-CN"/>
              </w:rPr>
            </w:pPr>
            <w:r>
              <w:rPr>
                <w:rFonts w:hint="eastAsia"/>
                <w:color w:val="auto"/>
                <w:szCs w:val="21"/>
                <w:lang w:val="en-US" w:eastAsia="zh-CN"/>
              </w:rPr>
              <w:t>2、根据该项目情况，供应商提供的服务方案、保证措施及投诉处理服务方案、保证措施及投诉处理等完善，计2分；服务方案、保证措施及投诉处理服务方案、保证措施及投诉处理等较完善，计1分；无服务方案计0分。</w:t>
            </w:r>
          </w:p>
          <w:p w14:paraId="0938A9A9">
            <w:pPr>
              <w:spacing w:line="240" w:lineRule="auto"/>
              <w:jc w:val="left"/>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（注：供应商须提供该项目代理协议，代理协议中记载的项目负责人是本次项目组成员，非拟派项目组成员负责的方案，本项不计分）</w:t>
            </w:r>
          </w:p>
        </w:tc>
      </w:tr>
      <w:tr w14:paraId="37383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1344" w:type="dxa"/>
            <w:vMerge w:val="continue"/>
            <w:vAlign w:val="center"/>
          </w:tcPr>
          <w:p w14:paraId="12EE00A6">
            <w:pPr>
              <w:spacing w:line="240" w:lineRule="auto"/>
              <w:jc w:val="center"/>
              <w:rPr>
                <w:color w:val="auto"/>
                <w:szCs w:val="21"/>
              </w:rPr>
            </w:pPr>
          </w:p>
        </w:tc>
        <w:tc>
          <w:tcPr>
            <w:tcW w:w="746" w:type="dxa"/>
            <w:vAlign w:val="center"/>
          </w:tcPr>
          <w:p w14:paraId="2E60B842">
            <w:pPr>
              <w:spacing w:line="240" w:lineRule="auto"/>
              <w:jc w:val="center"/>
              <w:rPr>
                <w:rFonts w:hint="eastAsia" w:ascii="Noto Sans" w:hAnsi="Noto Sans" w:eastAsia="宋体" w:cs="Noto Sans"/>
                <w:i w:val="0"/>
                <w:caps w:val="0"/>
                <w:color w:val="auto"/>
                <w:spacing w:val="0"/>
                <w:kern w:val="0"/>
                <w:sz w:val="24"/>
                <w:szCs w:val="24"/>
                <w:shd w:val="clear" w:color="auto" w:fill="FFFFFF"/>
                <w:vertAlign w:val="baseline"/>
                <w:lang w:val="en-US" w:eastAsia="zh-CN" w:bidi="ar-SA"/>
              </w:rPr>
            </w:pPr>
            <w:r>
              <w:rPr>
                <w:rFonts w:hint="eastAsia" w:ascii="Times New Roman" w:hAnsi="Times New Roman" w:eastAsia="宋体" w:cs="Times New Roman"/>
                <w:color w:val="auto"/>
                <w:szCs w:val="21"/>
                <w:lang w:val="en-US" w:eastAsia="zh-CN"/>
              </w:rPr>
              <w:t>2分</w:t>
            </w:r>
          </w:p>
        </w:tc>
        <w:tc>
          <w:tcPr>
            <w:tcW w:w="6383" w:type="dxa"/>
            <w:vAlign w:val="center"/>
          </w:tcPr>
          <w:p w14:paraId="38B06AC7">
            <w:pPr>
              <w:spacing w:line="240" w:lineRule="auto"/>
              <w:jc w:val="left"/>
              <w:rPr>
                <w:rFonts w:hint="eastAsia"/>
                <w:color w:val="auto"/>
                <w:szCs w:val="21"/>
                <w:lang w:val="en-US" w:eastAsia="zh-CN"/>
              </w:rPr>
            </w:pPr>
            <w:r>
              <w:rPr>
                <w:rFonts w:hint="eastAsia"/>
                <w:color w:val="auto"/>
                <w:szCs w:val="21"/>
                <w:lang w:val="en-US" w:eastAsia="zh-CN"/>
              </w:rPr>
              <w:t>拟派项目组成员中有专职法律人员或者聘请年度法律顾问的计2分，否则计0分。专职法律人员的须提供劳动合同及供应商为其缴纳社保的证明；聘请年度法律顾问的须提供律师资格证及年度法律顾问协议，协议有效期到遴选开始之日后，否则不计分。以上资料需提供复印件并加盖公章。</w:t>
            </w:r>
          </w:p>
        </w:tc>
      </w:tr>
      <w:tr w14:paraId="0602F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0" w:hRule="atLeast"/>
          <w:jc w:val="center"/>
        </w:trPr>
        <w:tc>
          <w:tcPr>
            <w:tcW w:w="1344" w:type="dxa"/>
            <w:vMerge w:val="continue"/>
            <w:vAlign w:val="center"/>
          </w:tcPr>
          <w:p w14:paraId="0E93B50C">
            <w:pPr>
              <w:spacing w:line="240" w:lineRule="auto"/>
              <w:jc w:val="center"/>
              <w:rPr>
                <w:color w:val="auto"/>
                <w:szCs w:val="21"/>
              </w:rPr>
            </w:pPr>
          </w:p>
        </w:tc>
        <w:tc>
          <w:tcPr>
            <w:tcW w:w="746" w:type="dxa"/>
            <w:vAlign w:val="center"/>
          </w:tcPr>
          <w:p w14:paraId="7CD603AA">
            <w:pPr>
              <w:spacing w:line="240" w:lineRule="auto"/>
              <w:jc w:val="center"/>
              <w:rPr>
                <w:color w:val="auto"/>
                <w:szCs w:val="21"/>
              </w:rPr>
            </w:pPr>
            <w:r>
              <w:rPr>
                <w:rFonts w:hint="eastAsia" w:cs="Times New Roman"/>
                <w:color w:val="auto"/>
                <w:szCs w:val="21"/>
                <w:lang w:val="en-US" w:eastAsia="zh-CN"/>
              </w:rPr>
              <w:t>6</w:t>
            </w:r>
            <w:r>
              <w:rPr>
                <w:rFonts w:hint="eastAsia" w:ascii="Times New Roman" w:hAnsi="Times New Roman" w:eastAsia="宋体" w:cs="Times New Roman"/>
                <w:color w:val="auto"/>
                <w:szCs w:val="21"/>
                <w:lang w:val="en-US" w:eastAsia="zh-CN"/>
              </w:rPr>
              <w:t>分</w:t>
            </w:r>
          </w:p>
        </w:tc>
        <w:tc>
          <w:tcPr>
            <w:tcW w:w="6383" w:type="dxa"/>
            <w:vAlign w:val="center"/>
          </w:tcPr>
          <w:p w14:paraId="02EA72DA">
            <w:pPr>
              <w:spacing w:line="240" w:lineRule="auto"/>
              <w:jc w:val="left"/>
              <w:rPr>
                <w:rFonts w:hint="eastAsia"/>
                <w:color w:val="auto"/>
                <w:szCs w:val="21"/>
                <w:lang w:val="en-US" w:eastAsia="zh-CN"/>
              </w:rPr>
            </w:pPr>
            <w:r>
              <w:rPr>
                <w:rFonts w:hint="eastAsia"/>
                <w:color w:val="auto"/>
                <w:szCs w:val="21"/>
                <w:lang w:val="en-US" w:eastAsia="zh-CN"/>
              </w:rPr>
              <w:t>接到采购方采购咨询或业务洽接通知时，应积极响应。项目组成员接到上门服务要求时，到达采购人单位现场时间承诺：</w:t>
            </w:r>
          </w:p>
          <w:p w14:paraId="5A652226">
            <w:pPr>
              <w:spacing w:line="240" w:lineRule="auto"/>
              <w:jc w:val="left"/>
              <w:rPr>
                <w:rFonts w:hint="eastAsia"/>
                <w:color w:val="auto"/>
                <w:szCs w:val="21"/>
                <w:lang w:val="en-US" w:eastAsia="zh-CN"/>
              </w:rPr>
            </w:pPr>
            <w:r>
              <w:rPr>
                <w:rFonts w:hint="eastAsia"/>
                <w:color w:val="auto"/>
                <w:szCs w:val="21"/>
                <w:lang w:val="en-US" w:eastAsia="zh-CN"/>
              </w:rPr>
              <w:t>1、到达现场时间半个小时内的计6分；</w:t>
            </w:r>
          </w:p>
          <w:p w14:paraId="7DEE97EA">
            <w:pPr>
              <w:spacing w:line="240" w:lineRule="auto"/>
              <w:jc w:val="left"/>
              <w:rPr>
                <w:rFonts w:hint="eastAsia"/>
                <w:color w:val="auto"/>
                <w:szCs w:val="21"/>
                <w:lang w:val="en-US" w:eastAsia="zh-CN"/>
              </w:rPr>
            </w:pPr>
            <w:r>
              <w:rPr>
                <w:rFonts w:hint="eastAsia"/>
                <w:color w:val="auto"/>
                <w:szCs w:val="21"/>
                <w:lang w:val="en-US" w:eastAsia="zh-CN"/>
              </w:rPr>
              <w:t>2、到达现场时间1小时内的计4分；</w:t>
            </w:r>
          </w:p>
          <w:p w14:paraId="00C723B1">
            <w:pPr>
              <w:spacing w:line="240" w:lineRule="auto"/>
              <w:jc w:val="left"/>
              <w:rPr>
                <w:rFonts w:hint="eastAsia"/>
                <w:color w:val="auto"/>
                <w:szCs w:val="21"/>
                <w:lang w:val="en-US" w:eastAsia="zh-CN"/>
              </w:rPr>
            </w:pPr>
            <w:r>
              <w:rPr>
                <w:rFonts w:hint="eastAsia"/>
                <w:color w:val="auto"/>
                <w:szCs w:val="21"/>
                <w:lang w:val="en-US" w:eastAsia="zh-CN"/>
              </w:rPr>
              <w:t>3、到达现场时间2小时内的计2分；</w:t>
            </w:r>
          </w:p>
          <w:p w14:paraId="5F21D3B6">
            <w:pPr>
              <w:spacing w:line="240" w:lineRule="auto"/>
              <w:jc w:val="left"/>
              <w:rPr>
                <w:rFonts w:hint="eastAsia"/>
                <w:color w:val="auto"/>
                <w:szCs w:val="21"/>
                <w:lang w:val="en-US" w:eastAsia="zh-CN"/>
              </w:rPr>
            </w:pPr>
            <w:r>
              <w:rPr>
                <w:rFonts w:hint="eastAsia"/>
                <w:color w:val="auto"/>
                <w:szCs w:val="21"/>
                <w:lang w:val="en-US" w:eastAsia="zh-CN"/>
              </w:rPr>
              <w:t>注：须提供承诺函，且须提供保障承诺得到真实执行的证明材料（（如提供公司或办事处地址相关租房合同或房产资料，提供公司或办事处与采购单位的距离、到达采购人单位的导航截图等材料，评审小组将视其实际情况和可行性予以评审）</w:t>
            </w:r>
          </w:p>
        </w:tc>
      </w:tr>
      <w:tr w14:paraId="4CE2D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344" w:type="dxa"/>
            <w:vAlign w:val="center"/>
          </w:tcPr>
          <w:p w14:paraId="64D484B3">
            <w:pPr>
              <w:spacing w:line="240" w:lineRule="auto"/>
              <w:jc w:val="center"/>
              <w:rPr>
                <w:rFonts w:hint="eastAsia" w:ascii="Noto Sans" w:hAnsi="Noto Sans" w:eastAsia="宋体" w:cs="Noto Sans"/>
                <w:i w:val="0"/>
                <w:caps w:val="0"/>
                <w:color w:val="auto"/>
                <w:spacing w:val="0"/>
                <w:sz w:val="24"/>
                <w:szCs w:val="24"/>
                <w:shd w:val="clear" w:color="auto" w:fill="FFFFFF"/>
                <w:vertAlign w:val="baseline"/>
                <w:lang w:eastAsia="zh-CN"/>
              </w:rPr>
            </w:pPr>
            <w:r>
              <w:rPr>
                <w:rFonts w:hint="eastAsia" w:ascii="Noto Sans" w:hAnsi="Noto Sans" w:eastAsia="宋体" w:cs="Noto Sans"/>
                <w:i w:val="0"/>
                <w:caps w:val="0"/>
                <w:color w:val="auto"/>
                <w:spacing w:val="0"/>
                <w:sz w:val="24"/>
                <w:szCs w:val="24"/>
                <w:shd w:val="clear" w:color="auto" w:fill="FFFFFF"/>
                <w:vertAlign w:val="baseline"/>
                <w:lang w:eastAsia="zh-CN"/>
              </w:rPr>
              <w:t>内控</w:t>
            </w:r>
          </w:p>
          <w:p w14:paraId="2D3D3462">
            <w:pPr>
              <w:spacing w:line="240" w:lineRule="auto"/>
              <w:jc w:val="center"/>
              <w:rPr>
                <w:rFonts w:hint="eastAsia" w:ascii="Noto Sans" w:hAnsi="Noto Sans" w:eastAsia="宋体" w:cs="Noto Sans"/>
                <w:i w:val="0"/>
                <w:caps w:val="0"/>
                <w:color w:val="auto"/>
                <w:spacing w:val="0"/>
                <w:sz w:val="24"/>
                <w:szCs w:val="24"/>
                <w:shd w:val="clear" w:color="auto" w:fill="FFFFFF"/>
                <w:vertAlign w:val="baseline"/>
                <w:lang w:eastAsia="zh-CN"/>
              </w:rPr>
            </w:pPr>
            <w:r>
              <w:rPr>
                <w:rFonts w:hint="eastAsia" w:ascii="Noto Sans" w:hAnsi="Noto Sans" w:eastAsia="宋体" w:cs="Noto Sans"/>
                <w:i w:val="0"/>
                <w:caps w:val="0"/>
                <w:color w:val="auto"/>
                <w:spacing w:val="0"/>
                <w:sz w:val="24"/>
                <w:szCs w:val="24"/>
                <w:shd w:val="clear" w:color="auto" w:fill="FFFFFF"/>
                <w:vertAlign w:val="baseline"/>
                <w:lang w:eastAsia="zh-CN"/>
              </w:rPr>
              <w:t>制度</w:t>
            </w:r>
          </w:p>
        </w:tc>
        <w:tc>
          <w:tcPr>
            <w:tcW w:w="746" w:type="dxa"/>
            <w:vAlign w:val="center"/>
          </w:tcPr>
          <w:p w14:paraId="75FAEB32">
            <w:pPr>
              <w:spacing w:line="240" w:lineRule="auto"/>
              <w:jc w:val="center"/>
              <w:rPr>
                <w:color w:val="auto"/>
                <w:szCs w:val="21"/>
              </w:rPr>
            </w:pPr>
            <w:r>
              <w:rPr>
                <w:rFonts w:hint="eastAsia"/>
                <w:color w:val="auto"/>
                <w:szCs w:val="21"/>
              </w:rPr>
              <w:t>10</w:t>
            </w:r>
            <w:r>
              <w:rPr>
                <w:color w:val="auto"/>
                <w:szCs w:val="21"/>
              </w:rPr>
              <w:t>分</w:t>
            </w:r>
          </w:p>
        </w:tc>
        <w:tc>
          <w:tcPr>
            <w:tcW w:w="6383" w:type="dxa"/>
            <w:vAlign w:val="center"/>
          </w:tcPr>
          <w:p w14:paraId="01BA2891">
            <w:pPr>
              <w:spacing w:line="240" w:lineRule="auto"/>
              <w:jc w:val="left"/>
              <w:rPr>
                <w:color w:val="auto"/>
                <w:szCs w:val="21"/>
              </w:rPr>
            </w:pPr>
            <w:r>
              <w:rPr>
                <w:rFonts w:hint="eastAsia"/>
                <w:color w:val="auto"/>
                <w:szCs w:val="21"/>
              </w:rPr>
              <w:t>提供现行的内控制度，包括但不限于：①保密制度（需同时提供项目保密承诺函）、②财务人事管理制度、③招标文件审定制度、④开评标组织制度、⑤廉政风险防控制度。</w:t>
            </w:r>
          </w:p>
          <w:p w14:paraId="62F10601">
            <w:pPr>
              <w:spacing w:line="240" w:lineRule="auto"/>
              <w:jc w:val="left"/>
              <w:rPr>
                <w:color w:val="auto"/>
                <w:szCs w:val="21"/>
              </w:rPr>
            </w:pPr>
            <w:r>
              <w:rPr>
                <w:rFonts w:hint="eastAsia"/>
                <w:color w:val="auto"/>
                <w:szCs w:val="21"/>
              </w:rPr>
              <w:t>（1）具备以上所有制度的计5分，每缺少一项制度扣1分，扣完为止。</w:t>
            </w:r>
          </w:p>
          <w:p w14:paraId="31BD69D9">
            <w:pPr>
              <w:spacing w:line="240" w:lineRule="auto"/>
              <w:jc w:val="left"/>
              <w:rPr>
                <w:color w:val="auto"/>
                <w:szCs w:val="21"/>
              </w:rPr>
            </w:pPr>
            <w:r>
              <w:rPr>
                <w:rFonts w:hint="eastAsia"/>
                <w:color w:val="auto"/>
                <w:szCs w:val="21"/>
              </w:rPr>
              <w:t>（2）制度合理、完善的计5分；制度合理性及完善性一般的计3分；制度欠合理欠完善的计1分。</w:t>
            </w:r>
          </w:p>
        </w:tc>
      </w:tr>
      <w:tr w14:paraId="5241D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344" w:type="dxa"/>
            <w:shd w:val="clear" w:color="auto" w:fill="auto"/>
            <w:vAlign w:val="center"/>
          </w:tcPr>
          <w:p w14:paraId="3D6C39FA">
            <w:pPr>
              <w:spacing w:line="240" w:lineRule="auto"/>
              <w:jc w:val="center"/>
              <w:rPr>
                <w:rFonts w:hint="eastAsia" w:ascii="Noto Sans" w:hAnsi="Noto Sans" w:eastAsia="宋体" w:cs="Noto Sans"/>
                <w:i w:val="0"/>
                <w:caps w:val="0"/>
                <w:color w:val="auto"/>
                <w:spacing w:val="0"/>
                <w:kern w:val="2"/>
                <w:sz w:val="24"/>
                <w:szCs w:val="24"/>
                <w:shd w:val="clear" w:color="auto" w:fill="FFFFFF"/>
                <w:vertAlign w:val="baseline"/>
                <w:lang w:val="en-US" w:eastAsia="zh-CN" w:bidi="ar-SA"/>
              </w:rPr>
            </w:pPr>
            <w:r>
              <w:rPr>
                <w:rFonts w:hint="eastAsia" w:ascii="Noto Sans" w:hAnsi="Noto Sans" w:eastAsia="宋体" w:cs="Noto Sans"/>
                <w:i w:val="0"/>
                <w:caps w:val="0"/>
                <w:color w:val="auto"/>
                <w:spacing w:val="0"/>
                <w:sz w:val="24"/>
                <w:szCs w:val="24"/>
                <w:shd w:val="clear" w:color="auto" w:fill="FFFFFF"/>
                <w:vertAlign w:val="baseline"/>
                <w:lang w:eastAsia="zh-CN"/>
              </w:rPr>
              <w:t>服务</w:t>
            </w:r>
            <w:r>
              <w:rPr>
                <w:rFonts w:hint="eastAsia" w:ascii="Noto Sans" w:hAnsi="Noto Sans" w:cs="Noto Sans"/>
                <w:i w:val="0"/>
                <w:caps w:val="0"/>
                <w:color w:val="auto"/>
                <w:spacing w:val="0"/>
                <w:sz w:val="24"/>
                <w:szCs w:val="24"/>
                <w:shd w:val="clear" w:color="auto" w:fill="FFFFFF"/>
                <w:vertAlign w:val="baseline"/>
                <w:lang w:eastAsia="zh-CN"/>
              </w:rPr>
              <w:t>方案</w:t>
            </w:r>
          </w:p>
        </w:tc>
        <w:tc>
          <w:tcPr>
            <w:tcW w:w="746" w:type="dxa"/>
            <w:shd w:val="clear" w:color="auto" w:fill="auto"/>
            <w:vAlign w:val="center"/>
          </w:tcPr>
          <w:p w14:paraId="298394CE">
            <w:pPr>
              <w:spacing w:line="240" w:lineRule="auto"/>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2</w:t>
            </w:r>
            <w:r>
              <w:rPr>
                <w:color w:val="auto"/>
                <w:szCs w:val="21"/>
              </w:rPr>
              <w:t>分</w:t>
            </w:r>
          </w:p>
        </w:tc>
        <w:tc>
          <w:tcPr>
            <w:tcW w:w="6383" w:type="dxa"/>
            <w:shd w:val="clear" w:color="auto" w:fill="auto"/>
            <w:vAlign w:val="center"/>
          </w:tcPr>
          <w:p w14:paraId="371ED654">
            <w:pPr>
              <w:spacing w:line="240" w:lineRule="auto"/>
              <w:jc w:val="left"/>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供应商</w:t>
            </w:r>
            <w:r>
              <w:rPr>
                <w:color w:val="auto"/>
                <w:szCs w:val="21"/>
              </w:rPr>
              <w:t>对本项目的重视程度，对</w:t>
            </w:r>
            <w:r>
              <w:rPr>
                <w:rFonts w:hint="eastAsia"/>
                <w:color w:val="auto"/>
                <w:szCs w:val="21"/>
                <w:lang w:val="en-US" w:eastAsia="zh-CN"/>
              </w:rPr>
              <w:t>采购人</w:t>
            </w:r>
            <w:r>
              <w:rPr>
                <w:color w:val="auto"/>
                <w:szCs w:val="21"/>
              </w:rPr>
              <w:t>要求积极响应并有具体的保证措施</w:t>
            </w:r>
            <w:r>
              <w:rPr>
                <w:rFonts w:hint="eastAsia"/>
                <w:color w:val="auto"/>
                <w:szCs w:val="21"/>
                <w:lang w:eastAsia="zh-CN"/>
              </w:rPr>
              <w:t>，提供服务方案，</w:t>
            </w:r>
            <w:r>
              <w:rPr>
                <w:color w:val="auto"/>
                <w:szCs w:val="21"/>
              </w:rPr>
              <w:t>优秀的计</w:t>
            </w:r>
            <w:r>
              <w:rPr>
                <w:rFonts w:hint="eastAsia"/>
                <w:color w:val="auto"/>
                <w:szCs w:val="21"/>
                <w:lang w:val="en-US" w:eastAsia="zh-CN"/>
              </w:rPr>
              <w:t>2</w:t>
            </w:r>
            <w:r>
              <w:rPr>
                <w:color w:val="auto"/>
                <w:szCs w:val="21"/>
              </w:rPr>
              <w:t>分，一般的计</w:t>
            </w:r>
            <w:r>
              <w:rPr>
                <w:rFonts w:hint="eastAsia"/>
                <w:color w:val="auto"/>
                <w:szCs w:val="21"/>
                <w:lang w:val="en-US" w:eastAsia="zh-CN"/>
              </w:rPr>
              <w:t>1</w:t>
            </w:r>
            <w:r>
              <w:rPr>
                <w:color w:val="auto"/>
                <w:szCs w:val="21"/>
              </w:rPr>
              <w:t>分</w:t>
            </w:r>
            <w:r>
              <w:rPr>
                <w:rFonts w:hint="eastAsia"/>
                <w:color w:val="auto"/>
                <w:szCs w:val="21"/>
                <w:lang w:eastAsia="zh-CN"/>
              </w:rPr>
              <w:t>，未提供不计分</w:t>
            </w:r>
            <w:r>
              <w:rPr>
                <w:color w:val="auto"/>
                <w:szCs w:val="21"/>
              </w:rPr>
              <w:t>。</w:t>
            </w:r>
          </w:p>
        </w:tc>
      </w:tr>
      <w:tr w14:paraId="65301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344" w:type="dxa"/>
            <w:vAlign w:val="center"/>
          </w:tcPr>
          <w:p w14:paraId="52F74678">
            <w:pPr>
              <w:spacing w:line="240" w:lineRule="auto"/>
              <w:jc w:val="center"/>
              <w:rPr>
                <w:rFonts w:hint="eastAsia" w:ascii="Noto Sans" w:hAnsi="Noto Sans" w:eastAsia="宋体" w:cs="Noto Sans"/>
                <w:i w:val="0"/>
                <w:caps w:val="0"/>
                <w:color w:val="auto"/>
                <w:spacing w:val="0"/>
                <w:sz w:val="24"/>
                <w:szCs w:val="24"/>
                <w:shd w:val="clear" w:color="auto" w:fill="FFFFFF"/>
                <w:vertAlign w:val="baseline"/>
                <w:lang w:eastAsia="zh-CN"/>
              </w:rPr>
            </w:pPr>
            <w:r>
              <w:rPr>
                <w:rFonts w:hint="eastAsia" w:ascii="Noto Sans" w:hAnsi="Noto Sans" w:eastAsia="宋体" w:cs="Noto Sans"/>
                <w:i w:val="0"/>
                <w:caps w:val="0"/>
                <w:color w:val="auto"/>
                <w:spacing w:val="0"/>
                <w:sz w:val="24"/>
                <w:szCs w:val="24"/>
                <w:shd w:val="clear" w:color="auto" w:fill="FFFFFF"/>
                <w:vertAlign w:val="baseline"/>
                <w:lang w:eastAsia="zh-CN"/>
              </w:rPr>
              <w:t>增值服务</w:t>
            </w:r>
          </w:p>
        </w:tc>
        <w:tc>
          <w:tcPr>
            <w:tcW w:w="746" w:type="dxa"/>
            <w:vAlign w:val="center"/>
          </w:tcPr>
          <w:p w14:paraId="6EDB4F04">
            <w:pPr>
              <w:spacing w:line="240" w:lineRule="auto"/>
              <w:jc w:val="center"/>
              <w:rPr>
                <w:color w:val="auto"/>
                <w:szCs w:val="21"/>
              </w:rPr>
            </w:pPr>
            <w:r>
              <w:rPr>
                <w:rFonts w:hint="eastAsia"/>
                <w:color w:val="auto"/>
                <w:szCs w:val="21"/>
              </w:rPr>
              <w:t>1</w:t>
            </w:r>
            <w:r>
              <w:rPr>
                <w:rFonts w:hint="eastAsia"/>
                <w:color w:val="auto"/>
                <w:szCs w:val="21"/>
                <w:lang w:val="en-US" w:eastAsia="zh-CN"/>
              </w:rPr>
              <w:t>0</w:t>
            </w:r>
            <w:r>
              <w:rPr>
                <w:rFonts w:hint="eastAsia"/>
                <w:color w:val="auto"/>
                <w:szCs w:val="21"/>
              </w:rPr>
              <w:t>分</w:t>
            </w:r>
          </w:p>
        </w:tc>
        <w:tc>
          <w:tcPr>
            <w:tcW w:w="6383" w:type="dxa"/>
            <w:vAlign w:val="center"/>
          </w:tcPr>
          <w:p w14:paraId="518D34B7">
            <w:pPr>
              <w:spacing w:line="240" w:lineRule="auto"/>
              <w:jc w:val="left"/>
              <w:rPr>
                <w:rFonts w:hint="eastAsia"/>
                <w:color w:val="auto"/>
                <w:szCs w:val="21"/>
                <w:lang w:eastAsia="zh-CN"/>
              </w:rPr>
            </w:pPr>
            <w:r>
              <w:rPr>
                <w:rFonts w:hint="eastAsia"/>
                <w:color w:val="auto"/>
                <w:szCs w:val="21"/>
                <w:lang w:val="en-US" w:eastAsia="zh-CN"/>
              </w:rPr>
              <w:t>1、</w:t>
            </w:r>
            <w:r>
              <w:rPr>
                <w:rFonts w:hint="eastAsia"/>
                <w:color w:val="auto"/>
                <w:szCs w:val="21"/>
                <w:lang w:eastAsia="zh-CN"/>
              </w:rPr>
              <w:t>供应商</w:t>
            </w:r>
            <w:r>
              <w:rPr>
                <w:rFonts w:hint="eastAsia"/>
                <w:color w:val="auto"/>
                <w:szCs w:val="21"/>
              </w:rPr>
              <w:t>提供</w:t>
            </w:r>
            <w:r>
              <w:rPr>
                <w:rFonts w:hint="eastAsia"/>
                <w:color w:val="auto"/>
                <w:szCs w:val="21"/>
                <w:lang w:eastAsia="zh-CN"/>
              </w:rPr>
              <w:t>人员</w:t>
            </w:r>
            <w:r>
              <w:rPr>
                <w:rFonts w:hint="eastAsia"/>
                <w:color w:val="auto"/>
                <w:szCs w:val="21"/>
              </w:rPr>
              <w:t>上门驻点增值服务，</w:t>
            </w:r>
            <w:r>
              <w:rPr>
                <w:rFonts w:hint="eastAsia"/>
                <w:color w:val="auto"/>
                <w:szCs w:val="21"/>
                <w:lang w:eastAsia="zh-CN"/>
              </w:rPr>
              <w:t>每人</w:t>
            </w:r>
            <w:r>
              <w:rPr>
                <w:rFonts w:hint="eastAsia"/>
                <w:color w:val="auto"/>
                <w:szCs w:val="21"/>
              </w:rPr>
              <w:t>计</w:t>
            </w:r>
            <w:r>
              <w:rPr>
                <w:rFonts w:hint="eastAsia"/>
                <w:color w:val="auto"/>
                <w:szCs w:val="21"/>
                <w:lang w:val="en-US" w:eastAsia="zh-CN"/>
              </w:rPr>
              <w:t>5</w:t>
            </w:r>
            <w:r>
              <w:rPr>
                <w:rFonts w:hint="eastAsia"/>
                <w:color w:val="auto"/>
                <w:szCs w:val="21"/>
              </w:rPr>
              <w:t>分，最多计</w:t>
            </w:r>
            <w:r>
              <w:rPr>
                <w:rFonts w:hint="eastAsia"/>
                <w:color w:val="auto"/>
                <w:szCs w:val="21"/>
                <w:lang w:val="en-US" w:eastAsia="zh-CN"/>
              </w:rPr>
              <w:t>5</w:t>
            </w:r>
            <w:r>
              <w:rPr>
                <w:rFonts w:hint="eastAsia"/>
                <w:color w:val="auto"/>
                <w:szCs w:val="21"/>
              </w:rPr>
              <w:t>分</w:t>
            </w:r>
            <w:r>
              <w:rPr>
                <w:rFonts w:hint="eastAsia"/>
                <w:color w:val="auto"/>
                <w:szCs w:val="21"/>
                <w:lang w:eastAsia="zh-CN"/>
              </w:rPr>
              <w:t>（提供承诺函）。</w:t>
            </w:r>
          </w:p>
          <w:p w14:paraId="4CD9BB93">
            <w:pPr>
              <w:spacing w:line="240" w:lineRule="auto"/>
              <w:jc w:val="left"/>
              <w:rPr>
                <w:rFonts w:hint="default"/>
                <w:color w:val="auto"/>
                <w:szCs w:val="21"/>
                <w:lang w:val="en-US" w:eastAsia="zh-CN"/>
              </w:rPr>
            </w:pPr>
            <w:r>
              <w:rPr>
                <w:rFonts w:hint="eastAsia"/>
                <w:color w:val="auto"/>
                <w:szCs w:val="21"/>
                <w:lang w:val="en-US" w:eastAsia="zh-CN"/>
              </w:rPr>
              <w:t>2、</w:t>
            </w:r>
            <w:r>
              <w:rPr>
                <w:rFonts w:hint="eastAsia"/>
                <w:color w:val="auto"/>
                <w:szCs w:val="21"/>
                <w:lang w:eastAsia="zh-CN"/>
              </w:rPr>
              <w:t>供应商提供上门驻点服务人员，从业经验</w:t>
            </w:r>
            <w:r>
              <w:rPr>
                <w:rFonts w:hint="eastAsia"/>
                <w:color w:val="auto"/>
                <w:szCs w:val="21"/>
                <w:lang w:val="en-US" w:eastAsia="zh-CN"/>
              </w:rPr>
              <w:t>3年及以上的计2分，否则不计分。（需提供证明材料，需提供2017年1月1日起的证明材料，一个自然年内至少一份采购代理协议）</w:t>
            </w:r>
          </w:p>
          <w:p w14:paraId="38637F6F">
            <w:pPr>
              <w:spacing w:line="240" w:lineRule="auto"/>
              <w:jc w:val="left"/>
              <w:rPr>
                <w:rFonts w:hint="default"/>
                <w:color w:val="auto"/>
                <w:szCs w:val="21"/>
                <w:lang w:val="en-US" w:eastAsia="zh-CN"/>
              </w:rPr>
            </w:pPr>
          </w:p>
          <w:p w14:paraId="471872AF">
            <w:pPr>
              <w:spacing w:line="240" w:lineRule="auto"/>
              <w:jc w:val="left"/>
              <w:rPr>
                <w:rFonts w:hint="eastAsia"/>
                <w:color w:val="auto"/>
                <w:szCs w:val="21"/>
                <w:lang w:val="en-US" w:eastAsia="zh-CN"/>
              </w:rPr>
            </w:pPr>
            <w:r>
              <w:rPr>
                <w:rFonts w:hint="eastAsia"/>
                <w:color w:val="auto"/>
                <w:szCs w:val="21"/>
                <w:lang w:val="en-US" w:eastAsia="zh-CN"/>
              </w:rPr>
              <w:t>（注：提供与从业人员姓名相对应的身份证和政府采购代理机构培训合格证复印件；提供供应商为该成员缴纳社保证明复印件《如：社会保险费缴款书或银行电子缴税（费）凭证或社保管理部门出具的有效的缴款证明》，未提供的不计分。）</w:t>
            </w:r>
          </w:p>
          <w:p w14:paraId="4A95E4FE">
            <w:pPr>
              <w:spacing w:line="240" w:lineRule="auto"/>
              <w:jc w:val="left"/>
              <w:rPr>
                <w:rFonts w:hint="default"/>
                <w:color w:val="auto"/>
                <w:szCs w:val="21"/>
                <w:lang w:val="en-US" w:eastAsia="zh-CN"/>
              </w:rPr>
            </w:pPr>
            <w:r>
              <w:rPr>
                <w:rFonts w:hint="eastAsia"/>
                <w:color w:val="auto"/>
                <w:szCs w:val="21"/>
                <w:lang w:val="en-US" w:eastAsia="zh-CN"/>
              </w:rPr>
              <w:t>3、免费提供医疗设备参数模板库、设备价格和医用耗材试剂价格查询软件库，资料齐全丰富的计3分，资料较少的计1分，未提供的不计分（提供相关软件截图并加盖供应商公章）</w:t>
            </w:r>
          </w:p>
        </w:tc>
      </w:tr>
      <w:tr w14:paraId="13583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344" w:type="dxa"/>
            <w:vAlign w:val="center"/>
          </w:tcPr>
          <w:p w14:paraId="13E63945">
            <w:pPr>
              <w:spacing w:line="240" w:lineRule="auto"/>
              <w:jc w:val="center"/>
              <w:rPr>
                <w:rFonts w:hint="eastAsia" w:ascii="Noto Sans" w:hAnsi="Noto Sans" w:eastAsia="宋体" w:cs="Noto Sans"/>
                <w:i w:val="0"/>
                <w:caps w:val="0"/>
                <w:color w:val="auto"/>
                <w:spacing w:val="0"/>
                <w:sz w:val="24"/>
                <w:szCs w:val="24"/>
                <w:shd w:val="clear" w:color="auto" w:fill="FFFFFF"/>
                <w:vertAlign w:val="baseline"/>
                <w:lang w:eastAsia="zh-CN"/>
              </w:rPr>
            </w:pPr>
            <w:r>
              <w:rPr>
                <w:rFonts w:hint="eastAsia" w:ascii="Noto Sans" w:hAnsi="Noto Sans" w:cs="Noto Sans"/>
                <w:i w:val="0"/>
                <w:caps w:val="0"/>
                <w:color w:val="auto"/>
                <w:spacing w:val="0"/>
                <w:sz w:val="24"/>
                <w:szCs w:val="24"/>
                <w:shd w:val="clear" w:color="auto" w:fill="FFFFFF"/>
                <w:vertAlign w:val="baseline"/>
                <w:lang w:eastAsia="zh-CN"/>
              </w:rPr>
              <w:t>响应程度</w:t>
            </w:r>
          </w:p>
        </w:tc>
        <w:tc>
          <w:tcPr>
            <w:tcW w:w="746" w:type="dxa"/>
            <w:vAlign w:val="center"/>
          </w:tcPr>
          <w:p w14:paraId="03E6DCED">
            <w:pPr>
              <w:spacing w:line="240" w:lineRule="auto"/>
              <w:jc w:val="center"/>
              <w:rPr>
                <w:rFonts w:hint="default" w:eastAsia="宋体"/>
                <w:color w:val="auto"/>
                <w:szCs w:val="21"/>
                <w:lang w:val="en-US" w:eastAsia="zh-CN"/>
              </w:rPr>
            </w:pPr>
            <w:r>
              <w:rPr>
                <w:rFonts w:hint="eastAsia"/>
                <w:color w:val="auto"/>
                <w:szCs w:val="21"/>
                <w:lang w:val="en-US" w:eastAsia="zh-CN"/>
              </w:rPr>
              <w:t>15分</w:t>
            </w:r>
          </w:p>
        </w:tc>
        <w:tc>
          <w:tcPr>
            <w:tcW w:w="6383" w:type="dxa"/>
            <w:vAlign w:val="center"/>
          </w:tcPr>
          <w:p w14:paraId="398BFBD8">
            <w:pPr>
              <w:spacing w:line="240" w:lineRule="auto"/>
              <w:jc w:val="left"/>
              <w:rPr>
                <w:rFonts w:hint="default"/>
                <w:color w:val="auto"/>
                <w:szCs w:val="21"/>
                <w:lang w:val="en-US" w:eastAsia="zh-CN"/>
              </w:rPr>
            </w:pPr>
            <w:r>
              <w:rPr>
                <w:rFonts w:hint="eastAsia"/>
                <w:color w:val="auto"/>
                <w:szCs w:val="21"/>
                <w:lang w:val="en-US" w:eastAsia="zh-CN"/>
              </w:rPr>
              <w:t>对遴选文件的响应程度，非实质性条款偏离一项扣3分，扣完为止</w:t>
            </w:r>
          </w:p>
        </w:tc>
      </w:tr>
      <w:tr w14:paraId="702CE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344" w:type="dxa"/>
            <w:vAlign w:val="center"/>
          </w:tcPr>
          <w:p w14:paraId="20E1B4E9">
            <w:pPr>
              <w:spacing w:line="240" w:lineRule="auto"/>
              <w:jc w:val="center"/>
              <w:rPr>
                <w:rFonts w:hint="eastAsia" w:ascii="Noto Sans" w:hAnsi="Noto Sans" w:cs="Noto Sans"/>
                <w:i w:val="0"/>
                <w:caps w:val="0"/>
                <w:color w:val="auto"/>
                <w:spacing w:val="0"/>
                <w:sz w:val="24"/>
                <w:szCs w:val="24"/>
                <w:shd w:val="clear" w:color="auto" w:fill="FFFFFF"/>
                <w:vertAlign w:val="baseline"/>
                <w:lang w:eastAsia="zh-CN"/>
              </w:rPr>
            </w:pPr>
            <w:r>
              <w:rPr>
                <w:rFonts w:hint="eastAsia" w:ascii="Noto Sans" w:hAnsi="Noto Sans" w:eastAsia="宋体" w:cs="Noto Sans"/>
                <w:i w:val="0"/>
                <w:caps w:val="0"/>
                <w:color w:val="auto"/>
                <w:spacing w:val="0"/>
                <w:sz w:val="24"/>
                <w:szCs w:val="24"/>
                <w:shd w:val="clear" w:color="auto" w:fill="FFFFFF"/>
                <w:vertAlign w:val="baseline"/>
                <w:lang w:eastAsia="zh-CN"/>
              </w:rPr>
              <w:t>报价</w:t>
            </w:r>
          </w:p>
        </w:tc>
        <w:tc>
          <w:tcPr>
            <w:tcW w:w="746" w:type="dxa"/>
            <w:vAlign w:val="center"/>
          </w:tcPr>
          <w:p w14:paraId="42C40FC4">
            <w:pPr>
              <w:spacing w:line="240" w:lineRule="auto"/>
              <w:jc w:val="center"/>
              <w:rPr>
                <w:rFonts w:hint="default"/>
                <w:color w:val="auto"/>
                <w:szCs w:val="21"/>
                <w:lang w:val="en-US" w:eastAsia="zh-CN"/>
              </w:rPr>
            </w:pPr>
            <w:r>
              <w:rPr>
                <w:rFonts w:hint="eastAsia"/>
                <w:color w:val="auto"/>
                <w:szCs w:val="21"/>
                <w:lang w:val="en-US" w:eastAsia="zh-CN"/>
              </w:rPr>
              <w:t>10分</w:t>
            </w:r>
          </w:p>
        </w:tc>
        <w:tc>
          <w:tcPr>
            <w:tcW w:w="6383" w:type="dxa"/>
            <w:vAlign w:val="center"/>
          </w:tcPr>
          <w:p w14:paraId="338FB607">
            <w:pPr>
              <w:spacing w:line="240" w:lineRule="auto"/>
              <w:jc w:val="left"/>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以本项目第三章服务费用的规定作为上限值，代理服务费收取每下浮1%计1分，报价下浮率最小报价单位</w:t>
            </w:r>
            <w:r>
              <w:rPr>
                <w:rFonts w:hint="eastAsia" w:cs="Times New Roman"/>
                <w:color w:val="auto"/>
                <w:szCs w:val="21"/>
                <w:lang w:val="en-US" w:eastAsia="zh-CN"/>
              </w:rPr>
              <w:t>是</w:t>
            </w:r>
            <w:r>
              <w:rPr>
                <w:rFonts w:hint="eastAsia" w:ascii="Times New Roman" w:hAnsi="Times New Roman" w:eastAsia="宋体" w:cs="Times New Roman"/>
                <w:color w:val="auto"/>
                <w:szCs w:val="21"/>
                <w:lang w:val="en-US" w:eastAsia="zh-CN"/>
              </w:rPr>
              <w:t>1%</w:t>
            </w:r>
            <w:r>
              <w:rPr>
                <w:rFonts w:hint="eastAsia" w:cs="Times New Roman"/>
                <w:color w:val="auto"/>
                <w:szCs w:val="21"/>
                <w:lang w:val="en-US" w:eastAsia="zh-CN"/>
              </w:rPr>
              <w:t>的整倍数，</w:t>
            </w:r>
            <w:r>
              <w:rPr>
                <w:rFonts w:hint="eastAsia" w:ascii="Times New Roman" w:hAnsi="Times New Roman" w:eastAsia="宋体" w:cs="Times New Roman"/>
                <w:color w:val="auto"/>
                <w:szCs w:val="21"/>
                <w:lang w:val="en-US" w:eastAsia="zh-CN"/>
              </w:rPr>
              <w:t>最多计10分。</w:t>
            </w:r>
          </w:p>
          <w:p w14:paraId="40864866">
            <w:pPr>
              <w:spacing w:line="240" w:lineRule="auto"/>
              <w:jc w:val="left"/>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注：下浮仅限于代理费，招标文件论证费和评委评审费按相关规定标准执行</w:t>
            </w:r>
            <w:r>
              <w:rPr>
                <w:rFonts w:hint="eastAsia" w:cs="Times New Roman"/>
                <w:color w:val="auto"/>
                <w:szCs w:val="21"/>
                <w:lang w:val="en-US" w:eastAsia="zh-CN"/>
              </w:rPr>
              <w:t>，报价下浮率指在第三章服务费用规定的代理费整体下浮表格的基础上全部整体下浮，举例详见第三章。</w:t>
            </w:r>
          </w:p>
        </w:tc>
      </w:tr>
    </w:tbl>
    <w:p w14:paraId="161C4BDB">
      <w:pPr>
        <w:jc w:val="both"/>
        <w:rPr>
          <w:rFonts w:hint="eastAsia" w:ascii="黑体" w:eastAsia="黑体"/>
          <w:color w:val="auto"/>
          <w:sz w:val="32"/>
          <w:lang w:eastAsia="zh-CN"/>
        </w:rPr>
      </w:pPr>
      <w:r>
        <w:rPr>
          <w:rFonts w:ascii="宋体" w:hAnsi="宋体" w:cs="宋体"/>
          <w:color w:val="auto"/>
          <w:spacing w:val="15"/>
          <w:kern w:val="0"/>
          <w:sz w:val="24"/>
        </w:rPr>
        <w:br w:type="page"/>
      </w:r>
      <w:r>
        <w:rPr>
          <w:rFonts w:hint="eastAsia" w:ascii="黑体" w:eastAsia="黑体"/>
          <w:color w:val="auto"/>
          <w:sz w:val="32"/>
        </w:rPr>
        <w:t>附表</w:t>
      </w:r>
      <w:r>
        <w:rPr>
          <w:rFonts w:hint="eastAsia" w:ascii="黑体" w:eastAsia="黑体"/>
          <w:color w:val="auto"/>
          <w:sz w:val="32"/>
          <w:lang w:val="en-US" w:eastAsia="zh-CN"/>
        </w:rPr>
        <w:t>2</w:t>
      </w:r>
    </w:p>
    <w:p w14:paraId="7BF99737">
      <w:pPr>
        <w:jc w:val="center"/>
        <w:rPr>
          <w:rFonts w:ascii="黑体" w:eastAsia="黑体"/>
          <w:color w:val="auto"/>
          <w:sz w:val="32"/>
        </w:rPr>
      </w:pPr>
      <w:r>
        <w:rPr>
          <w:rFonts w:hint="eastAsia" w:ascii="黑体" w:eastAsia="黑体"/>
          <w:color w:val="auto"/>
          <w:sz w:val="32"/>
        </w:rPr>
        <w:t>包2评委评分表</w:t>
      </w:r>
      <w:r>
        <w:rPr>
          <w:rFonts w:hint="eastAsia" w:ascii="黑体" w:eastAsia="黑体"/>
          <w:color w:val="auto"/>
          <w:sz w:val="32"/>
          <w:lang w:val="en-US" w:eastAsia="zh-CN"/>
        </w:rPr>
        <w:t xml:space="preserve"> </w:t>
      </w:r>
      <w:r>
        <w:rPr>
          <w:rFonts w:hint="eastAsia" w:ascii="黑体" w:eastAsia="黑体"/>
          <w:color w:val="auto"/>
          <w:sz w:val="32"/>
        </w:rPr>
        <w:t>代理机构库2</w:t>
      </w:r>
      <w:r>
        <w:rPr>
          <w:rFonts w:hint="eastAsia" w:ascii="黑体" w:eastAsia="黑体"/>
          <w:color w:val="auto"/>
          <w:sz w:val="32"/>
          <w:lang w:val="en-US" w:eastAsia="zh-CN"/>
        </w:rPr>
        <w:t xml:space="preserve"> </w:t>
      </w:r>
      <w:r>
        <w:rPr>
          <w:rFonts w:hint="eastAsia" w:ascii="黑体" w:eastAsia="黑体"/>
          <w:color w:val="auto"/>
          <w:sz w:val="32"/>
        </w:rPr>
        <w:t>含货物（非医疗器械）、服务、工程项目招标</w:t>
      </w:r>
    </w:p>
    <w:tbl>
      <w:tblPr>
        <w:tblStyle w:val="21"/>
        <w:tblW w:w="84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7"/>
        <w:gridCol w:w="746"/>
        <w:gridCol w:w="6380"/>
      </w:tblGrid>
      <w:tr w14:paraId="3A9F3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blHeader/>
          <w:jc w:val="center"/>
        </w:trPr>
        <w:tc>
          <w:tcPr>
            <w:tcW w:w="1347" w:type="dxa"/>
            <w:vAlign w:val="center"/>
          </w:tcPr>
          <w:p w14:paraId="4E9ECB32">
            <w:pPr>
              <w:spacing w:line="240" w:lineRule="auto"/>
              <w:jc w:val="center"/>
              <w:rPr>
                <w:b/>
                <w:bCs/>
                <w:color w:val="auto"/>
                <w:szCs w:val="21"/>
              </w:rPr>
            </w:pPr>
            <w:r>
              <w:rPr>
                <w:b/>
                <w:bCs/>
                <w:color w:val="auto"/>
                <w:szCs w:val="21"/>
              </w:rPr>
              <w:t>评审因素</w:t>
            </w:r>
          </w:p>
        </w:tc>
        <w:tc>
          <w:tcPr>
            <w:tcW w:w="746" w:type="dxa"/>
            <w:vAlign w:val="center"/>
          </w:tcPr>
          <w:p w14:paraId="47972E31">
            <w:pPr>
              <w:spacing w:line="240" w:lineRule="auto"/>
              <w:jc w:val="center"/>
              <w:rPr>
                <w:b/>
                <w:bCs/>
                <w:color w:val="auto"/>
                <w:szCs w:val="21"/>
              </w:rPr>
            </w:pPr>
            <w:r>
              <w:rPr>
                <w:b/>
                <w:bCs/>
                <w:color w:val="auto"/>
                <w:szCs w:val="21"/>
              </w:rPr>
              <w:t>分值</w:t>
            </w:r>
          </w:p>
        </w:tc>
        <w:tc>
          <w:tcPr>
            <w:tcW w:w="6380" w:type="dxa"/>
            <w:vAlign w:val="center"/>
          </w:tcPr>
          <w:p w14:paraId="0259E4CF">
            <w:pPr>
              <w:spacing w:line="240" w:lineRule="auto"/>
              <w:jc w:val="center"/>
              <w:rPr>
                <w:b/>
                <w:bCs/>
                <w:color w:val="auto"/>
                <w:szCs w:val="21"/>
              </w:rPr>
            </w:pPr>
            <w:r>
              <w:rPr>
                <w:b/>
                <w:bCs/>
                <w:color w:val="auto"/>
                <w:szCs w:val="21"/>
              </w:rPr>
              <w:t>评分标准</w:t>
            </w:r>
          </w:p>
        </w:tc>
      </w:tr>
      <w:tr w14:paraId="0D9B9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347" w:type="dxa"/>
            <w:vAlign w:val="center"/>
          </w:tcPr>
          <w:p w14:paraId="3A8FB743">
            <w:pPr>
              <w:spacing w:line="240" w:lineRule="auto"/>
              <w:jc w:val="center"/>
              <w:rPr>
                <w:color w:val="auto"/>
                <w:szCs w:val="21"/>
              </w:rPr>
            </w:pPr>
            <w:r>
              <w:rPr>
                <w:color w:val="auto"/>
                <w:szCs w:val="21"/>
              </w:rPr>
              <w:t>办公</w:t>
            </w:r>
          </w:p>
          <w:p w14:paraId="4180579B">
            <w:pPr>
              <w:spacing w:line="240" w:lineRule="auto"/>
              <w:jc w:val="center"/>
              <w:rPr>
                <w:color w:val="auto"/>
                <w:szCs w:val="21"/>
              </w:rPr>
            </w:pPr>
            <w:r>
              <w:rPr>
                <w:color w:val="auto"/>
                <w:szCs w:val="21"/>
              </w:rPr>
              <w:t>场地</w:t>
            </w:r>
          </w:p>
        </w:tc>
        <w:tc>
          <w:tcPr>
            <w:tcW w:w="746" w:type="dxa"/>
            <w:vAlign w:val="center"/>
          </w:tcPr>
          <w:p w14:paraId="1C675611">
            <w:pPr>
              <w:spacing w:line="240" w:lineRule="auto"/>
              <w:jc w:val="center"/>
              <w:rPr>
                <w:color w:val="auto"/>
                <w:szCs w:val="21"/>
              </w:rPr>
            </w:pPr>
            <w:r>
              <w:rPr>
                <w:rFonts w:hint="eastAsia"/>
                <w:color w:val="auto"/>
                <w:szCs w:val="21"/>
                <w:lang w:val="en-US" w:eastAsia="zh-CN"/>
              </w:rPr>
              <w:t>18</w:t>
            </w:r>
            <w:r>
              <w:rPr>
                <w:color w:val="auto"/>
                <w:szCs w:val="21"/>
              </w:rPr>
              <w:t>分</w:t>
            </w:r>
          </w:p>
        </w:tc>
        <w:tc>
          <w:tcPr>
            <w:tcW w:w="6380" w:type="dxa"/>
            <w:vAlign w:val="center"/>
          </w:tcPr>
          <w:p w14:paraId="6E8CBC0B">
            <w:pPr>
              <w:spacing w:line="240" w:lineRule="auto"/>
              <w:jc w:val="left"/>
              <w:rPr>
                <w:rFonts w:hint="eastAsia"/>
                <w:color w:val="auto"/>
                <w:szCs w:val="21"/>
                <w:lang w:val="en-US" w:eastAsia="zh-CN"/>
              </w:rPr>
            </w:pPr>
            <w:r>
              <w:rPr>
                <w:rFonts w:hint="eastAsia"/>
                <w:color w:val="auto"/>
                <w:szCs w:val="21"/>
                <w:lang w:val="en-US" w:eastAsia="zh-CN"/>
              </w:rPr>
              <w:t>1、</w:t>
            </w:r>
            <w:r>
              <w:rPr>
                <w:rFonts w:hint="default"/>
                <w:color w:val="auto"/>
                <w:szCs w:val="21"/>
                <w:lang w:val="en-US" w:eastAsia="zh-CN"/>
              </w:rPr>
              <w:t>具备独立的办公场所</w:t>
            </w:r>
            <w:r>
              <w:rPr>
                <w:rFonts w:hint="eastAsia"/>
                <w:color w:val="auto"/>
                <w:szCs w:val="21"/>
                <w:lang w:val="en-US" w:eastAsia="zh-CN"/>
              </w:rPr>
              <w:t>及设备等</w:t>
            </w:r>
            <w:r>
              <w:rPr>
                <w:rFonts w:hint="default"/>
                <w:color w:val="auto"/>
                <w:szCs w:val="21"/>
                <w:lang w:val="en-US" w:eastAsia="zh-CN"/>
              </w:rPr>
              <w:t>代理采购业务所必需的办公条件</w:t>
            </w:r>
            <w:r>
              <w:rPr>
                <w:rFonts w:hint="eastAsia"/>
                <w:color w:val="auto"/>
                <w:szCs w:val="21"/>
                <w:lang w:val="en-US" w:eastAsia="zh-CN"/>
              </w:rPr>
              <w:t>的计4分，</w:t>
            </w:r>
          </w:p>
          <w:p w14:paraId="533C1AF3">
            <w:pPr>
              <w:spacing w:line="240" w:lineRule="auto"/>
              <w:jc w:val="left"/>
              <w:rPr>
                <w:rFonts w:hint="eastAsia"/>
                <w:color w:val="auto"/>
                <w:szCs w:val="21"/>
                <w:lang w:val="en-US" w:eastAsia="zh-CN"/>
              </w:rPr>
            </w:pPr>
            <w:r>
              <w:rPr>
                <w:rFonts w:hint="eastAsia"/>
                <w:color w:val="auto"/>
                <w:szCs w:val="21"/>
                <w:lang w:val="en-US" w:eastAsia="zh-CN"/>
              </w:rPr>
              <w:t>2、办公场所中具备组织开、评标条件的计4分，</w:t>
            </w:r>
          </w:p>
          <w:p w14:paraId="1E4C2E81">
            <w:pPr>
              <w:spacing w:line="240" w:lineRule="auto"/>
              <w:jc w:val="left"/>
              <w:rPr>
                <w:rFonts w:hint="eastAsia"/>
                <w:color w:val="auto"/>
                <w:szCs w:val="21"/>
                <w:lang w:val="en-US" w:eastAsia="zh-CN"/>
              </w:rPr>
            </w:pPr>
            <w:r>
              <w:rPr>
                <w:rFonts w:hint="eastAsia"/>
                <w:color w:val="auto"/>
                <w:szCs w:val="21"/>
                <w:lang w:val="en-US" w:eastAsia="zh-CN"/>
              </w:rPr>
              <w:t>3、</w:t>
            </w:r>
            <w:r>
              <w:rPr>
                <w:rFonts w:hint="default"/>
                <w:color w:val="auto"/>
                <w:szCs w:val="21"/>
                <w:lang w:val="en-US" w:eastAsia="zh-CN"/>
              </w:rPr>
              <w:t>具备独立的档案存储场所</w:t>
            </w:r>
            <w:r>
              <w:rPr>
                <w:rFonts w:hint="eastAsia"/>
                <w:color w:val="auto"/>
                <w:szCs w:val="21"/>
                <w:lang w:val="en-US" w:eastAsia="zh-CN"/>
              </w:rPr>
              <w:t>的计4分，档案存储场所应符合相关要求，</w:t>
            </w:r>
          </w:p>
          <w:p w14:paraId="401D67FD">
            <w:pPr>
              <w:spacing w:line="240" w:lineRule="auto"/>
              <w:jc w:val="left"/>
              <w:rPr>
                <w:rFonts w:hint="eastAsia" w:ascii="Times New Roman" w:hAnsi="Times New Roman" w:cs="Times New Roman"/>
                <w:color w:val="auto"/>
                <w:szCs w:val="21"/>
                <w:lang w:val="en-US" w:eastAsia="zh-CN"/>
              </w:rPr>
            </w:pPr>
            <w:r>
              <w:rPr>
                <w:rFonts w:hint="eastAsia"/>
                <w:color w:val="auto"/>
                <w:szCs w:val="21"/>
                <w:lang w:val="en-US" w:eastAsia="zh-CN"/>
              </w:rPr>
              <w:t>4、独立办公场所面积</w:t>
            </w:r>
            <w:r>
              <w:rPr>
                <w:rFonts w:hint="eastAsia" w:ascii="Times New Roman" w:hAnsi="Times New Roman" w:cs="Times New Roman"/>
                <w:color w:val="auto"/>
                <w:szCs w:val="21"/>
                <w:lang w:val="en-US" w:eastAsia="zh-CN"/>
              </w:rPr>
              <w:t>≥200平方米的计3</w:t>
            </w:r>
            <w:r>
              <w:rPr>
                <w:rFonts w:hint="eastAsia" w:cs="Times New Roman"/>
                <w:color w:val="auto"/>
                <w:szCs w:val="21"/>
                <w:lang w:val="en-US" w:eastAsia="zh-CN"/>
              </w:rPr>
              <w:t>分</w:t>
            </w:r>
            <w:r>
              <w:rPr>
                <w:rFonts w:hint="eastAsia" w:ascii="Times New Roman" w:hAnsi="Times New Roman" w:cs="Times New Roman"/>
                <w:color w:val="auto"/>
                <w:szCs w:val="21"/>
                <w:lang w:val="en-US" w:eastAsia="zh-CN"/>
              </w:rPr>
              <w:t>。</w:t>
            </w:r>
          </w:p>
          <w:p w14:paraId="13DCBA15">
            <w:pPr>
              <w:spacing w:line="240" w:lineRule="auto"/>
              <w:jc w:val="left"/>
              <w:rPr>
                <w:rFonts w:hint="default"/>
                <w:color w:val="auto"/>
                <w:szCs w:val="21"/>
                <w:lang w:val="en-US" w:eastAsia="zh-CN"/>
              </w:rPr>
            </w:pPr>
            <w:r>
              <w:rPr>
                <w:rFonts w:hint="eastAsia" w:ascii="Times New Roman" w:hAnsi="Times New Roman" w:cs="Times New Roman"/>
                <w:color w:val="auto"/>
                <w:szCs w:val="21"/>
                <w:lang w:val="en-US" w:eastAsia="zh-CN"/>
              </w:rPr>
              <w:t>5、</w:t>
            </w:r>
            <w:r>
              <w:rPr>
                <w:rFonts w:hint="default"/>
                <w:color w:val="auto"/>
                <w:szCs w:val="21"/>
                <w:lang w:val="en-US" w:eastAsia="zh-CN"/>
              </w:rPr>
              <w:t>独立的档案存储场所</w:t>
            </w:r>
            <w:r>
              <w:rPr>
                <w:rFonts w:hint="eastAsia"/>
                <w:color w:val="auto"/>
                <w:szCs w:val="21"/>
                <w:lang w:val="en-US" w:eastAsia="zh-CN"/>
              </w:rPr>
              <w:t>面积</w:t>
            </w:r>
            <w:r>
              <w:rPr>
                <w:rFonts w:hint="eastAsia" w:ascii="Times New Roman" w:hAnsi="Times New Roman" w:cs="Times New Roman"/>
                <w:color w:val="auto"/>
                <w:szCs w:val="21"/>
                <w:lang w:val="en-US" w:eastAsia="zh-CN"/>
              </w:rPr>
              <w:t>≥100平方米的计3分。</w:t>
            </w:r>
          </w:p>
          <w:p w14:paraId="2612501C">
            <w:pPr>
              <w:spacing w:line="240" w:lineRule="auto"/>
              <w:jc w:val="left"/>
              <w:rPr>
                <w:rFonts w:hint="eastAsia"/>
                <w:color w:val="auto"/>
                <w:szCs w:val="21"/>
                <w:lang w:val="en-US" w:eastAsia="zh-CN"/>
              </w:rPr>
            </w:pPr>
            <w:r>
              <w:rPr>
                <w:rFonts w:hint="eastAsia"/>
                <w:color w:val="auto"/>
                <w:szCs w:val="21"/>
                <w:lang w:val="en-US" w:eastAsia="zh-CN"/>
              </w:rPr>
              <w:t>（注：须提供办公场所房产证和租赁合同复印件，提供办公场所与档案存储场所实景照片，未提供的不计分，不排除采购人事后实地考察的需要，如不符合，按虚假应标处理）</w:t>
            </w:r>
          </w:p>
        </w:tc>
      </w:tr>
      <w:tr w14:paraId="099EE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347" w:type="dxa"/>
            <w:vMerge w:val="restart"/>
            <w:vAlign w:val="center"/>
          </w:tcPr>
          <w:p w14:paraId="0E186CAE">
            <w:pPr>
              <w:spacing w:line="240" w:lineRule="auto"/>
              <w:jc w:val="center"/>
              <w:rPr>
                <w:color w:val="auto"/>
                <w:szCs w:val="21"/>
              </w:rPr>
            </w:pPr>
            <w:r>
              <w:rPr>
                <w:rFonts w:hint="eastAsia" w:ascii="Noto Sans" w:hAnsi="Noto Sans" w:cs="Noto Sans"/>
                <w:i w:val="0"/>
                <w:caps w:val="0"/>
                <w:color w:val="auto"/>
                <w:spacing w:val="0"/>
                <w:sz w:val="24"/>
                <w:szCs w:val="24"/>
                <w:shd w:val="clear" w:color="auto" w:fill="FFFFFF"/>
                <w:vertAlign w:val="baseline"/>
                <w:lang w:eastAsia="zh-CN"/>
              </w:rPr>
              <w:t>拟派</w:t>
            </w:r>
            <w:r>
              <w:rPr>
                <w:rFonts w:hint="eastAsia" w:ascii="Noto Sans" w:hAnsi="Noto Sans" w:eastAsia="宋体" w:cs="Noto Sans"/>
                <w:i w:val="0"/>
                <w:caps w:val="0"/>
                <w:color w:val="auto"/>
                <w:spacing w:val="0"/>
                <w:sz w:val="24"/>
                <w:szCs w:val="24"/>
                <w:shd w:val="clear" w:color="auto" w:fill="FFFFFF"/>
                <w:vertAlign w:val="baseline"/>
                <w:lang w:eastAsia="zh-CN"/>
              </w:rPr>
              <w:t>项目组成员</w:t>
            </w:r>
            <w:r>
              <w:rPr>
                <w:rFonts w:hint="eastAsia" w:ascii="Noto Sans" w:hAnsi="Noto Sans" w:cs="Noto Sans"/>
                <w:i w:val="0"/>
                <w:caps w:val="0"/>
                <w:color w:val="auto"/>
                <w:spacing w:val="0"/>
                <w:sz w:val="24"/>
                <w:szCs w:val="24"/>
                <w:shd w:val="clear" w:color="auto" w:fill="FFFFFF"/>
                <w:vertAlign w:val="baseline"/>
                <w:lang w:eastAsia="zh-CN"/>
              </w:rPr>
              <w:t>实力</w:t>
            </w:r>
          </w:p>
        </w:tc>
        <w:tc>
          <w:tcPr>
            <w:tcW w:w="746" w:type="dxa"/>
            <w:vAlign w:val="center"/>
          </w:tcPr>
          <w:p w14:paraId="4D6A0620">
            <w:pPr>
              <w:spacing w:line="240" w:lineRule="auto"/>
              <w:jc w:val="center"/>
              <w:rPr>
                <w:color w:val="auto"/>
                <w:szCs w:val="21"/>
              </w:rPr>
            </w:pPr>
            <w:r>
              <w:rPr>
                <w:rFonts w:hint="eastAsia"/>
                <w:color w:val="auto"/>
                <w:szCs w:val="21"/>
                <w:lang w:val="en-US" w:eastAsia="zh-CN"/>
              </w:rPr>
              <w:t>15</w:t>
            </w:r>
            <w:r>
              <w:rPr>
                <w:rFonts w:hint="eastAsia"/>
                <w:color w:val="auto"/>
                <w:szCs w:val="21"/>
              </w:rPr>
              <w:t>分</w:t>
            </w:r>
          </w:p>
        </w:tc>
        <w:tc>
          <w:tcPr>
            <w:tcW w:w="6380" w:type="dxa"/>
            <w:vAlign w:val="center"/>
          </w:tcPr>
          <w:p w14:paraId="4727A097">
            <w:pPr>
              <w:spacing w:line="240" w:lineRule="auto"/>
              <w:jc w:val="left"/>
              <w:rPr>
                <w:rFonts w:hint="eastAsia"/>
                <w:color w:val="auto"/>
                <w:szCs w:val="21"/>
                <w:lang w:val="en-US" w:eastAsia="zh-CN"/>
              </w:rPr>
            </w:pPr>
            <w:r>
              <w:rPr>
                <w:rFonts w:hint="eastAsia"/>
                <w:color w:val="auto"/>
                <w:szCs w:val="21"/>
                <w:lang w:val="en-US" w:eastAsia="zh-CN"/>
              </w:rPr>
              <w:t>拟派项目组从业人员：</w:t>
            </w:r>
          </w:p>
          <w:p w14:paraId="0671B1B6">
            <w:pPr>
              <w:numPr>
                <w:ilvl w:val="0"/>
                <w:numId w:val="12"/>
              </w:numPr>
              <w:spacing w:line="240" w:lineRule="auto"/>
              <w:jc w:val="left"/>
              <w:rPr>
                <w:rFonts w:hint="eastAsia"/>
                <w:color w:val="auto"/>
                <w:szCs w:val="21"/>
                <w:lang w:val="en-US" w:eastAsia="zh-CN"/>
              </w:rPr>
            </w:pPr>
            <w:r>
              <w:rPr>
                <w:rFonts w:hint="eastAsia"/>
                <w:color w:val="auto"/>
                <w:szCs w:val="21"/>
                <w:lang w:val="en-US" w:eastAsia="zh-CN"/>
              </w:rPr>
              <w:t>湖南省内的通过湖南省政府采购协会颁发的政府采购人员培训合格证代理机构业务能力考试的（湖南省外的取得政府采购从业人员岗前培训证明的），每人计2分；最高计6分；</w:t>
            </w:r>
          </w:p>
          <w:p w14:paraId="255D049E">
            <w:pPr>
              <w:numPr>
                <w:ilvl w:val="0"/>
                <w:numId w:val="0"/>
              </w:numPr>
              <w:spacing w:line="240" w:lineRule="auto"/>
              <w:jc w:val="left"/>
              <w:rPr>
                <w:rFonts w:hint="default"/>
                <w:color w:val="auto"/>
                <w:szCs w:val="21"/>
                <w:lang w:val="en-US" w:eastAsia="zh-CN"/>
              </w:rPr>
            </w:pPr>
            <w:r>
              <w:rPr>
                <w:rFonts w:hint="eastAsia"/>
                <w:color w:val="auto"/>
                <w:szCs w:val="21"/>
                <w:lang w:val="en-US" w:eastAsia="zh-CN"/>
              </w:rPr>
              <w:t>2、拟派项目组从业人员具备中级及以上职称的每人计1分，最高计3分。</w:t>
            </w:r>
          </w:p>
          <w:p w14:paraId="46A97F5C">
            <w:pPr>
              <w:spacing w:line="240" w:lineRule="auto"/>
              <w:jc w:val="left"/>
              <w:rPr>
                <w:rFonts w:hint="eastAsia"/>
                <w:color w:val="auto"/>
                <w:szCs w:val="21"/>
                <w:lang w:val="en-US" w:eastAsia="zh-CN"/>
              </w:rPr>
            </w:pPr>
            <w:r>
              <w:rPr>
                <w:rFonts w:hint="eastAsia"/>
                <w:color w:val="auto"/>
                <w:szCs w:val="21"/>
                <w:lang w:val="en-US" w:eastAsia="zh-CN"/>
              </w:rPr>
              <w:t>3、拟派项目组从业人员从业经验5年及以上的每人计2分，最高计6分。（需提供2017年1月1日起的证明材料，一个自然年内至少一份采购代理协议，且该代理协议明确该人员是项目组成员，否则不计分）</w:t>
            </w:r>
          </w:p>
          <w:p w14:paraId="4048DD16">
            <w:pPr>
              <w:spacing w:line="240" w:lineRule="auto"/>
              <w:jc w:val="left"/>
              <w:rPr>
                <w:rFonts w:hint="eastAsia"/>
                <w:color w:val="auto"/>
                <w:szCs w:val="21"/>
                <w:lang w:val="en-US" w:eastAsia="zh-CN"/>
              </w:rPr>
            </w:pPr>
          </w:p>
          <w:p w14:paraId="6E688F8D">
            <w:pPr>
              <w:spacing w:line="240" w:lineRule="auto"/>
              <w:jc w:val="left"/>
              <w:rPr>
                <w:rFonts w:hint="eastAsia"/>
                <w:color w:val="auto"/>
                <w:szCs w:val="21"/>
                <w:lang w:val="en-US" w:eastAsia="zh-CN"/>
              </w:rPr>
            </w:pPr>
            <w:r>
              <w:rPr>
                <w:rFonts w:hint="eastAsia"/>
                <w:color w:val="auto"/>
                <w:szCs w:val="21"/>
                <w:lang w:val="en-US" w:eastAsia="zh-CN"/>
              </w:rPr>
              <w:t>（注：提供与从业人员姓名相对应的身份证和政府采购代理机构培训合格证复印件；提供供应商为该成员缴纳社保证明复印件《如：社会保险费缴款书或银行电子缴税（费）凭证或社保管理部门出具的有效的缴款证明》，未提供的不计分。）</w:t>
            </w:r>
          </w:p>
        </w:tc>
      </w:tr>
      <w:tr w14:paraId="4B4CE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347" w:type="dxa"/>
            <w:vMerge w:val="continue"/>
            <w:vAlign w:val="center"/>
          </w:tcPr>
          <w:p w14:paraId="7CD60A3B">
            <w:pPr>
              <w:spacing w:line="240" w:lineRule="auto"/>
              <w:jc w:val="center"/>
              <w:rPr>
                <w:color w:val="auto"/>
                <w:szCs w:val="21"/>
              </w:rPr>
            </w:pPr>
          </w:p>
        </w:tc>
        <w:tc>
          <w:tcPr>
            <w:tcW w:w="746" w:type="dxa"/>
            <w:vAlign w:val="center"/>
          </w:tcPr>
          <w:p w14:paraId="18E11D81">
            <w:pPr>
              <w:spacing w:line="240" w:lineRule="auto"/>
              <w:jc w:val="center"/>
              <w:rPr>
                <w:rFonts w:hint="eastAsia" w:ascii="Noto Sans" w:hAnsi="Noto Sans" w:eastAsia="宋体" w:cs="Noto Sans"/>
                <w:i w:val="0"/>
                <w:caps w:val="0"/>
                <w:color w:val="auto"/>
                <w:spacing w:val="0"/>
                <w:sz w:val="24"/>
                <w:szCs w:val="24"/>
                <w:shd w:val="clear" w:color="auto" w:fill="FFFFFF"/>
                <w:vertAlign w:val="baseline"/>
                <w:lang w:eastAsia="zh-CN"/>
              </w:rPr>
            </w:pPr>
            <w:r>
              <w:rPr>
                <w:rFonts w:hint="eastAsia"/>
                <w:color w:val="auto"/>
                <w:szCs w:val="21"/>
                <w:lang w:val="en-US" w:eastAsia="zh-CN"/>
              </w:rPr>
              <w:t>9</w:t>
            </w:r>
            <w:r>
              <w:rPr>
                <w:color w:val="auto"/>
                <w:szCs w:val="21"/>
              </w:rPr>
              <w:t>分</w:t>
            </w:r>
          </w:p>
        </w:tc>
        <w:tc>
          <w:tcPr>
            <w:tcW w:w="6380" w:type="dxa"/>
            <w:vAlign w:val="center"/>
          </w:tcPr>
          <w:p w14:paraId="588FFF62">
            <w:pPr>
              <w:spacing w:line="240" w:lineRule="auto"/>
              <w:jc w:val="left"/>
              <w:rPr>
                <w:rFonts w:hint="eastAsia"/>
                <w:color w:val="auto"/>
                <w:szCs w:val="21"/>
                <w:lang w:val="en-US" w:eastAsia="zh-CN"/>
              </w:rPr>
            </w:pPr>
            <w:r>
              <w:rPr>
                <w:rFonts w:hint="eastAsia"/>
                <w:color w:val="auto"/>
                <w:szCs w:val="21"/>
                <w:lang w:val="en-US" w:eastAsia="zh-CN"/>
              </w:rPr>
              <w:t>提供自2021年1月1日起至今，项目负责人负责的三甲综合公立医院采购货物（非医疗器械）代理</w:t>
            </w:r>
            <w:r>
              <w:rPr>
                <w:rFonts w:hint="eastAsia"/>
                <w:color w:val="auto"/>
                <w:szCs w:val="21"/>
                <w:lang w:val="en" w:eastAsia="zh-CN"/>
              </w:rPr>
              <w:t>经验（</w:t>
            </w:r>
            <w:r>
              <w:rPr>
                <w:rFonts w:hint="eastAsia"/>
                <w:color w:val="auto"/>
                <w:szCs w:val="21"/>
                <w:lang w:val="en-US" w:eastAsia="zh-CN"/>
              </w:rPr>
              <w:t>业绩</w:t>
            </w:r>
            <w:r>
              <w:rPr>
                <w:rFonts w:hint="eastAsia"/>
                <w:color w:val="auto"/>
                <w:szCs w:val="21"/>
                <w:lang w:val="en" w:eastAsia="zh-CN"/>
              </w:rPr>
              <w:t>）的</w:t>
            </w:r>
            <w:r>
              <w:rPr>
                <w:rFonts w:hint="eastAsia"/>
                <w:color w:val="auto"/>
                <w:szCs w:val="21"/>
                <w:lang w:val="en-US" w:eastAsia="zh-CN"/>
              </w:rPr>
              <w:t>计3分；最多计3分。</w:t>
            </w:r>
          </w:p>
          <w:p w14:paraId="62845612">
            <w:pPr>
              <w:spacing w:line="240" w:lineRule="auto"/>
              <w:jc w:val="left"/>
              <w:rPr>
                <w:rFonts w:hint="eastAsia"/>
                <w:color w:val="auto"/>
                <w:szCs w:val="21"/>
                <w:lang w:val="en-US" w:eastAsia="zh-CN"/>
              </w:rPr>
            </w:pPr>
          </w:p>
          <w:p w14:paraId="12858016">
            <w:pPr>
              <w:spacing w:line="240" w:lineRule="auto"/>
              <w:jc w:val="left"/>
              <w:rPr>
                <w:rFonts w:hint="eastAsia"/>
                <w:color w:val="auto"/>
                <w:szCs w:val="21"/>
                <w:lang w:val="en-US" w:eastAsia="zh-CN"/>
              </w:rPr>
            </w:pPr>
            <w:r>
              <w:rPr>
                <w:rFonts w:hint="eastAsia"/>
                <w:color w:val="auto"/>
                <w:szCs w:val="21"/>
                <w:lang w:val="en-US" w:eastAsia="zh-CN"/>
              </w:rPr>
              <w:t>提供自2021年1月1日起至今，项目负责人负责的三甲综合公立医院采购服务代理</w:t>
            </w:r>
            <w:r>
              <w:rPr>
                <w:rFonts w:hint="eastAsia"/>
                <w:color w:val="auto"/>
                <w:szCs w:val="21"/>
                <w:lang w:val="en" w:eastAsia="zh-CN"/>
              </w:rPr>
              <w:t>经验（</w:t>
            </w:r>
            <w:r>
              <w:rPr>
                <w:rFonts w:hint="eastAsia"/>
                <w:color w:val="auto"/>
                <w:szCs w:val="21"/>
                <w:lang w:val="en-US" w:eastAsia="zh-CN"/>
              </w:rPr>
              <w:t>业绩</w:t>
            </w:r>
            <w:r>
              <w:rPr>
                <w:rFonts w:hint="eastAsia"/>
                <w:color w:val="auto"/>
                <w:szCs w:val="21"/>
                <w:lang w:val="en" w:eastAsia="zh-CN"/>
              </w:rPr>
              <w:t>）</w:t>
            </w:r>
            <w:r>
              <w:rPr>
                <w:rFonts w:hint="eastAsia"/>
                <w:color w:val="auto"/>
                <w:szCs w:val="21"/>
                <w:lang w:val="en-US" w:eastAsia="zh-CN"/>
              </w:rPr>
              <w:t>的计3分；最多计3分。</w:t>
            </w:r>
          </w:p>
          <w:p w14:paraId="00934FD1">
            <w:pPr>
              <w:spacing w:line="240" w:lineRule="auto"/>
              <w:jc w:val="left"/>
              <w:rPr>
                <w:rFonts w:hint="eastAsia"/>
                <w:color w:val="auto"/>
                <w:szCs w:val="21"/>
                <w:lang w:val="en-US" w:eastAsia="zh-CN"/>
              </w:rPr>
            </w:pPr>
          </w:p>
          <w:p w14:paraId="11843320">
            <w:pPr>
              <w:spacing w:line="240" w:lineRule="auto"/>
              <w:jc w:val="left"/>
              <w:rPr>
                <w:rFonts w:hint="eastAsia"/>
                <w:color w:val="auto"/>
                <w:szCs w:val="21"/>
                <w:lang w:val="en-US" w:eastAsia="zh-CN"/>
              </w:rPr>
            </w:pPr>
          </w:p>
          <w:p w14:paraId="2888F796">
            <w:pPr>
              <w:spacing w:line="240" w:lineRule="auto"/>
              <w:jc w:val="left"/>
              <w:rPr>
                <w:rFonts w:hint="eastAsia"/>
                <w:color w:val="auto"/>
                <w:szCs w:val="21"/>
                <w:lang w:val="en-US" w:eastAsia="zh-CN"/>
              </w:rPr>
            </w:pPr>
            <w:r>
              <w:rPr>
                <w:rFonts w:hint="eastAsia"/>
                <w:color w:val="auto"/>
                <w:szCs w:val="21"/>
                <w:lang w:val="en-US" w:eastAsia="zh-CN"/>
              </w:rPr>
              <w:t>提供自2021年1月1日起至今，项目负责人负责的三甲综合公立医院工程项目代理</w:t>
            </w:r>
            <w:r>
              <w:rPr>
                <w:rFonts w:hint="eastAsia"/>
                <w:color w:val="auto"/>
                <w:szCs w:val="21"/>
                <w:lang w:val="en" w:eastAsia="zh-CN"/>
              </w:rPr>
              <w:t>经验（</w:t>
            </w:r>
            <w:r>
              <w:rPr>
                <w:rFonts w:hint="eastAsia"/>
                <w:color w:val="auto"/>
                <w:szCs w:val="21"/>
                <w:lang w:val="en-US" w:eastAsia="zh-CN"/>
              </w:rPr>
              <w:t>业绩</w:t>
            </w:r>
            <w:r>
              <w:rPr>
                <w:rFonts w:hint="eastAsia"/>
                <w:color w:val="auto"/>
                <w:szCs w:val="21"/>
                <w:lang w:val="en" w:eastAsia="zh-CN"/>
              </w:rPr>
              <w:t>）</w:t>
            </w:r>
            <w:r>
              <w:rPr>
                <w:rFonts w:hint="eastAsia"/>
                <w:color w:val="auto"/>
                <w:szCs w:val="21"/>
                <w:lang w:val="en-US" w:eastAsia="zh-CN"/>
              </w:rPr>
              <w:t>的计3分；最多计3分。</w:t>
            </w:r>
          </w:p>
          <w:p w14:paraId="4F4EDD0F">
            <w:pPr>
              <w:spacing w:line="240" w:lineRule="auto"/>
              <w:jc w:val="left"/>
              <w:rPr>
                <w:rFonts w:hint="eastAsia"/>
                <w:color w:val="auto"/>
                <w:szCs w:val="21"/>
                <w:lang w:val="en-US" w:eastAsia="zh-CN"/>
              </w:rPr>
            </w:pPr>
          </w:p>
          <w:p w14:paraId="3CF8D6C4">
            <w:pPr>
              <w:spacing w:line="240" w:lineRule="auto"/>
              <w:jc w:val="left"/>
              <w:rPr>
                <w:rFonts w:hint="eastAsia"/>
                <w:color w:val="auto"/>
                <w:szCs w:val="21"/>
                <w:lang w:val="en-US" w:eastAsia="zh-CN"/>
              </w:rPr>
            </w:pPr>
            <w:r>
              <w:rPr>
                <w:rFonts w:hint="eastAsia"/>
                <w:color w:val="auto"/>
                <w:szCs w:val="21"/>
                <w:lang w:val="en-US" w:eastAsia="zh-CN"/>
              </w:rPr>
              <w:t>（注：以上业绩为同一医院的不重复计分；项目负责人须为供应商员工，提供供应商为项目负责人依法缴纳社保的证明和身份证复印件。提供业绩的采购代理合同与网上采购公告公示页面截图（所提供的业绩可为不同代理公司的，但采购代理合同签署的项目负责人为同一人即可），未提供的不计分。）</w:t>
            </w:r>
          </w:p>
        </w:tc>
      </w:tr>
      <w:tr w14:paraId="79C6A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47" w:type="dxa"/>
            <w:vMerge w:val="continue"/>
            <w:vAlign w:val="center"/>
          </w:tcPr>
          <w:p w14:paraId="6F149CE8">
            <w:pPr>
              <w:spacing w:line="240" w:lineRule="auto"/>
              <w:jc w:val="center"/>
              <w:rPr>
                <w:color w:val="auto"/>
                <w:szCs w:val="21"/>
              </w:rPr>
            </w:pPr>
          </w:p>
        </w:tc>
        <w:tc>
          <w:tcPr>
            <w:tcW w:w="746" w:type="dxa"/>
            <w:vAlign w:val="center"/>
          </w:tcPr>
          <w:p w14:paraId="2F1ADC79">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32" w:lineRule="atLeast"/>
              <w:ind w:right="0" w:rightChars="0"/>
              <w:textAlignment w:val="baseline"/>
              <w:rPr>
                <w:color w:val="auto"/>
                <w:szCs w:val="21"/>
              </w:rPr>
            </w:pPr>
            <w:r>
              <w:rPr>
                <w:rFonts w:hint="eastAsia" w:ascii="Noto Sans" w:hAnsi="Noto Sans" w:cs="Noto Sans"/>
                <w:i w:val="0"/>
                <w:caps w:val="0"/>
                <w:color w:val="auto"/>
                <w:spacing w:val="0"/>
                <w:sz w:val="24"/>
                <w:szCs w:val="24"/>
                <w:shd w:val="clear" w:color="auto" w:fill="FFFFFF"/>
                <w:vertAlign w:val="baseline"/>
                <w:lang w:val="en-US" w:eastAsia="zh-CN"/>
              </w:rPr>
              <w:t>6</w:t>
            </w:r>
            <w:r>
              <w:rPr>
                <w:rFonts w:hint="eastAsia" w:ascii="Noto Sans" w:hAnsi="Noto Sans" w:eastAsia="宋体" w:cs="Noto Sans"/>
                <w:i w:val="0"/>
                <w:caps w:val="0"/>
                <w:color w:val="auto"/>
                <w:spacing w:val="0"/>
                <w:sz w:val="24"/>
                <w:szCs w:val="24"/>
                <w:shd w:val="clear" w:color="auto" w:fill="FFFFFF"/>
                <w:vertAlign w:val="baseline"/>
                <w:lang w:eastAsia="zh-CN"/>
              </w:rPr>
              <w:t>分</w:t>
            </w:r>
          </w:p>
        </w:tc>
        <w:tc>
          <w:tcPr>
            <w:tcW w:w="6380" w:type="dxa"/>
            <w:vAlign w:val="center"/>
          </w:tcPr>
          <w:p w14:paraId="1AFFC125">
            <w:pPr>
              <w:spacing w:line="240" w:lineRule="auto"/>
              <w:jc w:val="left"/>
              <w:rPr>
                <w:rFonts w:hint="eastAsia"/>
                <w:color w:val="auto"/>
                <w:szCs w:val="21"/>
                <w:lang w:val="en-US" w:eastAsia="zh-CN"/>
              </w:rPr>
            </w:pPr>
            <w:r>
              <w:rPr>
                <w:rFonts w:hint="eastAsia"/>
                <w:color w:val="auto"/>
                <w:szCs w:val="21"/>
                <w:lang w:val="en-US" w:eastAsia="zh-CN"/>
              </w:rPr>
              <w:t>1、项目组成员具备丰富的采购经验，提供项目组成员负责的一个项目，项目有质疑且处理恰当的计1分，项目经过财政投诉且处理恰当的计2分，项目经过行政复议或行政诉讼且处理恰当的计3分。</w:t>
            </w:r>
          </w:p>
          <w:p w14:paraId="7E8877B3">
            <w:pPr>
              <w:spacing w:line="240" w:lineRule="auto"/>
              <w:jc w:val="left"/>
              <w:rPr>
                <w:rFonts w:hint="eastAsia"/>
                <w:color w:val="auto"/>
                <w:szCs w:val="21"/>
                <w:lang w:val="en-US" w:eastAsia="zh-CN"/>
              </w:rPr>
            </w:pPr>
          </w:p>
          <w:p w14:paraId="3DD2FE84">
            <w:pPr>
              <w:spacing w:line="240" w:lineRule="auto"/>
              <w:jc w:val="left"/>
              <w:rPr>
                <w:rFonts w:hint="eastAsia"/>
                <w:color w:val="auto"/>
                <w:szCs w:val="21"/>
                <w:lang w:val="en-US" w:eastAsia="zh-CN"/>
              </w:rPr>
            </w:pPr>
            <w:r>
              <w:rPr>
                <w:rFonts w:hint="eastAsia"/>
                <w:color w:val="auto"/>
                <w:szCs w:val="21"/>
                <w:lang w:val="en-US" w:eastAsia="zh-CN"/>
              </w:rPr>
              <w:t>2、根据该项目情况，供应商提供的服务方案、保证措施及投诉处理服务方案、保证措施及投诉处理等完善，计3分；服务方案、保证措施及投诉处理服务方案、保证措施及投诉处理等较完善，计2分；</w:t>
            </w:r>
          </w:p>
          <w:p w14:paraId="54071235">
            <w:pPr>
              <w:spacing w:line="240" w:lineRule="auto"/>
              <w:jc w:val="left"/>
              <w:rPr>
                <w:rFonts w:hint="eastAsia"/>
                <w:color w:val="auto"/>
                <w:szCs w:val="21"/>
                <w:lang w:val="en-US" w:eastAsia="zh-CN"/>
              </w:rPr>
            </w:pPr>
            <w:r>
              <w:rPr>
                <w:rFonts w:hint="eastAsia"/>
                <w:color w:val="auto"/>
                <w:szCs w:val="21"/>
                <w:lang w:val="en-US" w:eastAsia="zh-CN"/>
              </w:rPr>
              <w:t>服务方案、保证措施及投诉处理服务方案、保证措施及投诉处理等一般，计1分；无服务方案计0分。</w:t>
            </w:r>
          </w:p>
          <w:p w14:paraId="0C314A0D">
            <w:pPr>
              <w:spacing w:line="240" w:lineRule="auto"/>
              <w:jc w:val="left"/>
              <w:rPr>
                <w:rFonts w:hint="eastAsia"/>
                <w:color w:val="auto"/>
                <w:szCs w:val="21"/>
                <w:lang w:val="en-US" w:eastAsia="zh-CN"/>
              </w:rPr>
            </w:pPr>
          </w:p>
          <w:p w14:paraId="07A2E254">
            <w:pPr>
              <w:spacing w:line="240" w:lineRule="auto"/>
              <w:jc w:val="left"/>
              <w:rPr>
                <w:rFonts w:hint="default"/>
                <w:color w:val="auto"/>
                <w:szCs w:val="21"/>
                <w:lang w:val="en-US" w:eastAsia="zh-CN"/>
              </w:rPr>
            </w:pPr>
            <w:r>
              <w:rPr>
                <w:rFonts w:hint="eastAsia"/>
                <w:color w:val="auto"/>
                <w:szCs w:val="21"/>
                <w:lang w:val="en-US" w:eastAsia="zh-CN"/>
              </w:rPr>
              <w:t>（注：供应商须提供该项目代理协议，代理协议中记载的项目负责人是本次项目组成员，非拟派项目组成员负责的方案，本项不计分）</w:t>
            </w:r>
          </w:p>
        </w:tc>
      </w:tr>
      <w:tr w14:paraId="7BC92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1347" w:type="dxa"/>
            <w:vMerge w:val="continue"/>
            <w:vAlign w:val="center"/>
          </w:tcPr>
          <w:p w14:paraId="04DADE7C">
            <w:pPr>
              <w:spacing w:line="240" w:lineRule="auto"/>
              <w:jc w:val="center"/>
              <w:rPr>
                <w:color w:val="auto"/>
                <w:szCs w:val="21"/>
              </w:rPr>
            </w:pPr>
          </w:p>
        </w:tc>
        <w:tc>
          <w:tcPr>
            <w:tcW w:w="746" w:type="dxa"/>
            <w:vAlign w:val="center"/>
          </w:tcPr>
          <w:p w14:paraId="2C5FB1B9">
            <w:pPr>
              <w:spacing w:line="240" w:lineRule="auto"/>
              <w:jc w:val="center"/>
              <w:rPr>
                <w:rFonts w:hint="eastAsia" w:ascii="Noto Sans" w:hAnsi="Noto Sans" w:eastAsia="宋体" w:cs="Noto Sans"/>
                <w:i w:val="0"/>
                <w:caps w:val="0"/>
                <w:color w:val="auto"/>
                <w:spacing w:val="0"/>
                <w:kern w:val="0"/>
                <w:sz w:val="24"/>
                <w:szCs w:val="24"/>
                <w:shd w:val="clear" w:color="auto" w:fill="FFFFFF"/>
                <w:vertAlign w:val="baseline"/>
                <w:lang w:val="en-US" w:eastAsia="zh-CN" w:bidi="ar-SA"/>
              </w:rPr>
            </w:pPr>
            <w:r>
              <w:rPr>
                <w:rFonts w:hint="eastAsia" w:ascii="Noto Sans" w:hAnsi="Noto Sans" w:cs="Noto Sans"/>
                <w:i w:val="0"/>
                <w:caps w:val="0"/>
                <w:color w:val="auto"/>
                <w:spacing w:val="0"/>
                <w:kern w:val="0"/>
                <w:sz w:val="24"/>
                <w:szCs w:val="24"/>
                <w:shd w:val="clear" w:color="auto" w:fill="FFFFFF"/>
                <w:vertAlign w:val="baseline"/>
                <w:lang w:val="en-US" w:eastAsia="zh-CN" w:bidi="ar-SA"/>
              </w:rPr>
              <w:t>2</w:t>
            </w:r>
            <w:r>
              <w:rPr>
                <w:rFonts w:hint="eastAsia" w:ascii="Noto Sans" w:hAnsi="Noto Sans" w:eastAsia="宋体" w:cs="Noto Sans"/>
                <w:i w:val="0"/>
                <w:caps w:val="0"/>
                <w:color w:val="auto"/>
                <w:spacing w:val="0"/>
                <w:kern w:val="0"/>
                <w:sz w:val="24"/>
                <w:szCs w:val="24"/>
                <w:shd w:val="clear" w:color="auto" w:fill="FFFFFF"/>
                <w:vertAlign w:val="baseline"/>
                <w:lang w:val="en-US" w:eastAsia="zh-CN" w:bidi="ar-SA"/>
              </w:rPr>
              <w:t>分</w:t>
            </w:r>
          </w:p>
        </w:tc>
        <w:tc>
          <w:tcPr>
            <w:tcW w:w="6380" w:type="dxa"/>
            <w:vAlign w:val="center"/>
          </w:tcPr>
          <w:p w14:paraId="42B23572">
            <w:pPr>
              <w:spacing w:line="240" w:lineRule="auto"/>
              <w:jc w:val="left"/>
              <w:rPr>
                <w:rFonts w:hint="eastAsia"/>
                <w:color w:val="auto"/>
                <w:szCs w:val="21"/>
                <w:lang w:val="en-US" w:eastAsia="zh-CN"/>
              </w:rPr>
            </w:pPr>
            <w:r>
              <w:rPr>
                <w:rFonts w:hint="eastAsia"/>
                <w:color w:val="auto"/>
                <w:szCs w:val="21"/>
                <w:lang w:val="en-US" w:eastAsia="zh-CN"/>
              </w:rPr>
              <w:t>拟派项目组成员中有专职法律人员或者聘请年度法律顾问的计2分，否则计0分。专职法律人员的须提供劳动合同及供应商为其缴纳社保的证明；聘请年度法律顾问的须提供律师资格证及年度法律顾问协议，协议有效期到遴选开始之日后，否则不计分。以上资料需提供复印件并加盖公章</w:t>
            </w:r>
          </w:p>
        </w:tc>
      </w:tr>
      <w:tr w14:paraId="054DB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0" w:hRule="atLeast"/>
          <w:jc w:val="center"/>
        </w:trPr>
        <w:tc>
          <w:tcPr>
            <w:tcW w:w="1347" w:type="dxa"/>
            <w:vMerge w:val="continue"/>
            <w:vAlign w:val="center"/>
          </w:tcPr>
          <w:p w14:paraId="13547BA9">
            <w:pPr>
              <w:spacing w:line="240" w:lineRule="auto"/>
              <w:jc w:val="center"/>
              <w:rPr>
                <w:color w:val="auto"/>
                <w:szCs w:val="21"/>
              </w:rPr>
            </w:pPr>
          </w:p>
        </w:tc>
        <w:tc>
          <w:tcPr>
            <w:tcW w:w="746" w:type="dxa"/>
            <w:vAlign w:val="center"/>
          </w:tcPr>
          <w:p w14:paraId="39178989">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32" w:lineRule="atLeast"/>
              <w:ind w:right="0" w:rightChars="0"/>
              <w:textAlignment w:val="baseline"/>
              <w:rPr>
                <w:color w:val="auto"/>
                <w:szCs w:val="21"/>
              </w:rPr>
            </w:pPr>
            <w:r>
              <w:rPr>
                <w:rFonts w:hint="eastAsia" w:ascii="Noto Sans" w:hAnsi="Noto Sans" w:cs="Noto Sans"/>
                <w:i w:val="0"/>
                <w:caps w:val="0"/>
                <w:color w:val="auto"/>
                <w:spacing w:val="0"/>
                <w:sz w:val="24"/>
                <w:szCs w:val="24"/>
                <w:shd w:val="clear" w:color="auto" w:fill="FFFFFF"/>
                <w:vertAlign w:val="baseline"/>
                <w:lang w:val="en-US" w:eastAsia="zh-CN"/>
              </w:rPr>
              <w:t>6</w:t>
            </w:r>
            <w:r>
              <w:rPr>
                <w:rFonts w:hint="eastAsia" w:ascii="Noto Sans" w:hAnsi="Noto Sans" w:eastAsia="宋体" w:cs="Noto Sans"/>
                <w:i w:val="0"/>
                <w:caps w:val="0"/>
                <w:color w:val="auto"/>
                <w:spacing w:val="0"/>
                <w:sz w:val="24"/>
                <w:szCs w:val="24"/>
                <w:shd w:val="clear" w:color="auto" w:fill="FFFFFF"/>
                <w:vertAlign w:val="baseline"/>
                <w:lang w:eastAsia="zh-CN"/>
              </w:rPr>
              <w:t>分</w:t>
            </w:r>
          </w:p>
        </w:tc>
        <w:tc>
          <w:tcPr>
            <w:tcW w:w="6380" w:type="dxa"/>
            <w:vAlign w:val="center"/>
          </w:tcPr>
          <w:p w14:paraId="224F6A56">
            <w:pPr>
              <w:spacing w:line="240" w:lineRule="auto"/>
              <w:jc w:val="left"/>
              <w:rPr>
                <w:rFonts w:hint="eastAsia"/>
                <w:color w:val="auto"/>
                <w:szCs w:val="21"/>
                <w:lang w:val="en-US" w:eastAsia="zh-CN"/>
              </w:rPr>
            </w:pPr>
            <w:r>
              <w:rPr>
                <w:rFonts w:hint="eastAsia"/>
                <w:color w:val="auto"/>
                <w:szCs w:val="21"/>
                <w:lang w:val="en-US" w:eastAsia="zh-CN"/>
              </w:rPr>
              <w:t>接到采购方采购咨询或业务洽接通知时，应积极响应。项目组成员接到上门服务要求时，到达采购人单位现场时间承诺：</w:t>
            </w:r>
          </w:p>
          <w:p w14:paraId="24627F84">
            <w:pPr>
              <w:spacing w:line="240" w:lineRule="auto"/>
              <w:jc w:val="left"/>
              <w:rPr>
                <w:rFonts w:hint="eastAsia"/>
                <w:color w:val="auto"/>
                <w:szCs w:val="21"/>
                <w:lang w:val="en-US" w:eastAsia="zh-CN"/>
              </w:rPr>
            </w:pPr>
            <w:r>
              <w:rPr>
                <w:rFonts w:hint="eastAsia"/>
                <w:color w:val="auto"/>
                <w:szCs w:val="21"/>
                <w:lang w:val="en-US" w:eastAsia="zh-CN"/>
              </w:rPr>
              <w:t>1、到达现场时间半个小时内的计6分；</w:t>
            </w:r>
          </w:p>
          <w:p w14:paraId="7934FE8C">
            <w:pPr>
              <w:spacing w:line="240" w:lineRule="auto"/>
              <w:jc w:val="left"/>
              <w:rPr>
                <w:rFonts w:hint="eastAsia"/>
                <w:color w:val="auto"/>
                <w:szCs w:val="21"/>
                <w:lang w:val="en-US" w:eastAsia="zh-CN"/>
              </w:rPr>
            </w:pPr>
            <w:r>
              <w:rPr>
                <w:rFonts w:hint="eastAsia"/>
                <w:color w:val="auto"/>
                <w:szCs w:val="21"/>
                <w:lang w:val="en-US" w:eastAsia="zh-CN"/>
              </w:rPr>
              <w:t>2、到达现场时间1小时内的计4分；</w:t>
            </w:r>
          </w:p>
          <w:p w14:paraId="22A0934D">
            <w:pPr>
              <w:spacing w:line="240" w:lineRule="auto"/>
              <w:jc w:val="left"/>
              <w:rPr>
                <w:rFonts w:hint="eastAsia"/>
                <w:color w:val="auto"/>
                <w:szCs w:val="21"/>
                <w:lang w:val="en-US" w:eastAsia="zh-CN"/>
              </w:rPr>
            </w:pPr>
            <w:r>
              <w:rPr>
                <w:rFonts w:hint="eastAsia"/>
                <w:color w:val="auto"/>
                <w:szCs w:val="21"/>
                <w:lang w:val="en-US" w:eastAsia="zh-CN"/>
              </w:rPr>
              <w:t>3、到达现场时间2小时内的计2分；</w:t>
            </w:r>
          </w:p>
          <w:p w14:paraId="4C42C7A9">
            <w:pPr>
              <w:spacing w:line="240" w:lineRule="auto"/>
              <w:jc w:val="left"/>
              <w:rPr>
                <w:rFonts w:hint="eastAsia"/>
                <w:color w:val="auto"/>
                <w:szCs w:val="21"/>
                <w:lang w:val="en-US" w:eastAsia="zh-CN"/>
              </w:rPr>
            </w:pPr>
            <w:r>
              <w:rPr>
                <w:rFonts w:hint="eastAsia"/>
                <w:color w:val="auto"/>
                <w:szCs w:val="21"/>
                <w:lang w:val="en-US" w:eastAsia="zh-CN"/>
              </w:rPr>
              <w:t>注：须提供承诺函，且须提供保障承诺得到真实执行的证明材料（（如提供公司或办事处地址相关租房合同或房产资料，提供公司或办事处与采购单位的距离、到达采购人单位的导航截图等材料，评审小组将视其实际情况和可行性予以评审）</w:t>
            </w:r>
          </w:p>
        </w:tc>
      </w:tr>
      <w:tr w14:paraId="4E052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347" w:type="dxa"/>
            <w:vAlign w:val="center"/>
          </w:tcPr>
          <w:p w14:paraId="7F428F9E">
            <w:pPr>
              <w:spacing w:line="240" w:lineRule="auto"/>
              <w:jc w:val="center"/>
              <w:rPr>
                <w:rFonts w:hint="eastAsia" w:ascii="Noto Sans" w:hAnsi="Noto Sans" w:eastAsia="宋体" w:cs="Noto Sans"/>
                <w:i w:val="0"/>
                <w:caps w:val="0"/>
                <w:color w:val="auto"/>
                <w:spacing w:val="0"/>
                <w:sz w:val="24"/>
                <w:szCs w:val="24"/>
                <w:shd w:val="clear" w:color="auto" w:fill="FFFFFF"/>
                <w:vertAlign w:val="baseline"/>
                <w:lang w:eastAsia="zh-CN"/>
              </w:rPr>
            </w:pPr>
            <w:r>
              <w:rPr>
                <w:rFonts w:hint="eastAsia" w:ascii="Noto Sans" w:hAnsi="Noto Sans" w:eastAsia="宋体" w:cs="Noto Sans"/>
                <w:i w:val="0"/>
                <w:caps w:val="0"/>
                <w:color w:val="auto"/>
                <w:spacing w:val="0"/>
                <w:sz w:val="24"/>
                <w:szCs w:val="24"/>
                <w:shd w:val="clear" w:color="auto" w:fill="FFFFFF"/>
                <w:vertAlign w:val="baseline"/>
                <w:lang w:eastAsia="zh-CN"/>
              </w:rPr>
              <w:t>内控</w:t>
            </w:r>
          </w:p>
          <w:p w14:paraId="0531B1E7">
            <w:pPr>
              <w:spacing w:line="240" w:lineRule="auto"/>
              <w:jc w:val="center"/>
              <w:rPr>
                <w:rFonts w:hint="eastAsia" w:ascii="Noto Sans" w:hAnsi="Noto Sans" w:eastAsia="宋体" w:cs="Noto Sans"/>
                <w:i w:val="0"/>
                <w:caps w:val="0"/>
                <w:color w:val="auto"/>
                <w:spacing w:val="0"/>
                <w:sz w:val="24"/>
                <w:szCs w:val="24"/>
                <w:shd w:val="clear" w:color="auto" w:fill="FFFFFF"/>
                <w:vertAlign w:val="baseline"/>
                <w:lang w:eastAsia="zh-CN"/>
              </w:rPr>
            </w:pPr>
            <w:r>
              <w:rPr>
                <w:rFonts w:hint="eastAsia" w:ascii="Noto Sans" w:hAnsi="Noto Sans" w:eastAsia="宋体" w:cs="Noto Sans"/>
                <w:i w:val="0"/>
                <w:caps w:val="0"/>
                <w:color w:val="auto"/>
                <w:spacing w:val="0"/>
                <w:sz w:val="24"/>
                <w:szCs w:val="24"/>
                <w:shd w:val="clear" w:color="auto" w:fill="FFFFFF"/>
                <w:vertAlign w:val="baseline"/>
                <w:lang w:eastAsia="zh-CN"/>
              </w:rPr>
              <w:t>制度</w:t>
            </w:r>
          </w:p>
        </w:tc>
        <w:tc>
          <w:tcPr>
            <w:tcW w:w="746" w:type="dxa"/>
            <w:vAlign w:val="center"/>
          </w:tcPr>
          <w:p w14:paraId="2CF7B457">
            <w:pPr>
              <w:spacing w:line="240" w:lineRule="auto"/>
              <w:jc w:val="center"/>
              <w:rPr>
                <w:color w:val="auto"/>
                <w:szCs w:val="21"/>
              </w:rPr>
            </w:pPr>
            <w:r>
              <w:rPr>
                <w:rFonts w:hint="eastAsia"/>
                <w:color w:val="auto"/>
                <w:szCs w:val="21"/>
              </w:rPr>
              <w:t>10</w:t>
            </w:r>
            <w:r>
              <w:rPr>
                <w:color w:val="auto"/>
                <w:szCs w:val="21"/>
              </w:rPr>
              <w:t>分</w:t>
            </w:r>
          </w:p>
        </w:tc>
        <w:tc>
          <w:tcPr>
            <w:tcW w:w="6380" w:type="dxa"/>
            <w:vAlign w:val="center"/>
          </w:tcPr>
          <w:p w14:paraId="597BE5F6">
            <w:pPr>
              <w:spacing w:line="240" w:lineRule="auto"/>
              <w:jc w:val="both"/>
              <w:rPr>
                <w:color w:val="auto"/>
                <w:szCs w:val="21"/>
              </w:rPr>
            </w:pPr>
            <w:r>
              <w:rPr>
                <w:rFonts w:hint="eastAsia"/>
                <w:color w:val="auto"/>
                <w:szCs w:val="21"/>
              </w:rPr>
              <w:t>提供现行的内控制度，包括但不限于：①保密制度（需同时提供项目保密承诺函）、②财务人事管理制度、③招标文件审定制度、④开评标组织制度、⑤廉政风险防控制度。</w:t>
            </w:r>
          </w:p>
          <w:p w14:paraId="483CABD8">
            <w:pPr>
              <w:spacing w:line="240" w:lineRule="auto"/>
              <w:jc w:val="both"/>
              <w:rPr>
                <w:color w:val="auto"/>
                <w:szCs w:val="21"/>
              </w:rPr>
            </w:pPr>
            <w:r>
              <w:rPr>
                <w:rFonts w:hint="eastAsia"/>
                <w:color w:val="auto"/>
                <w:szCs w:val="21"/>
              </w:rPr>
              <w:t>（1）具备以上所有制度的计5分，每缺少一项制度扣1分，扣完为止。</w:t>
            </w:r>
          </w:p>
          <w:p w14:paraId="5FBB3983">
            <w:pPr>
              <w:spacing w:line="240" w:lineRule="auto"/>
              <w:jc w:val="both"/>
              <w:rPr>
                <w:color w:val="auto"/>
                <w:szCs w:val="21"/>
              </w:rPr>
            </w:pPr>
            <w:r>
              <w:rPr>
                <w:rFonts w:hint="eastAsia"/>
                <w:color w:val="auto"/>
                <w:szCs w:val="21"/>
              </w:rPr>
              <w:t>（2）制度合理、完善的计5分；制度合理性及完善性一般的计3分；制度欠合理欠完善的计1分。</w:t>
            </w:r>
          </w:p>
        </w:tc>
      </w:tr>
      <w:tr w14:paraId="3FE51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1347" w:type="dxa"/>
            <w:vAlign w:val="center"/>
          </w:tcPr>
          <w:p w14:paraId="4D775187">
            <w:pPr>
              <w:spacing w:line="240" w:lineRule="auto"/>
              <w:jc w:val="center"/>
              <w:rPr>
                <w:rFonts w:hint="eastAsia" w:ascii="Noto Sans" w:hAnsi="Noto Sans" w:eastAsia="宋体" w:cs="Noto Sans"/>
                <w:i w:val="0"/>
                <w:caps w:val="0"/>
                <w:color w:val="auto"/>
                <w:spacing w:val="0"/>
                <w:sz w:val="24"/>
                <w:szCs w:val="24"/>
                <w:shd w:val="clear" w:color="auto" w:fill="FFFFFF"/>
                <w:vertAlign w:val="baseline"/>
                <w:lang w:eastAsia="zh-CN"/>
              </w:rPr>
            </w:pPr>
            <w:r>
              <w:rPr>
                <w:rFonts w:hint="eastAsia" w:ascii="Noto Sans" w:hAnsi="Noto Sans" w:eastAsia="宋体" w:cs="Noto Sans"/>
                <w:i w:val="0"/>
                <w:caps w:val="0"/>
                <w:color w:val="auto"/>
                <w:spacing w:val="0"/>
                <w:sz w:val="24"/>
                <w:szCs w:val="24"/>
                <w:shd w:val="clear" w:color="auto" w:fill="FFFFFF"/>
                <w:vertAlign w:val="baseline"/>
                <w:lang w:eastAsia="zh-CN"/>
              </w:rPr>
              <w:t>服务</w:t>
            </w:r>
            <w:r>
              <w:rPr>
                <w:rFonts w:hint="eastAsia" w:ascii="Noto Sans" w:hAnsi="Noto Sans" w:cs="Noto Sans"/>
                <w:i w:val="0"/>
                <w:caps w:val="0"/>
                <w:color w:val="auto"/>
                <w:spacing w:val="0"/>
                <w:sz w:val="24"/>
                <w:szCs w:val="24"/>
                <w:shd w:val="clear" w:color="auto" w:fill="FFFFFF"/>
                <w:vertAlign w:val="baseline"/>
                <w:lang w:eastAsia="zh-CN"/>
              </w:rPr>
              <w:t>方案</w:t>
            </w:r>
          </w:p>
        </w:tc>
        <w:tc>
          <w:tcPr>
            <w:tcW w:w="746" w:type="dxa"/>
            <w:vAlign w:val="center"/>
          </w:tcPr>
          <w:p w14:paraId="2EF030EE">
            <w:pPr>
              <w:spacing w:line="240" w:lineRule="auto"/>
              <w:jc w:val="center"/>
              <w:rPr>
                <w:color w:val="auto"/>
                <w:szCs w:val="21"/>
              </w:rPr>
            </w:pPr>
            <w:r>
              <w:rPr>
                <w:rFonts w:hint="eastAsia"/>
                <w:color w:val="auto"/>
                <w:szCs w:val="21"/>
                <w:lang w:val="en-US" w:eastAsia="zh-CN"/>
              </w:rPr>
              <w:t>2</w:t>
            </w:r>
            <w:r>
              <w:rPr>
                <w:color w:val="auto"/>
                <w:szCs w:val="21"/>
              </w:rPr>
              <w:t>分</w:t>
            </w:r>
          </w:p>
        </w:tc>
        <w:tc>
          <w:tcPr>
            <w:tcW w:w="6380" w:type="dxa"/>
            <w:vAlign w:val="center"/>
          </w:tcPr>
          <w:p w14:paraId="6BD9C415">
            <w:pPr>
              <w:spacing w:line="240" w:lineRule="auto"/>
              <w:jc w:val="both"/>
              <w:rPr>
                <w:color w:val="auto"/>
                <w:szCs w:val="21"/>
              </w:rPr>
            </w:pPr>
            <w:r>
              <w:rPr>
                <w:rFonts w:hint="eastAsia"/>
                <w:color w:val="auto"/>
                <w:szCs w:val="21"/>
                <w:lang w:val="en-US" w:eastAsia="zh-CN"/>
              </w:rPr>
              <w:t>供应商</w:t>
            </w:r>
            <w:r>
              <w:rPr>
                <w:color w:val="auto"/>
                <w:szCs w:val="21"/>
              </w:rPr>
              <w:t>对本项目的重视程度，对</w:t>
            </w:r>
            <w:r>
              <w:rPr>
                <w:rFonts w:hint="eastAsia"/>
                <w:color w:val="auto"/>
                <w:szCs w:val="21"/>
                <w:lang w:val="en-US" w:eastAsia="zh-CN"/>
              </w:rPr>
              <w:t>采购人</w:t>
            </w:r>
            <w:r>
              <w:rPr>
                <w:color w:val="auto"/>
                <w:szCs w:val="21"/>
              </w:rPr>
              <w:t>要求积极响应并有具体的保证措施</w:t>
            </w:r>
            <w:r>
              <w:rPr>
                <w:rFonts w:hint="eastAsia"/>
                <w:color w:val="auto"/>
                <w:szCs w:val="21"/>
                <w:lang w:eastAsia="zh-CN"/>
              </w:rPr>
              <w:t>，提供服务方案，</w:t>
            </w:r>
            <w:r>
              <w:rPr>
                <w:color w:val="auto"/>
                <w:szCs w:val="21"/>
              </w:rPr>
              <w:t>优秀的计</w:t>
            </w:r>
            <w:r>
              <w:rPr>
                <w:rFonts w:hint="eastAsia"/>
                <w:color w:val="auto"/>
                <w:szCs w:val="21"/>
                <w:lang w:val="en-US" w:eastAsia="zh-CN"/>
              </w:rPr>
              <w:t>2</w:t>
            </w:r>
            <w:r>
              <w:rPr>
                <w:color w:val="auto"/>
                <w:szCs w:val="21"/>
              </w:rPr>
              <w:t>分，一般的计</w:t>
            </w:r>
            <w:r>
              <w:rPr>
                <w:rFonts w:hint="eastAsia"/>
                <w:color w:val="auto"/>
                <w:szCs w:val="21"/>
                <w:lang w:val="en-US" w:eastAsia="zh-CN"/>
              </w:rPr>
              <w:t>1</w:t>
            </w:r>
            <w:r>
              <w:rPr>
                <w:color w:val="auto"/>
                <w:szCs w:val="21"/>
              </w:rPr>
              <w:t>分</w:t>
            </w:r>
            <w:r>
              <w:rPr>
                <w:rFonts w:hint="eastAsia"/>
                <w:color w:val="auto"/>
                <w:szCs w:val="21"/>
                <w:lang w:eastAsia="zh-CN"/>
              </w:rPr>
              <w:t>，未提供不计分</w:t>
            </w:r>
            <w:r>
              <w:rPr>
                <w:color w:val="auto"/>
                <w:szCs w:val="21"/>
              </w:rPr>
              <w:t>。</w:t>
            </w:r>
          </w:p>
        </w:tc>
      </w:tr>
      <w:tr w14:paraId="6ADDD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347" w:type="dxa"/>
            <w:vAlign w:val="center"/>
          </w:tcPr>
          <w:p w14:paraId="50256B3F">
            <w:pPr>
              <w:spacing w:line="240" w:lineRule="auto"/>
              <w:jc w:val="center"/>
              <w:rPr>
                <w:rFonts w:hint="eastAsia" w:ascii="Noto Sans" w:hAnsi="Noto Sans" w:eastAsia="宋体" w:cs="Noto Sans"/>
                <w:i w:val="0"/>
                <w:caps w:val="0"/>
                <w:color w:val="auto"/>
                <w:spacing w:val="0"/>
                <w:sz w:val="24"/>
                <w:szCs w:val="24"/>
                <w:shd w:val="clear" w:color="auto" w:fill="FFFFFF"/>
                <w:vertAlign w:val="baseline"/>
                <w:lang w:eastAsia="zh-CN"/>
              </w:rPr>
            </w:pPr>
            <w:r>
              <w:rPr>
                <w:rFonts w:hint="eastAsia" w:ascii="Noto Sans" w:hAnsi="Noto Sans" w:eastAsia="宋体" w:cs="Noto Sans"/>
                <w:i w:val="0"/>
                <w:caps w:val="0"/>
                <w:color w:val="auto"/>
                <w:spacing w:val="0"/>
                <w:sz w:val="24"/>
                <w:szCs w:val="24"/>
                <w:shd w:val="clear" w:color="auto" w:fill="FFFFFF"/>
                <w:vertAlign w:val="baseline"/>
                <w:lang w:eastAsia="zh-CN"/>
              </w:rPr>
              <w:t>增值服务</w:t>
            </w:r>
          </w:p>
        </w:tc>
        <w:tc>
          <w:tcPr>
            <w:tcW w:w="746" w:type="dxa"/>
            <w:vAlign w:val="center"/>
          </w:tcPr>
          <w:p w14:paraId="371AF5B6">
            <w:pPr>
              <w:spacing w:line="240" w:lineRule="auto"/>
              <w:jc w:val="center"/>
              <w:rPr>
                <w:color w:val="auto"/>
                <w:szCs w:val="21"/>
              </w:rPr>
            </w:pPr>
            <w:r>
              <w:rPr>
                <w:rFonts w:hint="eastAsia"/>
                <w:color w:val="auto"/>
                <w:szCs w:val="21"/>
                <w:lang w:val="en-US" w:eastAsia="zh-CN"/>
              </w:rPr>
              <w:t>7</w:t>
            </w:r>
            <w:r>
              <w:rPr>
                <w:rFonts w:hint="eastAsia"/>
                <w:color w:val="auto"/>
                <w:szCs w:val="21"/>
              </w:rPr>
              <w:t>分</w:t>
            </w:r>
          </w:p>
        </w:tc>
        <w:tc>
          <w:tcPr>
            <w:tcW w:w="6380" w:type="dxa"/>
            <w:vAlign w:val="center"/>
          </w:tcPr>
          <w:p w14:paraId="1400A1DB">
            <w:pPr>
              <w:spacing w:line="240" w:lineRule="auto"/>
              <w:jc w:val="both"/>
              <w:rPr>
                <w:rFonts w:hint="eastAsia"/>
                <w:color w:val="auto"/>
                <w:szCs w:val="21"/>
                <w:lang w:eastAsia="zh-CN"/>
              </w:rPr>
            </w:pPr>
            <w:r>
              <w:rPr>
                <w:rFonts w:hint="eastAsia"/>
                <w:color w:val="auto"/>
                <w:szCs w:val="21"/>
                <w:lang w:val="en-US" w:eastAsia="zh-CN"/>
              </w:rPr>
              <w:t>1、</w:t>
            </w:r>
            <w:r>
              <w:rPr>
                <w:rFonts w:hint="eastAsia"/>
                <w:color w:val="auto"/>
                <w:szCs w:val="21"/>
                <w:lang w:eastAsia="zh-CN"/>
              </w:rPr>
              <w:t>供应商</w:t>
            </w:r>
            <w:r>
              <w:rPr>
                <w:rFonts w:hint="eastAsia"/>
                <w:color w:val="auto"/>
                <w:szCs w:val="21"/>
              </w:rPr>
              <w:t>提供</w:t>
            </w:r>
            <w:r>
              <w:rPr>
                <w:rFonts w:hint="eastAsia"/>
                <w:color w:val="auto"/>
                <w:szCs w:val="21"/>
                <w:lang w:eastAsia="zh-CN"/>
              </w:rPr>
              <w:t>人员</w:t>
            </w:r>
            <w:r>
              <w:rPr>
                <w:rFonts w:hint="eastAsia"/>
                <w:color w:val="auto"/>
                <w:szCs w:val="21"/>
              </w:rPr>
              <w:t>上门驻点增值服务</w:t>
            </w:r>
            <w:r>
              <w:rPr>
                <w:rFonts w:hint="eastAsia"/>
                <w:color w:val="auto"/>
                <w:szCs w:val="21"/>
                <w:lang w:eastAsia="zh-CN"/>
              </w:rPr>
              <w:t>，</w:t>
            </w:r>
            <w:r>
              <w:rPr>
                <w:rFonts w:hint="eastAsia"/>
                <w:color w:val="auto"/>
                <w:szCs w:val="21"/>
              </w:rPr>
              <w:t>每</w:t>
            </w:r>
            <w:r>
              <w:rPr>
                <w:rFonts w:hint="eastAsia"/>
                <w:color w:val="auto"/>
                <w:szCs w:val="21"/>
                <w:lang w:eastAsia="zh-CN"/>
              </w:rPr>
              <w:t>人</w:t>
            </w:r>
            <w:r>
              <w:rPr>
                <w:rFonts w:hint="eastAsia"/>
                <w:color w:val="auto"/>
                <w:szCs w:val="21"/>
              </w:rPr>
              <w:t>计</w:t>
            </w:r>
            <w:r>
              <w:rPr>
                <w:rFonts w:hint="eastAsia"/>
                <w:color w:val="auto"/>
                <w:szCs w:val="21"/>
                <w:lang w:val="en-US" w:eastAsia="zh-CN"/>
              </w:rPr>
              <w:t>5</w:t>
            </w:r>
            <w:r>
              <w:rPr>
                <w:rFonts w:hint="eastAsia"/>
                <w:color w:val="auto"/>
                <w:szCs w:val="21"/>
              </w:rPr>
              <w:t>分，最多计</w:t>
            </w:r>
            <w:r>
              <w:rPr>
                <w:rFonts w:hint="eastAsia"/>
                <w:color w:val="auto"/>
                <w:szCs w:val="21"/>
                <w:lang w:val="en-US" w:eastAsia="zh-CN"/>
              </w:rPr>
              <w:t>5</w:t>
            </w:r>
            <w:r>
              <w:rPr>
                <w:rFonts w:hint="eastAsia"/>
                <w:color w:val="auto"/>
                <w:szCs w:val="21"/>
              </w:rPr>
              <w:t>分</w:t>
            </w:r>
            <w:r>
              <w:rPr>
                <w:rFonts w:hint="eastAsia"/>
                <w:color w:val="auto"/>
                <w:szCs w:val="21"/>
                <w:lang w:eastAsia="zh-CN"/>
              </w:rPr>
              <w:t>（提供承诺函）</w:t>
            </w:r>
          </w:p>
          <w:p w14:paraId="4D5CCFAF">
            <w:pPr>
              <w:spacing w:line="240" w:lineRule="auto"/>
              <w:jc w:val="left"/>
              <w:rPr>
                <w:rFonts w:hint="eastAsia"/>
                <w:color w:val="auto"/>
                <w:szCs w:val="21"/>
                <w:lang w:eastAsia="zh-CN"/>
              </w:rPr>
            </w:pPr>
          </w:p>
          <w:p w14:paraId="668BBEDA">
            <w:pPr>
              <w:spacing w:line="240" w:lineRule="auto"/>
              <w:jc w:val="both"/>
              <w:rPr>
                <w:rFonts w:hint="default"/>
                <w:color w:val="auto"/>
                <w:szCs w:val="21"/>
                <w:lang w:val="en-US" w:eastAsia="zh-CN"/>
              </w:rPr>
            </w:pPr>
            <w:r>
              <w:rPr>
                <w:rFonts w:hint="eastAsia"/>
                <w:color w:val="auto"/>
                <w:szCs w:val="21"/>
                <w:lang w:val="en-US" w:eastAsia="zh-CN"/>
              </w:rPr>
              <w:t>2、</w:t>
            </w:r>
            <w:r>
              <w:rPr>
                <w:rFonts w:hint="eastAsia"/>
                <w:color w:val="auto"/>
                <w:szCs w:val="21"/>
                <w:lang w:eastAsia="zh-CN"/>
              </w:rPr>
              <w:t>供应商提供上门驻点服务人员，从业经验</w:t>
            </w:r>
            <w:r>
              <w:rPr>
                <w:rFonts w:hint="eastAsia"/>
                <w:color w:val="auto"/>
                <w:szCs w:val="21"/>
                <w:lang w:val="en-US" w:eastAsia="zh-CN"/>
              </w:rPr>
              <w:t>3年及以上的计2分，否则不计分。（需提供证明材料，需提供2017年1月1日起的证明材料，一个自然年内至少一份采购代理协议）</w:t>
            </w:r>
          </w:p>
          <w:p w14:paraId="45C34144">
            <w:pPr>
              <w:spacing w:line="240" w:lineRule="auto"/>
              <w:jc w:val="left"/>
              <w:rPr>
                <w:rFonts w:hint="default"/>
                <w:color w:val="auto"/>
                <w:szCs w:val="21"/>
                <w:lang w:val="en-US" w:eastAsia="zh-CN"/>
              </w:rPr>
            </w:pPr>
          </w:p>
          <w:p w14:paraId="67724C44">
            <w:pPr>
              <w:spacing w:line="240" w:lineRule="auto"/>
              <w:jc w:val="both"/>
              <w:rPr>
                <w:rFonts w:hint="eastAsia" w:eastAsia="宋体"/>
                <w:color w:val="auto"/>
                <w:szCs w:val="21"/>
                <w:lang w:eastAsia="zh-CN"/>
              </w:rPr>
            </w:pPr>
            <w:r>
              <w:rPr>
                <w:rFonts w:hint="eastAsia"/>
                <w:color w:val="auto"/>
                <w:szCs w:val="21"/>
                <w:lang w:val="en-US" w:eastAsia="zh-CN"/>
              </w:rPr>
              <w:t>（注：提供与从业人员姓名相对应的身份证和采购代理机构培训合格证复印件；提供供应商为该成员缴纳社保证明复印件《如：社会保险费缴款书或银行电子缴税（费）凭证或社保管理部门出具的有效的缴款证明》，未提供的不计分。）</w:t>
            </w:r>
          </w:p>
        </w:tc>
      </w:tr>
      <w:tr w14:paraId="5CE05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347" w:type="dxa"/>
            <w:vAlign w:val="center"/>
          </w:tcPr>
          <w:p w14:paraId="7A0491A3">
            <w:pPr>
              <w:spacing w:line="240" w:lineRule="auto"/>
              <w:jc w:val="center"/>
              <w:rPr>
                <w:rFonts w:hint="eastAsia" w:ascii="Noto Sans" w:hAnsi="Noto Sans" w:eastAsia="宋体" w:cs="Noto Sans"/>
                <w:i w:val="0"/>
                <w:caps w:val="0"/>
                <w:color w:val="auto"/>
                <w:spacing w:val="0"/>
                <w:sz w:val="24"/>
                <w:szCs w:val="24"/>
                <w:shd w:val="clear" w:color="auto" w:fill="FFFFFF"/>
                <w:vertAlign w:val="baseline"/>
                <w:lang w:eastAsia="zh-CN"/>
              </w:rPr>
            </w:pPr>
            <w:r>
              <w:rPr>
                <w:rFonts w:hint="eastAsia" w:ascii="Noto Sans" w:hAnsi="Noto Sans" w:cs="Noto Sans"/>
                <w:i w:val="0"/>
                <w:caps w:val="0"/>
                <w:color w:val="auto"/>
                <w:spacing w:val="0"/>
                <w:sz w:val="24"/>
                <w:szCs w:val="24"/>
                <w:shd w:val="clear" w:color="auto" w:fill="FFFFFF"/>
                <w:vertAlign w:val="baseline"/>
                <w:lang w:eastAsia="zh-CN"/>
              </w:rPr>
              <w:t>响应程度</w:t>
            </w:r>
          </w:p>
        </w:tc>
        <w:tc>
          <w:tcPr>
            <w:tcW w:w="746" w:type="dxa"/>
            <w:vAlign w:val="center"/>
          </w:tcPr>
          <w:p w14:paraId="3A71E283">
            <w:pPr>
              <w:spacing w:line="240" w:lineRule="auto"/>
              <w:jc w:val="center"/>
              <w:rPr>
                <w:rFonts w:hint="default" w:eastAsia="宋体"/>
                <w:color w:val="auto"/>
                <w:szCs w:val="21"/>
                <w:lang w:val="en-US" w:eastAsia="zh-CN"/>
              </w:rPr>
            </w:pPr>
            <w:r>
              <w:rPr>
                <w:rFonts w:hint="eastAsia"/>
                <w:color w:val="auto"/>
                <w:szCs w:val="21"/>
                <w:lang w:val="en-US" w:eastAsia="zh-CN"/>
              </w:rPr>
              <w:t>15分</w:t>
            </w:r>
          </w:p>
        </w:tc>
        <w:tc>
          <w:tcPr>
            <w:tcW w:w="6380" w:type="dxa"/>
            <w:vAlign w:val="center"/>
          </w:tcPr>
          <w:p w14:paraId="387D7341">
            <w:pPr>
              <w:spacing w:line="240" w:lineRule="auto"/>
              <w:jc w:val="left"/>
              <w:rPr>
                <w:rFonts w:hint="default"/>
                <w:color w:val="auto"/>
                <w:szCs w:val="21"/>
                <w:lang w:val="en-US" w:eastAsia="zh-CN"/>
              </w:rPr>
            </w:pPr>
            <w:r>
              <w:rPr>
                <w:rFonts w:hint="eastAsia"/>
                <w:color w:val="auto"/>
                <w:szCs w:val="21"/>
                <w:lang w:val="en-US" w:eastAsia="zh-CN"/>
              </w:rPr>
              <w:t>对遴选文件的响应程度，非实质性条款偏离一项扣3分，扣完为止</w:t>
            </w:r>
          </w:p>
        </w:tc>
      </w:tr>
      <w:tr w14:paraId="0033E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347" w:type="dxa"/>
            <w:shd w:val="clear" w:color="auto" w:fill="auto"/>
            <w:vAlign w:val="center"/>
          </w:tcPr>
          <w:p w14:paraId="3A1E94F3">
            <w:pPr>
              <w:spacing w:line="240" w:lineRule="auto"/>
              <w:jc w:val="center"/>
              <w:rPr>
                <w:rFonts w:hint="eastAsia" w:ascii="Noto Sans" w:hAnsi="Noto Sans" w:eastAsia="宋体" w:cs="Noto Sans"/>
                <w:i w:val="0"/>
                <w:caps w:val="0"/>
                <w:color w:val="auto"/>
                <w:spacing w:val="0"/>
                <w:kern w:val="2"/>
                <w:sz w:val="24"/>
                <w:szCs w:val="24"/>
                <w:shd w:val="clear" w:color="auto" w:fill="FFFFFF"/>
                <w:vertAlign w:val="baseline"/>
                <w:lang w:val="en-US" w:eastAsia="zh-CN" w:bidi="ar-SA"/>
              </w:rPr>
            </w:pPr>
            <w:r>
              <w:rPr>
                <w:rFonts w:hint="eastAsia" w:ascii="Noto Sans" w:hAnsi="Noto Sans" w:eastAsia="宋体" w:cs="Noto Sans"/>
                <w:i w:val="0"/>
                <w:caps w:val="0"/>
                <w:color w:val="auto"/>
                <w:spacing w:val="0"/>
                <w:sz w:val="24"/>
                <w:szCs w:val="24"/>
                <w:shd w:val="clear" w:color="auto" w:fill="FFFFFF"/>
                <w:vertAlign w:val="baseline"/>
                <w:lang w:eastAsia="zh-CN"/>
              </w:rPr>
              <w:t>报价</w:t>
            </w:r>
          </w:p>
        </w:tc>
        <w:tc>
          <w:tcPr>
            <w:tcW w:w="746" w:type="dxa"/>
            <w:shd w:val="clear" w:color="auto" w:fill="auto"/>
            <w:vAlign w:val="center"/>
          </w:tcPr>
          <w:p w14:paraId="4A9D1FAC">
            <w:pPr>
              <w:spacing w:line="240" w:lineRule="auto"/>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10分</w:t>
            </w:r>
          </w:p>
        </w:tc>
        <w:tc>
          <w:tcPr>
            <w:tcW w:w="6380" w:type="dxa"/>
            <w:shd w:val="clear" w:color="auto" w:fill="auto"/>
            <w:vAlign w:val="center"/>
          </w:tcPr>
          <w:p w14:paraId="40D82574">
            <w:pPr>
              <w:spacing w:line="240" w:lineRule="auto"/>
              <w:jc w:val="both"/>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以本项目第三章服务费用的规定作为上限值，代理服务费收取每下浮1%计1分，报价下浮率最小报价单位</w:t>
            </w:r>
            <w:r>
              <w:rPr>
                <w:rFonts w:hint="eastAsia" w:cs="Times New Roman"/>
                <w:color w:val="auto"/>
                <w:szCs w:val="21"/>
                <w:lang w:val="en-US" w:eastAsia="zh-CN"/>
              </w:rPr>
              <w:t>是</w:t>
            </w:r>
            <w:r>
              <w:rPr>
                <w:rFonts w:hint="eastAsia" w:ascii="Times New Roman" w:hAnsi="Times New Roman" w:eastAsia="宋体" w:cs="Times New Roman"/>
                <w:color w:val="auto"/>
                <w:szCs w:val="21"/>
                <w:lang w:val="en-US" w:eastAsia="zh-CN"/>
              </w:rPr>
              <w:t>1%</w:t>
            </w:r>
            <w:r>
              <w:rPr>
                <w:rFonts w:hint="eastAsia" w:cs="Times New Roman"/>
                <w:color w:val="auto"/>
                <w:szCs w:val="21"/>
                <w:lang w:val="en-US" w:eastAsia="zh-CN"/>
              </w:rPr>
              <w:t>的整倍数，</w:t>
            </w:r>
            <w:r>
              <w:rPr>
                <w:rFonts w:hint="eastAsia" w:ascii="Times New Roman" w:hAnsi="Times New Roman" w:eastAsia="宋体" w:cs="Times New Roman"/>
                <w:color w:val="auto"/>
                <w:szCs w:val="21"/>
                <w:lang w:val="en-US" w:eastAsia="zh-CN"/>
              </w:rPr>
              <w:t>最多计10分。</w:t>
            </w:r>
          </w:p>
          <w:p w14:paraId="3E26B6C6">
            <w:pPr>
              <w:spacing w:line="240" w:lineRule="auto"/>
              <w:jc w:val="left"/>
              <w:rPr>
                <w:rFonts w:hint="eastAsia" w:ascii="Times New Roman" w:hAnsi="Times New Roman" w:eastAsia="宋体" w:cs="Times New Roman"/>
                <w:color w:val="auto"/>
                <w:szCs w:val="21"/>
                <w:lang w:val="en-US" w:eastAsia="zh-CN"/>
              </w:rPr>
            </w:pPr>
          </w:p>
          <w:p w14:paraId="07DBAF2C">
            <w:pPr>
              <w:spacing w:line="240" w:lineRule="auto"/>
              <w:jc w:val="both"/>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注：下浮仅限于代理费，招标文件论证费和评委评审费按相关规定标准执行</w:t>
            </w:r>
            <w:r>
              <w:rPr>
                <w:rFonts w:hint="eastAsia" w:cs="Times New Roman"/>
                <w:color w:val="auto"/>
                <w:szCs w:val="21"/>
                <w:lang w:val="en-US" w:eastAsia="zh-CN"/>
              </w:rPr>
              <w:t>，报价下浮率指在第三章服务费用规定的代理费整体下浮表格的基础上全部整体下浮，举例详见第三章。</w:t>
            </w:r>
          </w:p>
        </w:tc>
      </w:tr>
    </w:tbl>
    <w:p w14:paraId="7A68C4DF">
      <w:pPr>
        <w:pStyle w:val="4"/>
        <w:rPr>
          <w:color w:val="auto"/>
        </w:rPr>
      </w:pPr>
    </w:p>
    <w:p w14:paraId="422BD55E">
      <w:pPr>
        <w:rPr>
          <w:color w:val="auto"/>
        </w:rPr>
      </w:pPr>
      <w:r>
        <w:rPr>
          <w:color w:val="auto"/>
        </w:rPr>
        <w:br w:type="page"/>
      </w:r>
    </w:p>
    <w:p w14:paraId="3A6E2537">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60" w:firstLineChars="200"/>
        <w:jc w:val="center"/>
        <w:textAlignment w:val="baseline"/>
        <w:rPr>
          <w:rFonts w:hint="default" w:ascii="仿宋" w:hAnsi="仿宋" w:eastAsia="仿宋" w:cs="仿宋"/>
          <w:spacing w:val="19"/>
          <w:sz w:val="28"/>
          <w:szCs w:val="28"/>
          <w:lang w:val="en-US" w:eastAsia="zh-CN"/>
        </w:rPr>
      </w:pPr>
      <w:r>
        <w:rPr>
          <w:rFonts w:hint="eastAsia" w:cs="仿宋"/>
          <w:spacing w:val="0"/>
          <w:sz w:val="28"/>
          <w:szCs w:val="28"/>
          <w:lang w:val="en-US" w:eastAsia="zh-CN"/>
        </w:rPr>
        <w:t xml:space="preserve">             </w:t>
      </w:r>
      <w:r>
        <w:rPr>
          <w:rFonts w:hint="eastAsia" w:ascii="仿宋" w:hAnsi="仿宋" w:eastAsia="仿宋" w:cs="仿宋"/>
          <w:spacing w:val="0"/>
          <w:sz w:val="28"/>
          <w:szCs w:val="28"/>
          <w:lang w:val="en-US" w:eastAsia="zh-CN"/>
        </w:rPr>
        <w:t>合同编号：</w:t>
      </w:r>
    </w:p>
    <w:p w14:paraId="7E450768">
      <w:pPr>
        <w:pStyle w:val="8"/>
        <w:spacing w:before="88" w:line="222" w:lineRule="auto"/>
        <w:ind w:left="2713"/>
        <w:outlineLvl w:val="0"/>
        <w:rPr>
          <w:sz w:val="43"/>
          <w:szCs w:val="43"/>
        </w:rPr>
      </w:pPr>
      <w:r>
        <w:rPr>
          <w:b/>
          <w:bCs/>
          <w:spacing w:val="3"/>
          <w:sz w:val="43"/>
          <w:szCs w:val="43"/>
        </w:rPr>
        <w:t>娄底市中心医院</w:t>
      </w:r>
    </w:p>
    <w:p w14:paraId="285A2681">
      <w:pPr>
        <w:pStyle w:val="8"/>
        <w:spacing w:before="2" w:line="222" w:lineRule="auto"/>
        <w:ind w:left="923"/>
        <w:rPr>
          <w:sz w:val="43"/>
          <w:szCs w:val="43"/>
        </w:rPr>
      </w:pPr>
      <w:r>
        <w:rPr>
          <w:rFonts w:hint="eastAsia"/>
          <w:b/>
          <w:bCs/>
          <w:spacing w:val="35"/>
          <w:sz w:val="43"/>
          <w:szCs w:val="43"/>
          <w:lang w:eastAsia="zh-CN"/>
        </w:rPr>
        <w:t>招标采购</w:t>
      </w:r>
      <w:r>
        <w:rPr>
          <w:b/>
          <w:bCs/>
          <w:spacing w:val="35"/>
          <w:sz w:val="43"/>
          <w:szCs w:val="43"/>
        </w:rPr>
        <w:t>项目委托代理协议书</w:t>
      </w:r>
    </w:p>
    <w:p w14:paraId="4A46F599">
      <w:pPr>
        <w:spacing w:line="320" w:lineRule="auto"/>
        <w:rPr>
          <w:rFonts w:ascii="Arial"/>
          <w:sz w:val="21"/>
        </w:rPr>
      </w:pPr>
    </w:p>
    <w:p w14:paraId="6EEC6694">
      <w:pPr>
        <w:spacing w:line="321" w:lineRule="auto"/>
        <w:rPr>
          <w:rFonts w:ascii="Arial"/>
          <w:sz w:val="21"/>
        </w:rPr>
      </w:pPr>
    </w:p>
    <w:p w14:paraId="4AC61565">
      <w:pPr>
        <w:pStyle w:val="8"/>
        <w:spacing w:before="88" w:line="222" w:lineRule="auto"/>
        <w:ind w:left="627"/>
        <w:rPr>
          <w:rFonts w:hint="eastAsia" w:ascii="仿宋" w:hAnsi="仿宋" w:eastAsia="仿宋" w:cs="仿宋"/>
          <w:sz w:val="28"/>
          <w:szCs w:val="28"/>
        </w:rPr>
      </w:pPr>
      <w:r>
        <w:rPr>
          <w:rFonts w:hint="eastAsia" w:ascii="仿宋" w:hAnsi="仿宋" w:eastAsia="仿宋" w:cs="仿宋"/>
          <w:b/>
          <w:bCs/>
          <w:spacing w:val="8"/>
          <w:sz w:val="28"/>
          <w:szCs w:val="28"/>
        </w:rPr>
        <w:t>甲方：</w:t>
      </w:r>
      <w:r>
        <w:rPr>
          <w:rFonts w:hint="eastAsia" w:ascii="仿宋" w:hAnsi="仿宋" w:eastAsia="仿宋" w:cs="仿宋"/>
          <w:spacing w:val="8"/>
          <w:sz w:val="28"/>
          <w:szCs w:val="28"/>
        </w:rPr>
        <w:t>娄底市中心医院</w:t>
      </w:r>
    </w:p>
    <w:p w14:paraId="6258ED4F">
      <w:pPr>
        <w:pStyle w:val="8"/>
        <w:spacing w:before="223" w:line="222" w:lineRule="auto"/>
        <w:ind w:left="627"/>
        <w:rPr>
          <w:rFonts w:hint="eastAsia" w:ascii="仿宋" w:hAnsi="仿宋" w:eastAsia="仿宋" w:cs="仿宋"/>
          <w:sz w:val="28"/>
          <w:szCs w:val="28"/>
        </w:rPr>
      </w:pPr>
      <w:r>
        <w:rPr>
          <w:rFonts w:hint="eastAsia" w:ascii="仿宋" w:hAnsi="仿宋" w:eastAsia="仿宋" w:cs="仿宋"/>
          <w:spacing w:val="7"/>
          <w:sz w:val="28"/>
          <w:szCs w:val="28"/>
        </w:rPr>
        <w:t>统一社会信用代码：1243130044</w:t>
      </w:r>
      <w:r>
        <w:rPr>
          <w:rFonts w:hint="eastAsia" w:ascii="仿宋" w:hAnsi="仿宋" w:eastAsia="仿宋" w:cs="仿宋"/>
          <w:spacing w:val="6"/>
          <w:sz w:val="28"/>
          <w:szCs w:val="28"/>
        </w:rPr>
        <w:t>7162073W</w:t>
      </w:r>
    </w:p>
    <w:p w14:paraId="30904ABC">
      <w:pPr>
        <w:pStyle w:val="8"/>
        <w:spacing w:before="247" w:line="222" w:lineRule="auto"/>
        <w:ind w:left="627"/>
        <w:rPr>
          <w:rFonts w:hint="eastAsia" w:ascii="仿宋" w:hAnsi="仿宋" w:eastAsia="仿宋" w:cs="仿宋"/>
          <w:sz w:val="28"/>
          <w:szCs w:val="28"/>
          <w:lang w:val="en-US" w:eastAsia="zh-CN"/>
        </w:rPr>
      </w:pPr>
      <w:r>
        <w:rPr>
          <w:rFonts w:hint="eastAsia" w:ascii="仿宋" w:hAnsi="仿宋" w:eastAsia="仿宋" w:cs="仿宋"/>
          <w:b/>
          <w:bCs/>
          <w:spacing w:val="8"/>
          <w:sz w:val="28"/>
          <w:szCs w:val="28"/>
        </w:rPr>
        <w:t>乙方：</w:t>
      </w:r>
      <w:r>
        <w:rPr>
          <w:rFonts w:hint="eastAsia" w:ascii="仿宋" w:hAnsi="仿宋" w:eastAsia="仿宋" w:cs="仿宋"/>
          <w:spacing w:val="8"/>
          <w:sz w:val="28"/>
          <w:szCs w:val="28"/>
          <w:lang w:val="en-US" w:eastAsia="zh-CN"/>
        </w:rPr>
        <w:t xml:space="preserve">   </w:t>
      </w:r>
    </w:p>
    <w:p w14:paraId="004FD3E9">
      <w:pPr>
        <w:pStyle w:val="8"/>
        <w:spacing w:before="224" w:line="222" w:lineRule="auto"/>
        <w:ind w:left="627"/>
        <w:rPr>
          <w:rFonts w:hint="default" w:ascii="宋体" w:hAnsi="宋体" w:eastAsia="仿宋" w:cs="宋体"/>
          <w:lang w:val="en-US" w:eastAsia="zh-CN"/>
        </w:rPr>
      </w:pPr>
      <w:r>
        <w:rPr>
          <w:rFonts w:hint="eastAsia" w:ascii="仿宋" w:hAnsi="仿宋" w:eastAsia="仿宋" w:cs="仿宋"/>
          <w:spacing w:val="6"/>
          <w:sz w:val="28"/>
          <w:szCs w:val="28"/>
        </w:rPr>
        <w:t>统一社会信用代码：</w:t>
      </w:r>
      <w:r>
        <w:rPr>
          <w:rFonts w:hint="eastAsia" w:ascii="仿宋" w:hAnsi="仿宋" w:eastAsia="仿宋" w:cs="仿宋"/>
          <w:spacing w:val="6"/>
          <w:sz w:val="28"/>
          <w:szCs w:val="28"/>
          <w:lang w:val="en-US" w:eastAsia="zh-CN"/>
        </w:rPr>
        <w:t xml:space="preserve"> </w:t>
      </w:r>
      <w:r>
        <w:rPr>
          <w:rFonts w:hint="eastAsia"/>
          <w:spacing w:val="6"/>
          <w:lang w:val="en-US" w:eastAsia="zh-CN"/>
        </w:rPr>
        <w:t xml:space="preserve"> </w:t>
      </w:r>
    </w:p>
    <w:p w14:paraId="632A7B68">
      <w:pPr>
        <w:pStyle w:val="8"/>
        <w:spacing w:before="258" w:line="379" w:lineRule="auto"/>
        <w:ind w:left="52" w:right="765" w:firstLine="575"/>
        <w:rPr>
          <w:spacing w:val="19"/>
        </w:rPr>
      </w:pPr>
    </w:p>
    <w:p w14:paraId="1E3A2651">
      <w:pPr>
        <w:pStyle w:val="8"/>
        <w:keepNext w:val="0"/>
        <w:keepLines w:val="0"/>
        <w:pageBreakBefore w:val="0"/>
        <w:widowControl w:val="0"/>
        <w:kinsoku/>
        <w:wordWrap/>
        <w:overflowPunct/>
        <w:topLinePunct w:val="0"/>
        <w:autoSpaceDE w:val="0"/>
        <w:autoSpaceDN w:val="0"/>
        <w:bidi w:val="0"/>
        <w:adjustRightInd w:val="0"/>
        <w:snapToGrid w:val="0"/>
        <w:spacing w:line="480" w:lineRule="exact"/>
        <w:ind w:left="0" w:right="0" w:firstLine="560" w:firstLineChars="200"/>
        <w:jc w:val="both"/>
        <w:textAlignment w:val="baseline"/>
        <w:rPr>
          <w:rFonts w:hint="eastAsia" w:ascii="仿宋" w:hAnsi="仿宋" w:eastAsia="仿宋" w:cs="仿宋"/>
          <w:spacing w:val="0"/>
          <w:sz w:val="28"/>
          <w:szCs w:val="28"/>
        </w:rPr>
      </w:pPr>
      <w:r>
        <w:rPr>
          <w:rFonts w:hint="eastAsia" w:ascii="仿宋" w:hAnsi="仿宋" w:eastAsia="仿宋" w:cs="仿宋"/>
          <w:spacing w:val="0"/>
          <w:sz w:val="28"/>
          <w:szCs w:val="28"/>
        </w:rPr>
        <w:t>乙方已入围甲方</w:t>
      </w:r>
      <w:r>
        <w:rPr>
          <w:rFonts w:hint="eastAsia" w:ascii="仿宋" w:hAnsi="仿宋" w:eastAsia="仿宋" w:cs="仿宋"/>
          <w:spacing w:val="0"/>
          <w:sz w:val="28"/>
          <w:szCs w:val="28"/>
          <w:lang w:eastAsia="zh-CN"/>
        </w:rPr>
        <w:t>招标采购</w:t>
      </w:r>
      <w:r>
        <w:rPr>
          <w:rFonts w:hint="eastAsia" w:ascii="仿宋" w:hAnsi="仿宋" w:eastAsia="仿宋" w:cs="仿宋"/>
          <w:spacing w:val="0"/>
          <w:sz w:val="28"/>
          <w:szCs w:val="28"/>
        </w:rPr>
        <w:t>代理机构项目。根据《</w:t>
      </w:r>
      <w:r>
        <w:rPr>
          <w:rFonts w:hint="eastAsia" w:ascii="仿宋" w:hAnsi="仿宋" w:eastAsia="仿宋" w:cs="仿宋"/>
          <w:spacing w:val="0"/>
          <w:sz w:val="28"/>
          <w:szCs w:val="28"/>
          <w:lang w:eastAsia="zh-CN"/>
        </w:rPr>
        <w:t>中华人民共和国民法典》《中华人民共和国招标投标法》《中华人民共和国招标投标法实施条例》《中华人民共和国政府采购法》《中华人民共和国政府采购法实施条例》</w:t>
      </w:r>
      <w:r>
        <w:rPr>
          <w:rFonts w:hint="eastAsia" w:cs="仿宋"/>
          <w:spacing w:val="0"/>
          <w:sz w:val="28"/>
          <w:szCs w:val="28"/>
          <w:lang w:eastAsia="zh-CN"/>
        </w:rPr>
        <w:t>《</w:t>
      </w:r>
      <w:r>
        <w:rPr>
          <w:rFonts w:hint="eastAsia" w:ascii="仿宋" w:hAnsi="仿宋" w:eastAsia="仿宋" w:cs="仿宋"/>
          <w:spacing w:val="0"/>
          <w:sz w:val="28"/>
          <w:szCs w:val="28"/>
        </w:rPr>
        <w:t>机电产品国际招标投标实施办法(试行)》</w:t>
      </w:r>
      <w:r>
        <w:rPr>
          <w:rFonts w:hint="eastAsia" w:ascii="仿宋" w:hAnsi="仿宋" w:eastAsia="仿宋" w:cs="仿宋"/>
          <w:spacing w:val="0"/>
          <w:sz w:val="28"/>
          <w:szCs w:val="28"/>
          <w:lang w:eastAsia="zh-CN"/>
        </w:rPr>
        <w:t>等</w:t>
      </w:r>
      <w:r>
        <w:rPr>
          <w:rFonts w:hint="eastAsia" w:ascii="仿宋" w:hAnsi="仿宋" w:eastAsia="仿宋" w:cs="仿宋"/>
          <w:spacing w:val="0"/>
          <w:sz w:val="28"/>
          <w:szCs w:val="28"/>
          <w:lang w:val="en-US" w:eastAsia="zh-CN"/>
        </w:rPr>
        <w:t>政府采购</w:t>
      </w:r>
      <w:r>
        <w:rPr>
          <w:rFonts w:hint="eastAsia" w:ascii="仿宋" w:hAnsi="仿宋" w:eastAsia="仿宋" w:cs="仿宋"/>
          <w:spacing w:val="0"/>
          <w:sz w:val="28"/>
          <w:szCs w:val="28"/>
          <w:lang w:eastAsia="zh-CN"/>
        </w:rPr>
        <w:t>相关</w:t>
      </w:r>
      <w:r>
        <w:rPr>
          <w:rFonts w:hint="eastAsia" w:ascii="仿宋" w:hAnsi="仿宋" w:eastAsia="仿宋" w:cs="仿宋"/>
          <w:spacing w:val="0"/>
          <w:sz w:val="28"/>
          <w:szCs w:val="28"/>
        </w:rPr>
        <w:t>法律法规和政策规定，甲方选定乙方作为其采购□货物</w:t>
      </w:r>
      <w:r>
        <w:rPr>
          <w:rFonts w:hint="eastAsia" w:ascii="仿宋" w:hAnsi="仿宋" w:eastAsia="仿宋" w:cs="仿宋"/>
          <w:spacing w:val="0"/>
          <w:sz w:val="28"/>
          <w:szCs w:val="28"/>
          <w:lang w:eastAsia="zh-CN"/>
        </w:rPr>
        <w:t>（医疗器械）</w:t>
      </w:r>
      <w:r>
        <w:rPr>
          <w:rFonts w:hint="eastAsia" w:ascii="仿宋" w:hAnsi="仿宋" w:eastAsia="仿宋" w:cs="仿宋"/>
          <w:spacing w:val="0"/>
          <w:sz w:val="28"/>
          <w:szCs w:val="28"/>
        </w:rPr>
        <w:t>及医用</w:t>
      </w:r>
      <w:r>
        <w:rPr>
          <w:rFonts w:hint="eastAsia" w:ascii="仿宋" w:hAnsi="仿宋" w:eastAsia="仿宋" w:cs="仿宋"/>
          <w:spacing w:val="0"/>
          <w:sz w:val="28"/>
          <w:szCs w:val="28"/>
          <w:lang w:eastAsia="zh-CN"/>
        </w:rPr>
        <w:t>试剂</w:t>
      </w:r>
      <w:r>
        <w:rPr>
          <w:rFonts w:hint="eastAsia" w:ascii="仿宋" w:hAnsi="仿宋" w:eastAsia="仿宋" w:cs="仿宋"/>
          <w:spacing w:val="0"/>
          <w:sz w:val="28"/>
          <w:szCs w:val="28"/>
        </w:rPr>
        <w:t>耗材类/□</w:t>
      </w:r>
      <w:r>
        <w:rPr>
          <w:rFonts w:hint="eastAsia" w:ascii="仿宋" w:hAnsi="仿宋" w:eastAsia="仿宋" w:cs="仿宋"/>
          <w:spacing w:val="0"/>
          <w:sz w:val="28"/>
          <w:szCs w:val="28"/>
          <w:lang w:eastAsia="zh-CN"/>
        </w:rPr>
        <w:t>货物（非医疗器械）</w:t>
      </w:r>
      <w:r>
        <w:rPr>
          <w:rFonts w:hint="eastAsia" w:ascii="仿宋" w:hAnsi="仿宋" w:eastAsia="仿宋" w:cs="仿宋"/>
          <w:spacing w:val="0"/>
          <w:sz w:val="28"/>
          <w:szCs w:val="28"/>
        </w:rPr>
        <w:t>/□服务类</w:t>
      </w:r>
      <w:r>
        <w:rPr>
          <w:rFonts w:hint="eastAsia" w:ascii="仿宋" w:hAnsi="仿宋" w:eastAsia="仿宋" w:cs="仿宋"/>
          <w:color w:val="FF0000"/>
          <w:spacing w:val="0"/>
          <w:sz w:val="28"/>
          <w:szCs w:val="28"/>
        </w:rPr>
        <w:t>□</w:t>
      </w:r>
      <w:r>
        <w:rPr>
          <w:rFonts w:hint="eastAsia" w:ascii="仿宋" w:hAnsi="仿宋" w:eastAsia="仿宋" w:cs="仿宋"/>
          <w:color w:val="FF0000"/>
          <w:spacing w:val="0"/>
          <w:sz w:val="28"/>
          <w:szCs w:val="28"/>
          <w:highlight w:val="none"/>
        </w:rPr>
        <w:t>工程项目</w:t>
      </w:r>
      <w:r>
        <w:rPr>
          <w:rFonts w:hint="eastAsia" w:ascii="仿宋" w:hAnsi="仿宋" w:eastAsia="仿宋" w:cs="仿宋"/>
          <w:spacing w:val="0"/>
          <w:sz w:val="28"/>
          <w:szCs w:val="28"/>
        </w:rPr>
        <w:t>的招标采购代理机构。甲</w:t>
      </w:r>
      <w:r>
        <w:rPr>
          <w:rFonts w:hint="eastAsia" w:cs="仿宋"/>
          <w:spacing w:val="0"/>
          <w:sz w:val="28"/>
          <w:szCs w:val="28"/>
          <w:lang w:eastAsia="zh-CN"/>
        </w:rPr>
        <w:t>、</w:t>
      </w:r>
      <w:r>
        <w:rPr>
          <w:rFonts w:hint="eastAsia" w:ascii="仿宋" w:hAnsi="仿宋" w:eastAsia="仿宋" w:cs="仿宋"/>
          <w:spacing w:val="0"/>
          <w:sz w:val="28"/>
          <w:szCs w:val="28"/>
        </w:rPr>
        <w:t>乙双方在平等自愿基础上就招标采购代理相关事宜充分协商，达成以下协议条款，以资共同遵守：</w:t>
      </w:r>
    </w:p>
    <w:p w14:paraId="1EC165FD">
      <w:pPr>
        <w:pStyle w:val="8"/>
        <w:keepNext w:val="0"/>
        <w:keepLines w:val="0"/>
        <w:pageBreakBefore w:val="0"/>
        <w:widowControl w:val="0"/>
        <w:kinsoku/>
        <w:wordWrap/>
        <w:overflowPunct/>
        <w:topLinePunct w:val="0"/>
        <w:autoSpaceDE w:val="0"/>
        <w:autoSpaceDN w:val="0"/>
        <w:bidi w:val="0"/>
        <w:adjustRightInd w:val="0"/>
        <w:snapToGrid w:val="0"/>
        <w:spacing w:line="480" w:lineRule="exact"/>
        <w:ind w:left="0" w:right="0" w:firstLine="562" w:firstLineChars="200"/>
        <w:jc w:val="both"/>
        <w:textAlignment w:val="baseline"/>
        <w:outlineLvl w:val="3"/>
        <w:rPr>
          <w:rFonts w:hint="eastAsia" w:ascii="仿宋" w:hAnsi="仿宋" w:eastAsia="仿宋" w:cs="仿宋"/>
          <w:spacing w:val="0"/>
          <w:sz w:val="28"/>
          <w:szCs w:val="28"/>
        </w:rPr>
      </w:pPr>
      <w:r>
        <w:rPr>
          <w:rFonts w:hint="eastAsia" w:ascii="仿宋" w:hAnsi="仿宋" w:eastAsia="仿宋" w:cs="仿宋"/>
          <w:b/>
          <w:bCs/>
          <w:spacing w:val="0"/>
          <w:sz w:val="28"/>
          <w:szCs w:val="28"/>
        </w:rPr>
        <w:t>第一条</w:t>
      </w:r>
      <w:r>
        <w:rPr>
          <w:rFonts w:hint="eastAsia" w:cs="仿宋"/>
          <w:b/>
          <w:bCs/>
          <w:spacing w:val="0"/>
          <w:sz w:val="28"/>
          <w:szCs w:val="28"/>
          <w:lang w:val="en-US" w:eastAsia="zh-CN"/>
        </w:rPr>
        <w:t xml:space="preserve"> </w:t>
      </w:r>
      <w:r>
        <w:rPr>
          <w:rFonts w:hint="eastAsia" w:ascii="仿宋" w:hAnsi="仿宋" w:eastAsia="仿宋" w:cs="仿宋"/>
          <w:b/>
          <w:bCs/>
          <w:spacing w:val="0"/>
          <w:sz w:val="28"/>
          <w:szCs w:val="28"/>
        </w:rPr>
        <w:t>代理</w:t>
      </w:r>
      <w:r>
        <w:rPr>
          <w:rFonts w:hint="eastAsia" w:ascii="仿宋" w:hAnsi="仿宋" w:eastAsia="仿宋" w:cs="仿宋"/>
          <w:b/>
          <w:bCs/>
          <w:spacing w:val="0"/>
          <w:sz w:val="28"/>
          <w:szCs w:val="28"/>
          <w:lang w:eastAsia="zh-CN"/>
        </w:rPr>
        <w:t>招标采购</w:t>
      </w:r>
      <w:r>
        <w:rPr>
          <w:rFonts w:hint="eastAsia" w:ascii="仿宋" w:hAnsi="仿宋" w:eastAsia="仿宋" w:cs="仿宋"/>
          <w:b/>
          <w:bCs/>
          <w:spacing w:val="0"/>
          <w:sz w:val="28"/>
          <w:szCs w:val="28"/>
        </w:rPr>
        <w:t>范围</w:t>
      </w:r>
    </w:p>
    <w:p w14:paraId="125DE844">
      <w:pPr>
        <w:pStyle w:val="8"/>
        <w:keepNext w:val="0"/>
        <w:keepLines w:val="0"/>
        <w:pageBreakBefore w:val="0"/>
        <w:widowControl w:val="0"/>
        <w:kinsoku/>
        <w:wordWrap/>
        <w:overflowPunct/>
        <w:topLinePunct w:val="0"/>
        <w:autoSpaceDE w:val="0"/>
        <w:autoSpaceDN w:val="0"/>
        <w:bidi w:val="0"/>
        <w:adjustRightInd w:val="0"/>
        <w:snapToGrid w:val="0"/>
        <w:spacing w:line="480" w:lineRule="exact"/>
        <w:ind w:left="0" w:right="0" w:firstLine="560" w:firstLineChars="200"/>
        <w:jc w:val="both"/>
        <w:textAlignment w:val="baseline"/>
        <w:rPr>
          <w:rFonts w:hint="eastAsia" w:ascii="仿宋" w:hAnsi="仿宋" w:eastAsia="仿宋" w:cs="仿宋"/>
          <w:spacing w:val="0"/>
          <w:sz w:val="28"/>
          <w:szCs w:val="28"/>
        </w:rPr>
      </w:pPr>
      <w:r>
        <w:rPr>
          <w:rFonts w:hint="eastAsia" w:ascii="仿宋" w:hAnsi="仿宋" w:eastAsia="仿宋" w:cs="仿宋"/>
          <w:spacing w:val="0"/>
          <w:sz w:val="28"/>
          <w:szCs w:val="28"/>
        </w:rPr>
        <w:t>乙方代理</w:t>
      </w:r>
      <w:r>
        <w:rPr>
          <w:rFonts w:hint="eastAsia" w:ascii="仿宋" w:hAnsi="仿宋" w:eastAsia="仿宋" w:cs="仿宋"/>
          <w:b/>
          <w:bCs/>
          <w:spacing w:val="0"/>
          <w:sz w:val="28"/>
          <w:szCs w:val="28"/>
          <w:lang w:eastAsia="zh-CN"/>
        </w:rPr>
        <w:t>招标采购</w:t>
      </w:r>
      <w:r>
        <w:rPr>
          <w:rFonts w:hint="eastAsia" w:ascii="仿宋" w:hAnsi="仿宋" w:eastAsia="仿宋" w:cs="仿宋"/>
          <w:spacing w:val="0"/>
          <w:sz w:val="28"/>
          <w:szCs w:val="28"/>
        </w:rPr>
        <w:t>范围为负责医院的□货物</w:t>
      </w:r>
      <w:r>
        <w:rPr>
          <w:rFonts w:hint="eastAsia" w:ascii="仿宋" w:hAnsi="仿宋" w:eastAsia="仿宋" w:cs="仿宋"/>
          <w:spacing w:val="0"/>
          <w:sz w:val="28"/>
          <w:szCs w:val="28"/>
          <w:lang w:eastAsia="zh-CN"/>
        </w:rPr>
        <w:t>（医疗器械）</w:t>
      </w:r>
      <w:r>
        <w:rPr>
          <w:rFonts w:hint="eastAsia" w:ascii="仿宋" w:hAnsi="仿宋" w:eastAsia="仿宋" w:cs="仿宋"/>
          <w:spacing w:val="0"/>
          <w:sz w:val="28"/>
          <w:szCs w:val="28"/>
        </w:rPr>
        <w:t>及医用</w:t>
      </w:r>
      <w:r>
        <w:rPr>
          <w:rFonts w:hint="eastAsia" w:ascii="仿宋" w:hAnsi="仿宋" w:eastAsia="仿宋" w:cs="仿宋"/>
          <w:spacing w:val="0"/>
          <w:sz w:val="28"/>
          <w:szCs w:val="28"/>
          <w:lang w:eastAsia="zh-CN"/>
        </w:rPr>
        <w:t>试剂</w:t>
      </w:r>
      <w:r>
        <w:rPr>
          <w:rFonts w:hint="eastAsia" w:ascii="仿宋" w:hAnsi="仿宋" w:eastAsia="仿宋" w:cs="仿宋"/>
          <w:spacing w:val="0"/>
          <w:sz w:val="28"/>
          <w:szCs w:val="28"/>
        </w:rPr>
        <w:t>耗材类/□</w:t>
      </w:r>
      <w:r>
        <w:rPr>
          <w:rFonts w:hint="eastAsia" w:ascii="仿宋" w:hAnsi="仿宋" w:eastAsia="仿宋" w:cs="仿宋"/>
          <w:spacing w:val="0"/>
          <w:sz w:val="28"/>
          <w:szCs w:val="28"/>
          <w:lang w:eastAsia="zh-CN"/>
        </w:rPr>
        <w:t>货物（非医疗器械）</w:t>
      </w:r>
      <w:r>
        <w:rPr>
          <w:rFonts w:hint="eastAsia" w:ascii="仿宋" w:hAnsi="仿宋" w:eastAsia="仿宋" w:cs="仿宋"/>
          <w:spacing w:val="0"/>
          <w:sz w:val="28"/>
          <w:szCs w:val="28"/>
        </w:rPr>
        <w:t>/□服务类</w:t>
      </w:r>
      <w:r>
        <w:rPr>
          <w:rFonts w:hint="eastAsia" w:ascii="仿宋" w:hAnsi="仿宋" w:eastAsia="仿宋" w:cs="仿宋"/>
          <w:color w:val="FF0000"/>
          <w:spacing w:val="0"/>
          <w:sz w:val="28"/>
          <w:szCs w:val="28"/>
        </w:rPr>
        <w:t>□</w:t>
      </w:r>
      <w:r>
        <w:rPr>
          <w:rFonts w:hint="eastAsia" w:ascii="仿宋" w:hAnsi="仿宋" w:eastAsia="仿宋" w:cs="仿宋"/>
          <w:color w:val="FF0000"/>
          <w:spacing w:val="0"/>
          <w:sz w:val="28"/>
          <w:szCs w:val="28"/>
          <w:highlight w:val="none"/>
        </w:rPr>
        <w:t>工程项目</w:t>
      </w:r>
      <w:r>
        <w:rPr>
          <w:rFonts w:hint="eastAsia" w:ascii="仿宋" w:hAnsi="仿宋" w:eastAsia="仿宋" w:cs="仿宋"/>
          <w:spacing w:val="0"/>
          <w:sz w:val="28"/>
          <w:szCs w:val="28"/>
        </w:rPr>
        <w:t>的招标采购的采购代理工作。属于集中采购项目的按国家法律法规和相关政策执行，不在本</w:t>
      </w:r>
      <w:r>
        <w:rPr>
          <w:rFonts w:hint="eastAsia" w:cs="仿宋"/>
          <w:spacing w:val="0"/>
          <w:sz w:val="28"/>
          <w:szCs w:val="28"/>
          <w:lang w:val="en-US" w:eastAsia="zh-CN"/>
        </w:rPr>
        <w:t>协议</w:t>
      </w:r>
      <w:r>
        <w:rPr>
          <w:rFonts w:hint="eastAsia" w:ascii="仿宋" w:hAnsi="仿宋" w:eastAsia="仿宋" w:cs="仿宋"/>
          <w:spacing w:val="0"/>
          <w:sz w:val="28"/>
          <w:szCs w:val="28"/>
        </w:rPr>
        <w:t>规定的代理范围内。</w:t>
      </w:r>
    </w:p>
    <w:p w14:paraId="5D49ECA7">
      <w:pPr>
        <w:pStyle w:val="8"/>
        <w:keepNext w:val="0"/>
        <w:keepLines w:val="0"/>
        <w:pageBreakBefore w:val="0"/>
        <w:widowControl w:val="0"/>
        <w:kinsoku/>
        <w:wordWrap/>
        <w:overflowPunct/>
        <w:topLinePunct w:val="0"/>
        <w:autoSpaceDE w:val="0"/>
        <w:autoSpaceDN w:val="0"/>
        <w:bidi w:val="0"/>
        <w:adjustRightInd w:val="0"/>
        <w:snapToGrid w:val="0"/>
        <w:spacing w:line="480" w:lineRule="exact"/>
        <w:ind w:left="0" w:right="0" w:firstLine="562" w:firstLineChars="200"/>
        <w:jc w:val="both"/>
        <w:textAlignment w:val="baseline"/>
        <w:outlineLvl w:val="3"/>
        <w:rPr>
          <w:spacing w:val="0"/>
        </w:rPr>
      </w:pPr>
      <w:r>
        <w:rPr>
          <w:rFonts w:hint="eastAsia" w:ascii="仿宋" w:hAnsi="仿宋" w:eastAsia="仿宋" w:cs="仿宋"/>
          <w:b/>
          <w:bCs/>
          <w:spacing w:val="0"/>
          <w:sz w:val="28"/>
          <w:szCs w:val="28"/>
        </w:rPr>
        <w:t>第二条</w:t>
      </w:r>
      <w:r>
        <w:rPr>
          <w:rFonts w:hint="eastAsia" w:cs="仿宋"/>
          <w:b/>
          <w:bCs/>
          <w:spacing w:val="0"/>
          <w:sz w:val="28"/>
          <w:szCs w:val="28"/>
          <w:lang w:val="en-US" w:eastAsia="zh-CN"/>
        </w:rPr>
        <w:t xml:space="preserve"> </w:t>
      </w:r>
      <w:r>
        <w:rPr>
          <w:rFonts w:hint="eastAsia" w:ascii="仿宋" w:hAnsi="仿宋" w:eastAsia="仿宋" w:cs="仿宋"/>
          <w:b/>
          <w:bCs/>
          <w:spacing w:val="0"/>
          <w:sz w:val="28"/>
          <w:szCs w:val="28"/>
        </w:rPr>
        <w:t>乙方代理事项及职责</w:t>
      </w:r>
    </w:p>
    <w:p w14:paraId="2F1CF29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一、协助甲方办理采购项目全流程申请事项（包括各部门相关审批工作的咨询建议等）。</w:t>
      </w:r>
    </w:p>
    <w:p w14:paraId="2676566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二、依法代表甲方发布招标公告，负责与政府招标管理部门进行协调。</w:t>
      </w:r>
    </w:p>
    <w:p w14:paraId="6897E50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三、能为甲方提供咨询服务（包括但不限于询价、相关政策咨询）。</w:t>
      </w:r>
    </w:p>
    <w:p w14:paraId="228329E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四、根据甲方要求做好招标前相关论证工作（如单一来源论证、进口产品论证等）。</w:t>
      </w:r>
    </w:p>
    <w:p w14:paraId="705154A0">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五、根据甲方要求参加项目采购需求及实施计划审查工作。</w:t>
      </w:r>
    </w:p>
    <w:p w14:paraId="0C8AA87A">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六、编制资格审查文件和招标文件。</w:t>
      </w:r>
    </w:p>
    <w:p w14:paraId="32B4FEFE">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七、组织投标申请单位进行资质审查。</w:t>
      </w:r>
    </w:p>
    <w:p w14:paraId="4D4751E9">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八、组织5名(含)及以上专家对政府采购限额标准以上项目的招标采购文件进行审核论证。</w:t>
      </w:r>
    </w:p>
    <w:p w14:paraId="66FEED6E">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九、招标相关文件报送甲方审核后报相关主管部门批准。</w:t>
      </w:r>
    </w:p>
    <w:p w14:paraId="650031D1">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十、组织现场答疑。</w:t>
      </w:r>
    </w:p>
    <w:p w14:paraId="249127DB">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十一、组织标前会议，负责资格审查文件和招标文件的澄清、修改与补充。</w:t>
      </w:r>
    </w:p>
    <w:p w14:paraId="06E9AB3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default"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十二、组织开标</w:t>
      </w:r>
      <w:r>
        <w:rPr>
          <w:rFonts w:hint="eastAsia" w:ascii="仿宋" w:hAnsi="仿宋" w:eastAsia="仿宋" w:cs="仿宋"/>
          <w:snapToGrid w:val="0"/>
          <w:color w:val="0000FF"/>
          <w:spacing w:val="0"/>
          <w:kern w:val="0"/>
          <w:sz w:val="28"/>
          <w:szCs w:val="28"/>
          <w:lang w:val="en-US" w:eastAsia="zh-CN" w:bidi="ar-SA"/>
        </w:rPr>
        <w:t>。</w:t>
      </w:r>
    </w:p>
    <w:p w14:paraId="72D9CAB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十三、组织专家评审，编制招标情况书面报告，并将评审报告报送甲方，并报相关主管部门审批。</w:t>
      </w:r>
    </w:p>
    <w:p w14:paraId="3FDAFCAD">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十四、向中标人和未中标人发出中标结果。</w:t>
      </w:r>
    </w:p>
    <w:p w14:paraId="2DCC2C0D">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十五、负责招标项目资料整理、移交等工作。</w:t>
      </w:r>
    </w:p>
    <w:p w14:paraId="7AD78AEB">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auto"/>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十六、负责招标采购项目</w:t>
      </w:r>
      <w:r>
        <w:rPr>
          <w:rFonts w:hint="eastAsia" w:ascii="仿宋" w:hAnsi="仿宋" w:eastAsia="仿宋" w:cs="仿宋"/>
          <w:snapToGrid w:val="0"/>
          <w:color w:val="auto"/>
          <w:spacing w:val="0"/>
          <w:kern w:val="0"/>
          <w:sz w:val="28"/>
          <w:szCs w:val="28"/>
          <w:lang w:val="en-US" w:eastAsia="zh-CN" w:bidi="ar-SA"/>
        </w:rPr>
        <w:t>的甲方的院内归档工作。</w:t>
      </w:r>
    </w:p>
    <w:p w14:paraId="4D41CE62">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auto"/>
          <w:spacing w:val="0"/>
          <w:kern w:val="0"/>
          <w:sz w:val="28"/>
          <w:szCs w:val="28"/>
          <w:lang w:val="en-US" w:eastAsia="zh-CN" w:bidi="ar-SA"/>
        </w:rPr>
      </w:pPr>
      <w:r>
        <w:rPr>
          <w:rFonts w:hint="eastAsia" w:ascii="仿宋" w:hAnsi="仿宋" w:eastAsia="仿宋" w:cs="仿宋"/>
          <w:snapToGrid w:val="0"/>
          <w:color w:val="auto"/>
          <w:spacing w:val="0"/>
          <w:kern w:val="0"/>
          <w:sz w:val="28"/>
          <w:szCs w:val="28"/>
          <w:lang w:val="en-US" w:eastAsia="zh-CN" w:bidi="ar-SA"/>
        </w:rPr>
        <w:t>十七、负责办理与招标项目有关的报批手续。</w:t>
      </w:r>
    </w:p>
    <w:p w14:paraId="3531454E">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auto"/>
          <w:spacing w:val="0"/>
          <w:kern w:val="0"/>
          <w:sz w:val="28"/>
          <w:szCs w:val="28"/>
          <w:lang w:val="en-US" w:eastAsia="zh-CN" w:bidi="ar-SA"/>
        </w:rPr>
      </w:pPr>
      <w:r>
        <w:rPr>
          <w:rFonts w:hint="eastAsia" w:ascii="仿宋" w:hAnsi="仿宋" w:eastAsia="仿宋" w:cs="仿宋"/>
          <w:snapToGrid w:val="0"/>
          <w:color w:val="auto"/>
          <w:spacing w:val="0"/>
          <w:kern w:val="0"/>
          <w:sz w:val="28"/>
          <w:szCs w:val="28"/>
          <w:lang w:val="en-US" w:eastAsia="zh-CN" w:bidi="ar-SA"/>
        </w:rPr>
        <w:t>十八、完成甲方交办的与招标有关的其他事宜。</w:t>
      </w:r>
    </w:p>
    <w:p w14:paraId="77E68AE8">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000000"/>
          <w:spacing w:val="0"/>
          <w:kern w:val="0"/>
          <w:sz w:val="27"/>
          <w:szCs w:val="27"/>
          <w:lang w:val="en-US" w:eastAsia="zh-CN" w:bidi="ar-SA"/>
        </w:rPr>
      </w:pPr>
      <w:r>
        <w:rPr>
          <w:rFonts w:hint="eastAsia" w:ascii="仿宋" w:hAnsi="仿宋" w:eastAsia="仿宋" w:cs="仿宋"/>
          <w:snapToGrid w:val="0"/>
          <w:color w:val="auto"/>
          <w:spacing w:val="0"/>
          <w:kern w:val="0"/>
          <w:sz w:val="28"/>
          <w:szCs w:val="28"/>
          <w:lang w:val="en-US" w:eastAsia="zh-CN" w:bidi="ar-SA"/>
        </w:rPr>
        <w:t>十九、根据甲方工作需要提供人员协助工作</w:t>
      </w:r>
      <w:r>
        <w:rPr>
          <w:rFonts w:hint="eastAsia" w:ascii="仿宋" w:hAnsi="仿宋" w:eastAsia="仿宋" w:cs="仿宋"/>
          <w:snapToGrid w:val="0"/>
          <w:color w:val="000000"/>
          <w:spacing w:val="0"/>
          <w:kern w:val="0"/>
          <w:sz w:val="28"/>
          <w:szCs w:val="28"/>
          <w:lang w:val="en-US" w:eastAsia="zh-CN" w:bidi="ar-SA"/>
        </w:rPr>
        <w:t>。</w:t>
      </w:r>
    </w:p>
    <w:p w14:paraId="7C0781F3">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2" w:firstLineChars="200"/>
        <w:jc w:val="both"/>
        <w:textAlignment w:val="baseline"/>
        <w:rPr>
          <w:rFonts w:hint="eastAsia" w:ascii="仿宋" w:hAnsi="仿宋" w:eastAsia="仿宋" w:cs="仿宋"/>
          <w:b/>
          <w:bCs/>
          <w:snapToGrid w:val="0"/>
          <w:color w:val="000000"/>
          <w:spacing w:val="0"/>
          <w:kern w:val="0"/>
          <w:sz w:val="28"/>
          <w:szCs w:val="28"/>
          <w:lang w:val="en-US" w:eastAsia="zh-CN" w:bidi="ar-SA"/>
        </w:rPr>
      </w:pPr>
      <w:r>
        <w:rPr>
          <w:rFonts w:hint="eastAsia" w:ascii="仿宋" w:hAnsi="仿宋" w:eastAsia="仿宋" w:cs="仿宋"/>
          <w:b/>
          <w:bCs/>
          <w:snapToGrid w:val="0"/>
          <w:color w:val="000000"/>
          <w:spacing w:val="0"/>
          <w:kern w:val="0"/>
          <w:sz w:val="28"/>
          <w:szCs w:val="28"/>
          <w:lang w:val="en-US" w:eastAsia="zh-CN" w:bidi="ar-SA"/>
        </w:rPr>
        <w:t>第三条 协议期限</w:t>
      </w:r>
    </w:p>
    <w:p w14:paraId="3BC70654">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一、本协议期限为三年，自202  年  月  日起至202  年  月  日止。</w:t>
      </w:r>
    </w:p>
    <w:p w14:paraId="152F7B88">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二、乙方代理的招标采购事项在本协议期限届满时尚未完成的应继续完成，不受本协议期限届满的影响。</w:t>
      </w:r>
    </w:p>
    <w:p w14:paraId="201471ED">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三、甲、乙双方应及时通报执行本协议时发生的问题，及时磋商解决办法。任何一方收到对方需要回复的通知，均应在收到之日起三个工作日内回复，逾期未回复的一方应承担由此造成的经济损失。</w:t>
      </w:r>
    </w:p>
    <w:p w14:paraId="0B385060">
      <w:pPr>
        <w:keepNext w:val="0"/>
        <w:keepLines w:val="0"/>
        <w:pageBreakBefore w:val="0"/>
        <w:widowControl w:val="0"/>
        <w:kinsoku/>
        <w:wordWrap/>
        <w:overflowPunct/>
        <w:topLinePunct w:val="0"/>
        <w:autoSpaceDE w:val="0"/>
        <w:autoSpaceDN w:val="0"/>
        <w:bidi w:val="0"/>
        <w:adjustRightInd w:val="0"/>
        <w:snapToGrid w:val="0"/>
        <w:spacing w:line="480" w:lineRule="exact"/>
        <w:ind w:left="0" w:right="0" w:firstLine="562" w:firstLineChars="200"/>
        <w:jc w:val="both"/>
        <w:textAlignment w:val="baseline"/>
        <w:rPr>
          <w:rFonts w:hint="default" w:ascii="仿宋" w:hAnsi="仿宋" w:eastAsia="仿宋" w:cs="仿宋"/>
          <w:b/>
          <w:bCs/>
          <w:snapToGrid w:val="0"/>
          <w:color w:val="auto"/>
          <w:spacing w:val="0"/>
          <w:kern w:val="0"/>
          <w:sz w:val="28"/>
          <w:szCs w:val="28"/>
          <w:lang w:val="en-US" w:eastAsia="zh-CN" w:bidi="ar-SA"/>
        </w:rPr>
      </w:pPr>
      <w:r>
        <w:rPr>
          <w:rFonts w:ascii="仿宋" w:hAnsi="仿宋" w:eastAsia="仿宋" w:cs="仿宋"/>
          <w:b/>
          <w:bCs/>
          <w:snapToGrid w:val="0"/>
          <w:color w:val="000000"/>
          <w:spacing w:val="0"/>
          <w:kern w:val="0"/>
          <w:sz w:val="28"/>
          <w:szCs w:val="28"/>
          <w:lang w:val="en-US" w:eastAsia="en-US" w:bidi="ar-SA"/>
        </w:rPr>
        <w:t>第四条</w:t>
      </w:r>
      <w:r>
        <w:rPr>
          <w:rFonts w:hint="eastAsia" w:ascii="仿宋" w:hAnsi="仿宋" w:eastAsia="仿宋" w:cs="仿宋"/>
          <w:b/>
          <w:bCs/>
          <w:snapToGrid w:val="0"/>
          <w:color w:val="000000"/>
          <w:spacing w:val="0"/>
          <w:kern w:val="0"/>
          <w:sz w:val="28"/>
          <w:szCs w:val="28"/>
          <w:lang w:val="en-US" w:eastAsia="zh-CN" w:bidi="ar-SA"/>
        </w:rPr>
        <w:t xml:space="preserve"> </w:t>
      </w:r>
      <w:r>
        <w:rPr>
          <w:rFonts w:ascii="仿宋" w:hAnsi="仿宋" w:eastAsia="仿宋" w:cs="仿宋"/>
          <w:b/>
          <w:bCs/>
          <w:snapToGrid w:val="0"/>
          <w:color w:val="000000"/>
          <w:spacing w:val="0"/>
          <w:kern w:val="0"/>
          <w:sz w:val="28"/>
          <w:szCs w:val="28"/>
          <w:lang w:val="en-US" w:eastAsia="en-US" w:bidi="ar-SA"/>
        </w:rPr>
        <w:t>代理服务费用标准</w:t>
      </w:r>
      <w:r>
        <w:rPr>
          <w:rFonts w:hint="eastAsia" w:ascii="仿宋" w:hAnsi="仿宋" w:eastAsia="仿宋" w:cs="仿宋"/>
          <w:b/>
          <w:bCs/>
          <w:snapToGrid w:val="0"/>
          <w:color w:val="auto"/>
          <w:spacing w:val="0"/>
          <w:kern w:val="0"/>
          <w:sz w:val="28"/>
          <w:szCs w:val="28"/>
          <w:lang w:val="en-US" w:eastAsia="zh-CN" w:bidi="ar-SA"/>
        </w:rPr>
        <w:t>及费用承担</w:t>
      </w:r>
    </w:p>
    <w:p w14:paraId="72B6F73D">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000000"/>
          <w:spacing w:val="16"/>
          <w:kern w:val="0"/>
          <w:sz w:val="28"/>
          <w:szCs w:val="28"/>
          <w:lang w:val="en-US" w:eastAsia="zh-CN" w:bidi="ar-SA"/>
        </w:rPr>
      </w:pPr>
      <w:r>
        <w:rPr>
          <w:rFonts w:hint="eastAsia" w:ascii="仿宋" w:hAnsi="仿宋" w:eastAsia="仿宋" w:cs="仿宋"/>
          <w:snapToGrid w:val="0"/>
          <w:color w:val="auto"/>
          <w:spacing w:val="0"/>
          <w:kern w:val="0"/>
          <w:sz w:val="28"/>
          <w:szCs w:val="28"/>
          <w:lang w:val="en-US" w:eastAsia="zh-CN" w:bidi="ar-SA"/>
        </w:rPr>
        <w:t>一、代理服务费用标准。以</w:t>
      </w:r>
      <w:r>
        <w:rPr>
          <w:rFonts w:hint="eastAsia" w:ascii="仿宋" w:hAnsi="仿宋" w:eastAsia="仿宋" w:cs="仿宋"/>
          <w:snapToGrid w:val="0"/>
          <w:color w:val="000000"/>
          <w:spacing w:val="0"/>
          <w:kern w:val="0"/>
          <w:sz w:val="28"/>
          <w:szCs w:val="28"/>
          <w:lang w:val="en-US" w:eastAsia="zh-CN" w:bidi="ar-SA"/>
        </w:rPr>
        <w:t>中标价为基准，参照原国家计委计价格〔2002〕1980号文件标准下浮</w:t>
      </w:r>
      <w:r>
        <w:rPr>
          <w:rFonts w:hint="eastAsia" w:ascii="仿宋" w:hAnsi="仿宋" w:eastAsia="仿宋" w:cs="仿宋"/>
          <w:snapToGrid w:val="0"/>
          <w:color w:val="000000"/>
          <w:spacing w:val="16"/>
          <w:kern w:val="0"/>
          <w:sz w:val="28"/>
          <w:szCs w:val="28"/>
          <w:lang w:val="en-US" w:eastAsia="zh-CN" w:bidi="ar-SA"/>
        </w:rPr>
        <w:t>：</w:t>
      </w:r>
    </w:p>
    <w:tbl>
      <w:tblPr>
        <w:tblStyle w:val="21"/>
        <w:tblW w:w="5161"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407"/>
        <w:gridCol w:w="1754"/>
      </w:tblGrid>
      <w:tr w14:paraId="3274E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tblCellSpacing w:w="0" w:type="dxa"/>
          <w:jc w:val="center"/>
        </w:trPr>
        <w:tc>
          <w:tcPr>
            <w:tcW w:w="3407" w:type="dxa"/>
            <w:tcBorders>
              <w:tl2br w:val="nil"/>
              <w:tr2bl w:val="nil"/>
            </w:tcBorders>
            <w:vAlign w:val="center"/>
          </w:tcPr>
          <w:p w14:paraId="5AAAC593">
            <w:pPr>
              <w:jc w:val="center"/>
              <w:rPr>
                <w:b/>
                <w:bCs/>
                <w:color w:val="0000FF"/>
                <w:sz w:val="24"/>
                <w:szCs w:val="24"/>
              </w:rPr>
            </w:pPr>
            <w:r>
              <w:rPr>
                <w:rFonts w:hint="eastAsia"/>
                <w:b/>
                <w:bCs/>
                <w:color w:val="0000FF"/>
                <w:sz w:val="24"/>
                <w:szCs w:val="24"/>
              </w:rPr>
              <w:t>中标金额（万元）</w:t>
            </w:r>
          </w:p>
        </w:tc>
        <w:tc>
          <w:tcPr>
            <w:tcW w:w="1754" w:type="dxa"/>
            <w:tcBorders>
              <w:tl2br w:val="nil"/>
              <w:tr2bl w:val="nil"/>
            </w:tcBorders>
            <w:vAlign w:val="center"/>
          </w:tcPr>
          <w:p w14:paraId="3AC43689">
            <w:pPr>
              <w:jc w:val="center"/>
              <w:rPr>
                <w:rFonts w:hint="eastAsia" w:eastAsia="宋体"/>
                <w:b/>
                <w:bCs/>
                <w:color w:val="0000FF"/>
                <w:sz w:val="24"/>
                <w:szCs w:val="24"/>
                <w:lang w:eastAsia="zh-CN"/>
              </w:rPr>
            </w:pPr>
            <w:r>
              <w:rPr>
                <w:rFonts w:hint="eastAsia"/>
                <w:b/>
                <w:bCs/>
                <w:color w:val="0000FF"/>
                <w:sz w:val="24"/>
                <w:szCs w:val="24"/>
                <w:lang w:val="en-US" w:eastAsia="zh-CN"/>
              </w:rPr>
              <w:t>整体下浮</w:t>
            </w:r>
          </w:p>
        </w:tc>
      </w:tr>
      <w:tr w14:paraId="75F69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3407" w:type="dxa"/>
            <w:tcBorders>
              <w:tl2br w:val="nil"/>
              <w:tr2bl w:val="nil"/>
            </w:tcBorders>
            <w:vAlign w:val="center"/>
          </w:tcPr>
          <w:p w14:paraId="5D6F5A20">
            <w:pPr>
              <w:jc w:val="center"/>
              <w:rPr>
                <w:rFonts w:hint="eastAsia" w:eastAsia="宋体"/>
                <w:color w:val="0000FF"/>
                <w:sz w:val="24"/>
                <w:szCs w:val="24"/>
                <w:lang w:val="en-US" w:eastAsia="zh-CN"/>
              </w:rPr>
            </w:pPr>
            <w:r>
              <w:rPr>
                <w:rFonts w:hint="eastAsia"/>
                <w:color w:val="0000FF"/>
                <w:sz w:val="24"/>
                <w:szCs w:val="24"/>
                <w:lang w:val="en-US" w:eastAsia="zh-CN"/>
              </w:rPr>
              <w:t>100以下</w:t>
            </w:r>
          </w:p>
        </w:tc>
        <w:tc>
          <w:tcPr>
            <w:tcW w:w="1754" w:type="dxa"/>
            <w:tcBorders>
              <w:tl2br w:val="nil"/>
              <w:tr2bl w:val="nil"/>
            </w:tcBorders>
            <w:vAlign w:val="center"/>
          </w:tcPr>
          <w:p w14:paraId="06348FFD">
            <w:pPr>
              <w:jc w:val="center"/>
              <w:rPr>
                <w:rFonts w:hint="default"/>
                <w:color w:val="0000FF"/>
                <w:sz w:val="24"/>
                <w:szCs w:val="24"/>
                <w:lang w:val="en-US" w:eastAsia="zh-CN"/>
              </w:rPr>
            </w:pPr>
            <w:r>
              <w:rPr>
                <w:rFonts w:hint="eastAsia" w:eastAsia="宋体"/>
                <w:color w:val="0000FF"/>
                <w:sz w:val="24"/>
                <w:szCs w:val="24"/>
                <w:u w:val="single"/>
                <w:lang w:val="en-US" w:eastAsia="zh-CN"/>
              </w:rPr>
              <w:t xml:space="preserve">   </w:t>
            </w:r>
            <w:r>
              <w:rPr>
                <w:rFonts w:hint="eastAsia"/>
                <w:color w:val="0000FF"/>
                <w:sz w:val="24"/>
                <w:szCs w:val="24"/>
              </w:rPr>
              <w:t>％</w:t>
            </w:r>
          </w:p>
        </w:tc>
      </w:tr>
      <w:tr w14:paraId="5F763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3407" w:type="dxa"/>
            <w:tcBorders>
              <w:tl2br w:val="nil"/>
              <w:tr2bl w:val="nil"/>
            </w:tcBorders>
            <w:vAlign w:val="center"/>
          </w:tcPr>
          <w:p w14:paraId="669F15D5">
            <w:pPr>
              <w:jc w:val="center"/>
              <w:rPr>
                <w:color w:val="0000FF"/>
                <w:sz w:val="24"/>
                <w:szCs w:val="24"/>
              </w:rPr>
            </w:pPr>
            <w:r>
              <w:rPr>
                <w:rFonts w:hint="eastAsia"/>
                <w:color w:val="0000FF"/>
                <w:sz w:val="24"/>
                <w:szCs w:val="24"/>
                <w:lang w:val="en-US" w:eastAsia="zh-CN"/>
              </w:rPr>
              <w:t>100（含）—5</w:t>
            </w:r>
            <w:r>
              <w:rPr>
                <w:rFonts w:hint="eastAsia"/>
                <w:color w:val="0000FF"/>
                <w:sz w:val="24"/>
                <w:szCs w:val="24"/>
              </w:rPr>
              <w:t>00以下</w:t>
            </w:r>
          </w:p>
        </w:tc>
        <w:tc>
          <w:tcPr>
            <w:tcW w:w="1754" w:type="dxa"/>
            <w:tcBorders>
              <w:tl2br w:val="nil"/>
              <w:tr2bl w:val="nil"/>
            </w:tcBorders>
            <w:vAlign w:val="center"/>
          </w:tcPr>
          <w:p w14:paraId="06EF264A">
            <w:pPr>
              <w:jc w:val="center"/>
              <w:rPr>
                <w:color w:val="0000FF"/>
                <w:sz w:val="24"/>
                <w:szCs w:val="24"/>
              </w:rPr>
            </w:pPr>
            <w:r>
              <w:rPr>
                <w:rFonts w:hint="eastAsia" w:eastAsia="宋体"/>
                <w:color w:val="0000FF"/>
                <w:sz w:val="24"/>
                <w:szCs w:val="24"/>
                <w:u w:val="single"/>
                <w:lang w:val="en-US" w:eastAsia="zh-CN"/>
              </w:rPr>
              <w:t xml:space="preserve">   </w:t>
            </w:r>
            <w:r>
              <w:rPr>
                <w:rFonts w:hint="eastAsia"/>
                <w:color w:val="0000FF"/>
                <w:sz w:val="24"/>
                <w:szCs w:val="24"/>
              </w:rPr>
              <w:t>％</w:t>
            </w:r>
          </w:p>
        </w:tc>
      </w:tr>
      <w:tr w14:paraId="046D0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3407" w:type="dxa"/>
            <w:tcBorders>
              <w:tl2br w:val="nil"/>
              <w:tr2bl w:val="nil"/>
            </w:tcBorders>
            <w:vAlign w:val="center"/>
          </w:tcPr>
          <w:p w14:paraId="36207493">
            <w:pPr>
              <w:jc w:val="center"/>
              <w:rPr>
                <w:rFonts w:hint="eastAsia" w:eastAsia="宋体"/>
                <w:color w:val="0000FF"/>
                <w:sz w:val="24"/>
                <w:szCs w:val="24"/>
                <w:lang w:val="en-US" w:eastAsia="zh-CN"/>
              </w:rPr>
            </w:pPr>
            <w:r>
              <w:rPr>
                <w:rFonts w:hint="eastAsia"/>
                <w:color w:val="0000FF"/>
                <w:sz w:val="24"/>
                <w:szCs w:val="24"/>
                <w:lang w:val="en-US" w:eastAsia="zh-CN"/>
              </w:rPr>
              <w:t>5</w:t>
            </w:r>
            <w:r>
              <w:rPr>
                <w:rFonts w:hint="eastAsia"/>
                <w:color w:val="0000FF"/>
                <w:sz w:val="24"/>
                <w:szCs w:val="24"/>
              </w:rPr>
              <w:t>00</w:t>
            </w:r>
            <w:r>
              <w:rPr>
                <w:rFonts w:hint="eastAsia"/>
                <w:color w:val="0000FF"/>
                <w:sz w:val="24"/>
                <w:szCs w:val="24"/>
                <w:lang w:val="en-US" w:eastAsia="zh-CN"/>
              </w:rPr>
              <w:t>（含）</w:t>
            </w:r>
            <w:r>
              <w:rPr>
                <w:rFonts w:hint="eastAsia"/>
                <w:color w:val="0000FF"/>
                <w:sz w:val="24"/>
                <w:szCs w:val="24"/>
              </w:rPr>
              <w:t>—</w:t>
            </w:r>
            <w:r>
              <w:rPr>
                <w:rFonts w:hint="eastAsia"/>
                <w:color w:val="0000FF"/>
                <w:sz w:val="24"/>
                <w:szCs w:val="24"/>
                <w:lang w:val="en-US" w:eastAsia="zh-CN"/>
              </w:rPr>
              <w:t>10</w:t>
            </w:r>
            <w:r>
              <w:rPr>
                <w:rFonts w:hint="eastAsia"/>
                <w:color w:val="0000FF"/>
                <w:sz w:val="24"/>
                <w:szCs w:val="24"/>
              </w:rPr>
              <w:t>00</w:t>
            </w:r>
          </w:p>
        </w:tc>
        <w:tc>
          <w:tcPr>
            <w:tcW w:w="1754" w:type="dxa"/>
            <w:tcBorders>
              <w:tl2br w:val="nil"/>
              <w:tr2bl w:val="nil"/>
            </w:tcBorders>
            <w:vAlign w:val="center"/>
          </w:tcPr>
          <w:p w14:paraId="32356DD4">
            <w:pPr>
              <w:jc w:val="center"/>
              <w:rPr>
                <w:color w:val="0000FF"/>
                <w:sz w:val="24"/>
                <w:szCs w:val="24"/>
              </w:rPr>
            </w:pPr>
            <w:r>
              <w:rPr>
                <w:rFonts w:hint="eastAsia" w:eastAsia="宋体"/>
                <w:color w:val="0000FF"/>
                <w:sz w:val="24"/>
                <w:szCs w:val="24"/>
                <w:u w:val="single"/>
                <w:lang w:val="en-US" w:eastAsia="zh-CN"/>
              </w:rPr>
              <w:t xml:space="preserve">   </w:t>
            </w:r>
            <w:r>
              <w:rPr>
                <w:rFonts w:hint="eastAsia"/>
                <w:color w:val="0000FF"/>
                <w:sz w:val="24"/>
                <w:szCs w:val="24"/>
              </w:rPr>
              <w:t>％</w:t>
            </w:r>
          </w:p>
        </w:tc>
      </w:tr>
      <w:tr w14:paraId="60A43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3407" w:type="dxa"/>
            <w:tcBorders>
              <w:tl2br w:val="nil"/>
              <w:tr2bl w:val="nil"/>
            </w:tcBorders>
            <w:vAlign w:val="center"/>
          </w:tcPr>
          <w:p w14:paraId="62CE0282">
            <w:pPr>
              <w:jc w:val="center"/>
              <w:rPr>
                <w:rFonts w:hint="eastAsia" w:eastAsia="宋体"/>
                <w:color w:val="0000FF"/>
                <w:sz w:val="24"/>
                <w:szCs w:val="24"/>
                <w:lang w:val="en-US" w:eastAsia="zh-CN"/>
              </w:rPr>
            </w:pPr>
            <w:r>
              <w:rPr>
                <w:rFonts w:hint="eastAsia"/>
                <w:color w:val="0000FF"/>
                <w:sz w:val="24"/>
                <w:szCs w:val="24"/>
                <w:lang w:val="en-US" w:eastAsia="zh-CN"/>
              </w:rPr>
              <w:t>10</w:t>
            </w:r>
            <w:r>
              <w:rPr>
                <w:rFonts w:hint="eastAsia"/>
                <w:color w:val="0000FF"/>
                <w:sz w:val="24"/>
                <w:szCs w:val="24"/>
              </w:rPr>
              <w:t>00</w:t>
            </w:r>
            <w:r>
              <w:rPr>
                <w:rFonts w:hint="eastAsia"/>
                <w:color w:val="0000FF"/>
                <w:sz w:val="24"/>
                <w:szCs w:val="24"/>
                <w:lang w:val="en-US" w:eastAsia="zh-CN"/>
              </w:rPr>
              <w:t>（含）</w:t>
            </w:r>
            <w:r>
              <w:rPr>
                <w:rFonts w:hint="eastAsia"/>
                <w:color w:val="0000FF"/>
                <w:sz w:val="24"/>
                <w:szCs w:val="24"/>
              </w:rPr>
              <w:t>—</w:t>
            </w:r>
            <w:r>
              <w:rPr>
                <w:rFonts w:hint="eastAsia"/>
                <w:color w:val="0000FF"/>
                <w:sz w:val="24"/>
                <w:szCs w:val="24"/>
                <w:lang w:val="en-US" w:eastAsia="zh-CN"/>
              </w:rPr>
              <w:t>2</w:t>
            </w:r>
            <w:r>
              <w:rPr>
                <w:rFonts w:hint="eastAsia"/>
                <w:color w:val="0000FF"/>
                <w:sz w:val="24"/>
                <w:szCs w:val="24"/>
              </w:rPr>
              <w:t>000</w:t>
            </w:r>
          </w:p>
        </w:tc>
        <w:tc>
          <w:tcPr>
            <w:tcW w:w="1754" w:type="dxa"/>
            <w:tcBorders>
              <w:tl2br w:val="nil"/>
              <w:tr2bl w:val="nil"/>
            </w:tcBorders>
            <w:vAlign w:val="center"/>
          </w:tcPr>
          <w:p w14:paraId="00AA9F60">
            <w:pPr>
              <w:jc w:val="center"/>
              <w:rPr>
                <w:color w:val="0000FF"/>
                <w:sz w:val="24"/>
                <w:szCs w:val="24"/>
              </w:rPr>
            </w:pPr>
            <w:r>
              <w:rPr>
                <w:rFonts w:hint="eastAsia" w:eastAsia="宋体"/>
                <w:color w:val="0000FF"/>
                <w:sz w:val="24"/>
                <w:szCs w:val="24"/>
                <w:u w:val="single"/>
                <w:lang w:val="en-US" w:eastAsia="zh-CN"/>
              </w:rPr>
              <w:t xml:space="preserve">   </w:t>
            </w:r>
            <w:r>
              <w:rPr>
                <w:rFonts w:hint="eastAsia"/>
                <w:color w:val="0000FF"/>
                <w:sz w:val="24"/>
                <w:szCs w:val="24"/>
              </w:rPr>
              <w:t>％</w:t>
            </w:r>
          </w:p>
        </w:tc>
      </w:tr>
      <w:tr w14:paraId="0BD46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3407" w:type="dxa"/>
            <w:tcBorders>
              <w:tl2br w:val="nil"/>
              <w:tr2bl w:val="nil"/>
            </w:tcBorders>
            <w:vAlign w:val="center"/>
          </w:tcPr>
          <w:p w14:paraId="6877E165">
            <w:pPr>
              <w:jc w:val="center"/>
              <w:rPr>
                <w:rFonts w:hint="eastAsia" w:eastAsia="宋体"/>
                <w:color w:val="0000FF"/>
                <w:sz w:val="24"/>
                <w:szCs w:val="24"/>
                <w:lang w:val="en-US" w:eastAsia="zh-CN"/>
              </w:rPr>
            </w:pPr>
            <w:r>
              <w:rPr>
                <w:rFonts w:hint="eastAsia"/>
                <w:color w:val="0000FF"/>
                <w:sz w:val="24"/>
                <w:szCs w:val="24"/>
                <w:lang w:val="en-US" w:eastAsia="zh-CN"/>
              </w:rPr>
              <w:t>2</w:t>
            </w:r>
            <w:r>
              <w:rPr>
                <w:rFonts w:hint="eastAsia"/>
                <w:color w:val="0000FF"/>
                <w:sz w:val="24"/>
                <w:szCs w:val="24"/>
              </w:rPr>
              <w:t>000</w:t>
            </w:r>
            <w:r>
              <w:rPr>
                <w:rFonts w:hint="eastAsia"/>
                <w:color w:val="0000FF"/>
                <w:sz w:val="24"/>
                <w:szCs w:val="24"/>
                <w:lang w:eastAsia="zh-CN"/>
              </w:rPr>
              <w:t>（</w:t>
            </w:r>
            <w:r>
              <w:rPr>
                <w:rFonts w:hint="eastAsia"/>
                <w:color w:val="0000FF"/>
                <w:sz w:val="24"/>
                <w:szCs w:val="24"/>
                <w:lang w:val="en-US" w:eastAsia="zh-CN"/>
              </w:rPr>
              <w:t>含）</w:t>
            </w:r>
            <w:r>
              <w:rPr>
                <w:rFonts w:hint="eastAsia"/>
                <w:color w:val="0000FF"/>
                <w:sz w:val="24"/>
                <w:szCs w:val="24"/>
              </w:rPr>
              <w:t>—5000</w:t>
            </w:r>
          </w:p>
        </w:tc>
        <w:tc>
          <w:tcPr>
            <w:tcW w:w="1754" w:type="dxa"/>
            <w:tcBorders>
              <w:tl2br w:val="nil"/>
              <w:tr2bl w:val="nil"/>
            </w:tcBorders>
            <w:vAlign w:val="center"/>
          </w:tcPr>
          <w:p w14:paraId="6EB5E51A">
            <w:pPr>
              <w:jc w:val="center"/>
              <w:rPr>
                <w:color w:val="0000FF"/>
                <w:sz w:val="24"/>
                <w:szCs w:val="24"/>
              </w:rPr>
            </w:pPr>
            <w:r>
              <w:rPr>
                <w:rFonts w:hint="eastAsia" w:eastAsia="宋体"/>
                <w:color w:val="0000FF"/>
                <w:sz w:val="24"/>
                <w:szCs w:val="24"/>
                <w:u w:val="single"/>
                <w:lang w:val="en-US" w:eastAsia="zh-CN"/>
              </w:rPr>
              <w:t xml:space="preserve">   </w:t>
            </w:r>
            <w:r>
              <w:rPr>
                <w:rFonts w:hint="eastAsia"/>
                <w:color w:val="0000FF"/>
                <w:sz w:val="24"/>
                <w:szCs w:val="24"/>
              </w:rPr>
              <w:t>％</w:t>
            </w:r>
          </w:p>
        </w:tc>
      </w:tr>
      <w:tr w14:paraId="3E5F6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3407" w:type="dxa"/>
            <w:tcBorders>
              <w:tl2br w:val="nil"/>
              <w:tr2bl w:val="nil"/>
            </w:tcBorders>
            <w:vAlign w:val="center"/>
          </w:tcPr>
          <w:p w14:paraId="0BD82471">
            <w:pPr>
              <w:jc w:val="center"/>
              <w:rPr>
                <w:color w:val="0000FF"/>
                <w:sz w:val="24"/>
                <w:szCs w:val="24"/>
              </w:rPr>
            </w:pPr>
            <w:r>
              <w:rPr>
                <w:rFonts w:hint="eastAsia"/>
                <w:color w:val="0000FF"/>
                <w:sz w:val="24"/>
                <w:szCs w:val="24"/>
              </w:rPr>
              <w:t>5000</w:t>
            </w:r>
            <w:r>
              <w:rPr>
                <w:rFonts w:hint="eastAsia"/>
                <w:color w:val="0000FF"/>
                <w:sz w:val="24"/>
                <w:szCs w:val="24"/>
                <w:lang w:val="en-US" w:eastAsia="zh-CN"/>
              </w:rPr>
              <w:t>以上（含）</w:t>
            </w:r>
          </w:p>
        </w:tc>
        <w:tc>
          <w:tcPr>
            <w:tcW w:w="1754" w:type="dxa"/>
            <w:tcBorders>
              <w:tl2br w:val="nil"/>
              <w:tr2bl w:val="nil"/>
            </w:tcBorders>
            <w:vAlign w:val="center"/>
          </w:tcPr>
          <w:p w14:paraId="3FA43EBA">
            <w:pPr>
              <w:jc w:val="center"/>
              <w:rPr>
                <w:color w:val="0000FF"/>
                <w:sz w:val="24"/>
                <w:szCs w:val="24"/>
              </w:rPr>
            </w:pPr>
            <w:r>
              <w:rPr>
                <w:rFonts w:hint="eastAsia" w:eastAsia="宋体"/>
                <w:color w:val="0000FF"/>
                <w:sz w:val="24"/>
                <w:szCs w:val="24"/>
                <w:u w:val="single"/>
                <w:lang w:val="en-US" w:eastAsia="zh-CN"/>
              </w:rPr>
              <w:t xml:space="preserve">   </w:t>
            </w:r>
            <w:r>
              <w:rPr>
                <w:rFonts w:hint="eastAsia"/>
                <w:color w:val="0000FF"/>
                <w:sz w:val="24"/>
                <w:szCs w:val="24"/>
              </w:rPr>
              <w:t>％</w:t>
            </w:r>
          </w:p>
        </w:tc>
      </w:tr>
    </w:tbl>
    <w:p w14:paraId="47C17496">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480" w:lineRule="exact"/>
        <w:ind w:leftChars="0" w:firstLine="560" w:firstLineChars="200"/>
        <w:jc w:val="both"/>
        <w:textAlignment w:val="baseline"/>
        <w:rPr>
          <w:rFonts w:hint="eastAsia" w:ascii="仿宋" w:hAnsi="仿宋" w:eastAsia="仿宋" w:cs="仿宋"/>
          <w:snapToGrid w:val="0"/>
          <w:color w:val="000000"/>
          <w:spacing w:val="16"/>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原国家计委计价格〔2002〕1980号文件收取标准详见下表</w:t>
      </w:r>
      <w:r>
        <w:rPr>
          <w:rFonts w:hint="eastAsia" w:ascii="仿宋" w:hAnsi="仿宋" w:eastAsia="仿宋" w:cs="仿宋"/>
          <w:snapToGrid w:val="0"/>
          <w:color w:val="000000"/>
          <w:spacing w:val="16"/>
          <w:kern w:val="0"/>
          <w:sz w:val="28"/>
          <w:szCs w:val="28"/>
          <w:lang w:val="en-US" w:eastAsia="zh-CN" w:bidi="ar-SA"/>
        </w:rPr>
        <w:t>：</w:t>
      </w:r>
    </w:p>
    <w:tbl>
      <w:tblPr>
        <w:tblStyle w:val="21"/>
        <w:tblW w:w="9085"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394"/>
        <w:gridCol w:w="2149"/>
        <w:gridCol w:w="2270"/>
        <w:gridCol w:w="2272"/>
      </w:tblGrid>
      <w:tr w14:paraId="65956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tblCellSpacing w:w="0" w:type="dxa"/>
          <w:jc w:val="center"/>
        </w:trPr>
        <w:tc>
          <w:tcPr>
            <w:tcW w:w="2394" w:type="dxa"/>
            <w:tcBorders>
              <w:tl2br w:val="nil"/>
              <w:tr2bl w:val="nil"/>
            </w:tcBorders>
            <w:vAlign w:val="center"/>
          </w:tcPr>
          <w:p w14:paraId="6B51BB4E">
            <w:pPr>
              <w:jc w:val="center"/>
              <w:rPr>
                <w:b/>
                <w:bCs/>
                <w:sz w:val="24"/>
                <w:szCs w:val="24"/>
              </w:rPr>
            </w:pPr>
            <w:r>
              <w:rPr>
                <w:rFonts w:hint="eastAsia"/>
                <w:b/>
                <w:bCs/>
                <w:sz w:val="24"/>
                <w:szCs w:val="24"/>
              </w:rPr>
              <w:t>中标金额（万元）</w:t>
            </w:r>
          </w:p>
        </w:tc>
        <w:tc>
          <w:tcPr>
            <w:tcW w:w="2149" w:type="dxa"/>
            <w:tcBorders>
              <w:tl2br w:val="nil"/>
              <w:tr2bl w:val="nil"/>
            </w:tcBorders>
            <w:vAlign w:val="center"/>
          </w:tcPr>
          <w:p w14:paraId="708DE145">
            <w:pPr>
              <w:jc w:val="center"/>
              <w:rPr>
                <w:b/>
                <w:bCs/>
                <w:sz w:val="24"/>
                <w:szCs w:val="24"/>
              </w:rPr>
            </w:pPr>
            <w:r>
              <w:rPr>
                <w:rFonts w:hint="eastAsia"/>
                <w:b/>
                <w:bCs/>
                <w:sz w:val="24"/>
                <w:szCs w:val="24"/>
              </w:rPr>
              <w:t>货物类</w:t>
            </w:r>
          </w:p>
        </w:tc>
        <w:tc>
          <w:tcPr>
            <w:tcW w:w="2270" w:type="dxa"/>
            <w:tcBorders>
              <w:tl2br w:val="nil"/>
              <w:tr2bl w:val="nil"/>
            </w:tcBorders>
            <w:vAlign w:val="center"/>
          </w:tcPr>
          <w:p w14:paraId="37B8C4F6">
            <w:pPr>
              <w:jc w:val="center"/>
              <w:rPr>
                <w:b/>
                <w:bCs/>
                <w:sz w:val="24"/>
                <w:szCs w:val="24"/>
              </w:rPr>
            </w:pPr>
            <w:r>
              <w:rPr>
                <w:rFonts w:hint="eastAsia"/>
                <w:b/>
                <w:bCs/>
                <w:sz w:val="24"/>
                <w:szCs w:val="24"/>
              </w:rPr>
              <w:t>服务类</w:t>
            </w:r>
          </w:p>
        </w:tc>
        <w:tc>
          <w:tcPr>
            <w:tcW w:w="2272" w:type="dxa"/>
            <w:tcBorders>
              <w:tl2br w:val="nil"/>
              <w:tr2bl w:val="nil"/>
            </w:tcBorders>
            <w:vAlign w:val="center"/>
          </w:tcPr>
          <w:p w14:paraId="4D4483FF">
            <w:pPr>
              <w:jc w:val="center"/>
              <w:rPr>
                <w:b/>
                <w:bCs/>
                <w:sz w:val="24"/>
                <w:szCs w:val="24"/>
              </w:rPr>
            </w:pPr>
            <w:r>
              <w:rPr>
                <w:rFonts w:hint="eastAsia"/>
                <w:b/>
                <w:bCs/>
                <w:sz w:val="24"/>
                <w:szCs w:val="24"/>
              </w:rPr>
              <w:t>工程类</w:t>
            </w:r>
          </w:p>
        </w:tc>
      </w:tr>
      <w:tr w14:paraId="39451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2394" w:type="dxa"/>
            <w:tcBorders>
              <w:tl2br w:val="nil"/>
              <w:tr2bl w:val="nil"/>
            </w:tcBorders>
            <w:vAlign w:val="center"/>
          </w:tcPr>
          <w:p w14:paraId="7D9AE4A7">
            <w:pPr>
              <w:jc w:val="center"/>
              <w:rPr>
                <w:sz w:val="24"/>
                <w:szCs w:val="24"/>
              </w:rPr>
            </w:pPr>
            <w:r>
              <w:rPr>
                <w:rFonts w:hint="eastAsia"/>
                <w:sz w:val="24"/>
                <w:szCs w:val="24"/>
              </w:rPr>
              <w:t>100以下</w:t>
            </w:r>
          </w:p>
        </w:tc>
        <w:tc>
          <w:tcPr>
            <w:tcW w:w="2149" w:type="dxa"/>
            <w:tcBorders>
              <w:tl2br w:val="nil"/>
              <w:tr2bl w:val="nil"/>
            </w:tcBorders>
            <w:vAlign w:val="center"/>
          </w:tcPr>
          <w:p w14:paraId="0F834FCA">
            <w:pPr>
              <w:jc w:val="center"/>
              <w:rPr>
                <w:sz w:val="24"/>
                <w:szCs w:val="24"/>
              </w:rPr>
            </w:pPr>
            <w:r>
              <w:rPr>
                <w:rFonts w:hint="eastAsia"/>
                <w:sz w:val="24"/>
                <w:szCs w:val="24"/>
              </w:rPr>
              <w:t>1.5％</w:t>
            </w:r>
          </w:p>
        </w:tc>
        <w:tc>
          <w:tcPr>
            <w:tcW w:w="2270" w:type="dxa"/>
            <w:tcBorders>
              <w:tl2br w:val="nil"/>
              <w:tr2bl w:val="nil"/>
            </w:tcBorders>
            <w:vAlign w:val="center"/>
          </w:tcPr>
          <w:p w14:paraId="721283D2">
            <w:pPr>
              <w:jc w:val="center"/>
              <w:rPr>
                <w:sz w:val="24"/>
                <w:szCs w:val="24"/>
              </w:rPr>
            </w:pPr>
            <w:r>
              <w:rPr>
                <w:rFonts w:hint="eastAsia"/>
                <w:sz w:val="24"/>
                <w:szCs w:val="24"/>
              </w:rPr>
              <w:t>1.5％</w:t>
            </w:r>
          </w:p>
        </w:tc>
        <w:tc>
          <w:tcPr>
            <w:tcW w:w="2272" w:type="dxa"/>
            <w:tcBorders>
              <w:tl2br w:val="nil"/>
              <w:tr2bl w:val="nil"/>
            </w:tcBorders>
            <w:vAlign w:val="center"/>
          </w:tcPr>
          <w:p w14:paraId="147349E0">
            <w:pPr>
              <w:jc w:val="center"/>
              <w:rPr>
                <w:sz w:val="24"/>
                <w:szCs w:val="24"/>
              </w:rPr>
            </w:pPr>
            <w:r>
              <w:rPr>
                <w:rFonts w:hint="eastAsia"/>
                <w:sz w:val="24"/>
                <w:szCs w:val="24"/>
              </w:rPr>
              <w:t>1.0％</w:t>
            </w:r>
          </w:p>
        </w:tc>
      </w:tr>
      <w:tr w14:paraId="52B32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2394" w:type="dxa"/>
            <w:tcBorders>
              <w:tl2br w:val="nil"/>
              <w:tr2bl w:val="nil"/>
            </w:tcBorders>
            <w:vAlign w:val="center"/>
          </w:tcPr>
          <w:p w14:paraId="28104895">
            <w:pPr>
              <w:jc w:val="center"/>
              <w:rPr>
                <w:sz w:val="24"/>
                <w:szCs w:val="24"/>
              </w:rPr>
            </w:pPr>
            <w:r>
              <w:rPr>
                <w:rFonts w:hint="eastAsia"/>
                <w:sz w:val="24"/>
                <w:szCs w:val="24"/>
              </w:rPr>
              <w:t>100—500</w:t>
            </w:r>
          </w:p>
        </w:tc>
        <w:tc>
          <w:tcPr>
            <w:tcW w:w="2149" w:type="dxa"/>
            <w:tcBorders>
              <w:tl2br w:val="nil"/>
              <w:tr2bl w:val="nil"/>
            </w:tcBorders>
            <w:vAlign w:val="center"/>
          </w:tcPr>
          <w:p w14:paraId="33DCDDA0">
            <w:pPr>
              <w:jc w:val="center"/>
              <w:rPr>
                <w:sz w:val="24"/>
                <w:szCs w:val="24"/>
              </w:rPr>
            </w:pPr>
            <w:r>
              <w:rPr>
                <w:rFonts w:hint="eastAsia"/>
                <w:sz w:val="24"/>
                <w:szCs w:val="24"/>
              </w:rPr>
              <w:t>1.1％</w:t>
            </w:r>
          </w:p>
        </w:tc>
        <w:tc>
          <w:tcPr>
            <w:tcW w:w="2270" w:type="dxa"/>
            <w:tcBorders>
              <w:tl2br w:val="nil"/>
              <w:tr2bl w:val="nil"/>
            </w:tcBorders>
            <w:vAlign w:val="center"/>
          </w:tcPr>
          <w:p w14:paraId="5B7E6932">
            <w:pPr>
              <w:jc w:val="center"/>
              <w:rPr>
                <w:sz w:val="24"/>
                <w:szCs w:val="24"/>
              </w:rPr>
            </w:pPr>
            <w:r>
              <w:rPr>
                <w:rFonts w:hint="eastAsia"/>
                <w:sz w:val="24"/>
                <w:szCs w:val="24"/>
              </w:rPr>
              <w:t>0.8％</w:t>
            </w:r>
          </w:p>
        </w:tc>
        <w:tc>
          <w:tcPr>
            <w:tcW w:w="2272" w:type="dxa"/>
            <w:tcBorders>
              <w:tl2br w:val="nil"/>
              <w:tr2bl w:val="nil"/>
            </w:tcBorders>
            <w:vAlign w:val="center"/>
          </w:tcPr>
          <w:p w14:paraId="524056C9">
            <w:pPr>
              <w:jc w:val="center"/>
              <w:rPr>
                <w:sz w:val="24"/>
                <w:szCs w:val="24"/>
              </w:rPr>
            </w:pPr>
            <w:r>
              <w:rPr>
                <w:rFonts w:hint="eastAsia"/>
                <w:sz w:val="24"/>
                <w:szCs w:val="24"/>
              </w:rPr>
              <w:t>0.7％</w:t>
            </w:r>
          </w:p>
        </w:tc>
      </w:tr>
      <w:tr w14:paraId="25B22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2394" w:type="dxa"/>
            <w:tcBorders>
              <w:tl2br w:val="nil"/>
              <w:tr2bl w:val="nil"/>
            </w:tcBorders>
            <w:vAlign w:val="center"/>
          </w:tcPr>
          <w:p w14:paraId="22DDF6AE">
            <w:pPr>
              <w:jc w:val="center"/>
              <w:rPr>
                <w:sz w:val="24"/>
                <w:szCs w:val="24"/>
              </w:rPr>
            </w:pPr>
            <w:r>
              <w:rPr>
                <w:rFonts w:hint="eastAsia"/>
                <w:sz w:val="24"/>
                <w:szCs w:val="24"/>
              </w:rPr>
              <w:t>500—1000</w:t>
            </w:r>
          </w:p>
        </w:tc>
        <w:tc>
          <w:tcPr>
            <w:tcW w:w="2149" w:type="dxa"/>
            <w:tcBorders>
              <w:tl2br w:val="nil"/>
              <w:tr2bl w:val="nil"/>
            </w:tcBorders>
            <w:vAlign w:val="center"/>
          </w:tcPr>
          <w:p w14:paraId="487620DB">
            <w:pPr>
              <w:jc w:val="center"/>
              <w:rPr>
                <w:sz w:val="24"/>
                <w:szCs w:val="24"/>
              </w:rPr>
            </w:pPr>
            <w:r>
              <w:rPr>
                <w:rFonts w:hint="eastAsia"/>
                <w:sz w:val="24"/>
                <w:szCs w:val="24"/>
              </w:rPr>
              <w:t>0.8％</w:t>
            </w:r>
          </w:p>
        </w:tc>
        <w:tc>
          <w:tcPr>
            <w:tcW w:w="2270" w:type="dxa"/>
            <w:tcBorders>
              <w:tl2br w:val="nil"/>
              <w:tr2bl w:val="nil"/>
            </w:tcBorders>
            <w:vAlign w:val="center"/>
          </w:tcPr>
          <w:p w14:paraId="3475EEED">
            <w:pPr>
              <w:jc w:val="center"/>
              <w:rPr>
                <w:sz w:val="24"/>
                <w:szCs w:val="24"/>
              </w:rPr>
            </w:pPr>
            <w:r>
              <w:rPr>
                <w:rFonts w:hint="eastAsia"/>
                <w:sz w:val="24"/>
                <w:szCs w:val="24"/>
              </w:rPr>
              <w:t>0.45％</w:t>
            </w:r>
          </w:p>
        </w:tc>
        <w:tc>
          <w:tcPr>
            <w:tcW w:w="2272" w:type="dxa"/>
            <w:tcBorders>
              <w:tl2br w:val="nil"/>
              <w:tr2bl w:val="nil"/>
            </w:tcBorders>
            <w:vAlign w:val="center"/>
          </w:tcPr>
          <w:p w14:paraId="42A71BA4">
            <w:pPr>
              <w:jc w:val="center"/>
              <w:rPr>
                <w:sz w:val="24"/>
                <w:szCs w:val="24"/>
              </w:rPr>
            </w:pPr>
            <w:r>
              <w:rPr>
                <w:rFonts w:hint="eastAsia"/>
                <w:sz w:val="24"/>
                <w:szCs w:val="24"/>
              </w:rPr>
              <w:t>0.55％</w:t>
            </w:r>
          </w:p>
        </w:tc>
      </w:tr>
      <w:tr w14:paraId="528B4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2394" w:type="dxa"/>
            <w:tcBorders>
              <w:tl2br w:val="nil"/>
              <w:tr2bl w:val="nil"/>
            </w:tcBorders>
            <w:vAlign w:val="center"/>
          </w:tcPr>
          <w:p w14:paraId="1D096D65">
            <w:pPr>
              <w:jc w:val="center"/>
              <w:rPr>
                <w:sz w:val="24"/>
                <w:szCs w:val="24"/>
              </w:rPr>
            </w:pPr>
            <w:r>
              <w:rPr>
                <w:rFonts w:hint="eastAsia"/>
                <w:sz w:val="24"/>
                <w:szCs w:val="24"/>
              </w:rPr>
              <w:t>1000—5000</w:t>
            </w:r>
          </w:p>
        </w:tc>
        <w:tc>
          <w:tcPr>
            <w:tcW w:w="2149" w:type="dxa"/>
            <w:tcBorders>
              <w:tl2br w:val="nil"/>
              <w:tr2bl w:val="nil"/>
            </w:tcBorders>
            <w:vAlign w:val="center"/>
          </w:tcPr>
          <w:p w14:paraId="7079491E">
            <w:pPr>
              <w:jc w:val="center"/>
              <w:rPr>
                <w:sz w:val="24"/>
                <w:szCs w:val="24"/>
              </w:rPr>
            </w:pPr>
            <w:r>
              <w:rPr>
                <w:rFonts w:hint="eastAsia"/>
                <w:sz w:val="24"/>
                <w:szCs w:val="24"/>
              </w:rPr>
              <w:t>0.5％</w:t>
            </w:r>
          </w:p>
        </w:tc>
        <w:tc>
          <w:tcPr>
            <w:tcW w:w="2270" w:type="dxa"/>
            <w:tcBorders>
              <w:tl2br w:val="nil"/>
              <w:tr2bl w:val="nil"/>
            </w:tcBorders>
            <w:vAlign w:val="center"/>
          </w:tcPr>
          <w:p w14:paraId="765373F3">
            <w:pPr>
              <w:jc w:val="center"/>
              <w:rPr>
                <w:sz w:val="24"/>
                <w:szCs w:val="24"/>
              </w:rPr>
            </w:pPr>
            <w:r>
              <w:rPr>
                <w:rFonts w:hint="eastAsia"/>
                <w:sz w:val="24"/>
                <w:szCs w:val="24"/>
              </w:rPr>
              <w:t>0.25％</w:t>
            </w:r>
          </w:p>
        </w:tc>
        <w:tc>
          <w:tcPr>
            <w:tcW w:w="2272" w:type="dxa"/>
            <w:tcBorders>
              <w:tl2br w:val="nil"/>
              <w:tr2bl w:val="nil"/>
            </w:tcBorders>
            <w:vAlign w:val="center"/>
          </w:tcPr>
          <w:p w14:paraId="6AD85C25">
            <w:pPr>
              <w:jc w:val="center"/>
              <w:rPr>
                <w:sz w:val="24"/>
                <w:szCs w:val="24"/>
              </w:rPr>
            </w:pPr>
            <w:r>
              <w:rPr>
                <w:rFonts w:hint="eastAsia"/>
                <w:sz w:val="24"/>
                <w:szCs w:val="24"/>
              </w:rPr>
              <w:t>0.35％</w:t>
            </w:r>
          </w:p>
        </w:tc>
      </w:tr>
      <w:tr w14:paraId="266C6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2394" w:type="dxa"/>
            <w:tcBorders>
              <w:tl2br w:val="nil"/>
              <w:tr2bl w:val="nil"/>
            </w:tcBorders>
            <w:vAlign w:val="center"/>
          </w:tcPr>
          <w:p w14:paraId="32EE3B74">
            <w:pPr>
              <w:jc w:val="center"/>
              <w:rPr>
                <w:sz w:val="24"/>
                <w:szCs w:val="24"/>
              </w:rPr>
            </w:pPr>
            <w:r>
              <w:rPr>
                <w:rFonts w:hint="eastAsia"/>
                <w:sz w:val="24"/>
                <w:szCs w:val="24"/>
              </w:rPr>
              <w:t>5000—10000</w:t>
            </w:r>
          </w:p>
        </w:tc>
        <w:tc>
          <w:tcPr>
            <w:tcW w:w="2149" w:type="dxa"/>
            <w:tcBorders>
              <w:tl2br w:val="nil"/>
              <w:tr2bl w:val="nil"/>
            </w:tcBorders>
            <w:vAlign w:val="center"/>
          </w:tcPr>
          <w:p w14:paraId="37FC3295">
            <w:pPr>
              <w:jc w:val="center"/>
              <w:rPr>
                <w:sz w:val="24"/>
                <w:szCs w:val="24"/>
              </w:rPr>
            </w:pPr>
            <w:r>
              <w:rPr>
                <w:rFonts w:hint="eastAsia"/>
                <w:sz w:val="24"/>
                <w:szCs w:val="24"/>
              </w:rPr>
              <w:t>0.25％</w:t>
            </w:r>
          </w:p>
        </w:tc>
        <w:tc>
          <w:tcPr>
            <w:tcW w:w="2270" w:type="dxa"/>
            <w:tcBorders>
              <w:tl2br w:val="nil"/>
              <w:tr2bl w:val="nil"/>
            </w:tcBorders>
            <w:vAlign w:val="center"/>
          </w:tcPr>
          <w:p w14:paraId="15FFEC03">
            <w:pPr>
              <w:jc w:val="center"/>
              <w:rPr>
                <w:sz w:val="24"/>
                <w:szCs w:val="24"/>
              </w:rPr>
            </w:pPr>
            <w:r>
              <w:rPr>
                <w:rFonts w:hint="eastAsia"/>
                <w:sz w:val="24"/>
                <w:szCs w:val="24"/>
              </w:rPr>
              <w:t>0.1％</w:t>
            </w:r>
          </w:p>
        </w:tc>
        <w:tc>
          <w:tcPr>
            <w:tcW w:w="2272" w:type="dxa"/>
            <w:tcBorders>
              <w:tl2br w:val="nil"/>
              <w:tr2bl w:val="nil"/>
            </w:tcBorders>
            <w:vAlign w:val="center"/>
          </w:tcPr>
          <w:p w14:paraId="73ECD8D0">
            <w:pPr>
              <w:jc w:val="center"/>
              <w:rPr>
                <w:sz w:val="24"/>
                <w:szCs w:val="24"/>
              </w:rPr>
            </w:pPr>
            <w:r>
              <w:rPr>
                <w:rFonts w:hint="eastAsia"/>
                <w:sz w:val="24"/>
                <w:szCs w:val="24"/>
              </w:rPr>
              <w:t>0.2％</w:t>
            </w:r>
          </w:p>
        </w:tc>
      </w:tr>
      <w:tr w14:paraId="12F55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2394" w:type="dxa"/>
            <w:tcBorders>
              <w:tl2br w:val="nil"/>
              <w:tr2bl w:val="nil"/>
            </w:tcBorders>
            <w:vAlign w:val="center"/>
          </w:tcPr>
          <w:p w14:paraId="780B4483">
            <w:pPr>
              <w:jc w:val="center"/>
              <w:rPr>
                <w:sz w:val="24"/>
                <w:szCs w:val="24"/>
              </w:rPr>
            </w:pPr>
            <w:r>
              <w:rPr>
                <w:rFonts w:hint="eastAsia"/>
                <w:sz w:val="24"/>
                <w:szCs w:val="24"/>
              </w:rPr>
              <w:t>10000——100000</w:t>
            </w:r>
          </w:p>
        </w:tc>
        <w:tc>
          <w:tcPr>
            <w:tcW w:w="2149" w:type="dxa"/>
            <w:tcBorders>
              <w:tl2br w:val="nil"/>
              <w:tr2bl w:val="nil"/>
            </w:tcBorders>
            <w:vAlign w:val="center"/>
          </w:tcPr>
          <w:p w14:paraId="2182F35F">
            <w:pPr>
              <w:jc w:val="center"/>
              <w:rPr>
                <w:sz w:val="24"/>
                <w:szCs w:val="24"/>
              </w:rPr>
            </w:pPr>
            <w:r>
              <w:rPr>
                <w:rFonts w:hint="eastAsia"/>
                <w:sz w:val="24"/>
                <w:szCs w:val="24"/>
              </w:rPr>
              <w:t>0.05％</w:t>
            </w:r>
          </w:p>
        </w:tc>
        <w:tc>
          <w:tcPr>
            <w:tcW w:w="2270" w:type="dxa"/>
            <w:tcBorders>
              <w:tl2br w:val="nil"/>
              <w:tr2bl w:val="nil"/>
            </w:tcBorders>
            <w:vAlign w:val="center"/>
          </w:tcPr>
          <w:p w14:paraId="7C163BD2">
            <w:pPr>
              <w:jc w:val="center"/>
              <w:rPr>
                <w:sz w:val="24"/>
                <w:szCs w:val="24"/>
              </w:rPr>
            </w:pPr>
            <w:r>
              <w:rPr>
                <w:rFonts w:hint="eastAsia"/>
                <w:sz w:val="24"/>
                <w:szCs w:val="24"/>
              </w:rPr>
              <w:t>0.05％</w:t>
            </w:r>
          </w:p>
        </w:tc>
        <w:tc>
          <w:tcPr>
            <w:tcW w:w="2272" w:type="dxa"/>
            <w:tcBorders>
              <w:tl2br w:val="nil"/>
              <w:tr2bl w:val="nil"/>
            </w:tcBorders>
            <w:vAlign w:val="center"/>
          </w:tcPr>
          <w:p w14:paraId="286BEE10">
            <w:pPr>
              <w:jc w:val="center"/>
              <w:rPr>
                <w:sz w:val="24"/>
                <w:szCs w:val="24"/>
              </w:rPr>
            </w:pPr>
            <w:r>
              <w:rPr>
                <w:rFonts w:hint="eastAsia"/>
                <w:sz w:val="24"/>
                <w:szCs w:val="24"/>
              </w:rPr>
              <w:t>0.05％</w:t>
            </w:r>
          </w:p>
        </w:tc>
      </w:tr>
      <w:tr w14:paraId="7FDFD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2394" w:type="dxa"/>
            <w:tcBorders>
              <w:tl2br w:val="nil"/>
              <w:tr2bl w:val="nil"/>
            </w:tcBorders>
            <w:vAlign w:val="center"/>
          </w:tcPr>
          <w:p w14:paraId="3BDAD4B4">
            <w:pPr>
              <w:jc w:val="center"/>
              <w:rPr>
                <w:sz w:val="24"/>
                <w:szCs w:val="24"/>
              </w:rPr>
            </w:pPr>
            <w:r>
              <w:rPr>
                <w:rFonts w:hint="eastAsia"/>
                <w:sz w:val="24"/>
                <w:szCs w:val="24"/>
              </w:rPr>
              <w:t>100000以上</w:t>
            </w:r>
          </w:p>
        </w:tc>
        <w:tc>
          <w:tcPr>
            <w:tcW w:w="2149" w:type="dxa"/>
            <w:tcBorders>
              <w:tl2br w:val="nil"/>
              <w:tr2bl w:val="nil"/>
            </w:tcBorders>
            <w:vAlign w:val="center"/>
          </w:tcPr>
          <w:p w14:paraId="5C10FBCA">
            <w:pPr>
              <w:jc w:val="center"/>
              <w:rPr>
                <w:sz w:val="24"/>
                <w:szCs w:val="24"/>
              </w:rPr>
            </w:pPr>
            <w:r>
              <w:rPr>
                <w:rFonts w:hint="eastAsia"/>
                <w:sz w:val="24"/>
                <w:szCs w:val="24"/>
              </w:rPr>
              <w:t>0.01％</w:t>
            </w:r>
          </w:p>
        </w:tc>
        <w:tc>
          <w:tcPr>
            <w:tcW w:w="2270" w:type="dxa"/>
            <w:tcBorders>
              <w:tl2br w:val="nil"/>
              <w:tr2bl w:val="nil"/>
            </w:tcBorders>
            <w:vAlign w:val="center"/>
          </w:tcPr>
          <w:p w14:paraId="1A3C11FF">
            <w:pPr>
              <w:jc w:val="center"/>
              <w:rPr>
                <w:sz w:val="24"/>
                <w:szCs w:val="24"/>
              </w:rPr>
            </w:pPr>
            <w:r>
              <w:rPr>
                <w:rFonts w:hint="eastAsia"/>
                <w:sz w:val="24"/>
                <w:szCs w:val="24"/>
              </w:rPr>
              <w:t>0.01％</w:t>
            </w:r>
          </w:p>
        </w:tc>
        <w:tc>
          <w:tcPr>
            <w:tcW w:w="2272" w:type="dxa"/>
            <w:tcBorders>
              <w:tl2br w:val="nil"/>
              <w:tr2bl w:val="nil"/>
            </w:tcBorders>
            <w:vAlign w:val="center"/>
          </w:tcPr>
          <w:p w14:paraId="71AD94D4">
            <w:pPr>
              <w:jc w:val="center"/>
              <w:rPr>
                <w:sz w:val="24"/>
                <w:szCs w:val="24"/>
              </w:rPr>
            </w:pPr>
            <w:r>
              <w:rPr>
                <w:rFonts w:hint="eastAsia"/>
                <w:sz w:val="24"/>
                <w:szCs w:val="24"/>
              </w:rPr>
              <w:t>0.01％</w:t>
            </w:r>
          </w:p>
        </w:tc>
      </w:tr>
    </w:tbl>
    <w:p w14:paraId="09241D02">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624" w:firstLineChars="200"/>
        <w:jc w:val="both"/>
        <w:textAlignment w:val="baseline"/>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16"/>
          <w:kern w:val="0"/>
          <w:sz w:val="28"/>
          <w:szCs w:val="28"/>
          <w:lang w:val="en-US" w:eastAsia="zh-CN" w:bidi="ar-SA"/>
        </w:rPr>
        <w:t>二、</w:t>
      </w:r>
      <w:r>
        <w:rPr>
          <w:rFonts w:hint="eastAsia" w:ascii="仿宋" w:hAnsi="仿宋" w:eastAsia="仿宋" w:cs="仿宋"/>
          <w:snapToGrid w:val="0"/>
          <w:color w:val="000000"/>
          <w:spacing w:val="0"/>
          <w:kern w:val="0"/>
          <w:sz w:val="28"/>
          <w:szCs w:val="28"/>
          <w:lang w:val="en-US" w:eastAsia="zh-CN" w:bidi="ar-SA"/>
        </w:rPr>
        <w:t>招标文件论证费，</w:t>
      </w:r>
      <w:r>
        <w:rPr>
          <w:rFonts w:hint="eastAsia" w:ascii="仿宋" w:hAnsi="仿宋" w:eastAsia="仿宋" w:cs="仿宋"/>
          <w:snapToGrid w:val="0"/>
          <w:color w:val="auto"/>
          <w:spacing w:val="0"/>
          <w:kern w:val="0"/>
          <w:sz w:val="28"/>
          <w:szCs w:val="28"/>
          <w:lang w:val="en-US" w:eastAsia="zh-CN" w:bidi="ar-SA"/>
        </w:rPr>
        <w:t>甲方</w:t>
      </w:r>
      <w:r>
        <w:rPr>
          <w:rFonts w:hint="eastAsia" w:ascii="仿宋" w:hAnsi="仿宋" w:eastAsia="仿宋" w:cs="仿宋"/>
          <w:snapToGrid w:val="0"/>
          <w:color w:val="000000"/>
          <w:spacing w:val="0"/>
          <w:kern w:val="0"/>
          <w:sz w:val="28"/>
          <w:szCs w:val="28"/>
          <w:lang w:val="en-US" w:eastAsia="zh-CN" w:bidi="ar-SA"/>
        </w:rPr>
        <w:t>参照</w:t>
      </w:r>
      <w:r>
        <w:rPr>
          <w:rFonts w:hint="eastAsia" w:ascii="仿宋" w:hAnsi="仿宋" w:eastAsia="仿宋" w:cs="仿宋"/>
          <w:snapToGrid w:val="0"/>
          <w:color w:val="0000FF"/>
          <w:spacing w:val="0"/>
          <w:kern w:val="0"/>
          <w:sz w:val="28"/>
          <w:szCs w:val="28"/>
          <w:lang w:val="en-US" w:eastAsia="zh-CN" w:bidi="ar-SA"/>
        </w:rPr>
        <w:t>相关政策规定的</w:t>
      </w:r>
      <w:r>
        <w:rPr>
          <w:rFonts w:hint="eastAsia" w:ascii="仿宋" w:hAnsi="仿宋" w:eastAsia="仿宋" w:cs="仿宋"/>
          <w:snapToGrid w:val="0"/>
          <w:color w:val="000000"/>
          <w:spacing w:val="0"/>
          <w:kern w:val="0"/>
          <w:sz w:val="28"/>
          <w:szCs w:val="28"/>
          <w:lang w:val="en-US" w:eastAsia="zh-CN" w:bidi="ar-SA"/>
        </w:rPr>
        <w:t>评审专家费用标准支付，由</w:t>
      </w:r>
      <w:r>
        <w:rPr>
          <w:rFonts w:hint="eastAsia" w:ascii="仿宋" w:hAnsi="仿宋" w:eastAsia="仿宋" w:cs="仿宋"/>
          <w:snapToGrid w:val="0"/>
          <w:color w:val="0000FF"/>
          <w:spacing w:val="0"/>
          <w:kern w:val="0"/>
          <w:sz w:val="28"/>
          <w:szCs w:val="28"/>
          <w:lang w:val="en-US" w:eastAsia="zh-CN" w:bidi="ar-SA"/>
        </w:rPr>
        <w:t>乙方</w:t>
      </w:r>
      <w:r>
        <w:rPr>
          <w:rFonts w:hint="eastAsia" w:ascii="仿宋" w:hAnsi="仿宋" w:eastAsia="仿宋" w:cs="仿宋"/>
          <w:snapToGrid w:val="0"/>
          <w:color w:val="000000"/>
          <w:spacing w:val="0"/>
          <w:kern w:val="0"/>
          <w:sz w:val="28"/>
          <w:szCs w:val="28"/>
          <w:lang w:val="en-US" w:eastAsia="zh-CN" w:bidi="ar-SA"/>
        </w:rPr>
        <w:t>先行垫付。</w:t>
      </w:r>
    </w:p>
    <w:p w14:paraId="4C5367D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eastAsia" w:ascii="仿宋" w:hAnsi="仿宋" w:eastAsia="仿宋" w:cs="仿宋"/>
          <w:snapToGrid w:val="0"/>
          <w:color w:val="auto"/>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三、评审专家评审费，按相关政策标准由</w:t>
      </w:r>
      <w:r>
        <w:rPr>
          <w:rFonts w:hint="eastAsia" w:ascii="仿宋" w:hAnsi="仿宋" w:eastAsia="仿宋" w:cs="仿宋"/>
          <w:snapToGrid w:val="0"/>
          <w:color w:val="0000FF"/>
          <w:spacing w:val="0"/>
          <w:kern w:val="0"/>
          <w:sz w:val="28"/>
          <w:szCs w:val="28"/>
          <w:lang w:val="en-US" w:eastAsia="zh-CN" w:bidi="ar-SA"/>
        </w:rPr>
        <w:t>项目</w:t>
      </w:r>
      <w:r>
        <w:rPr>
          <w:rFonts w:hint="eastAsia" w:ascii="仿宋" w:hAnsi="仿宋" w:eastAsia="仿宋" w:cs="仿宋"/>
          <w:snapToGrid w:val="0"/>
          <w:color w:val="000000"/>
          <w:spacing w:val="0"/>
          <w:kern w:val="0"/>
          <w:sz w:val="28"/>
          <w:szCs w:val="28"/>
          <w:lang w:val="en-US" w:eastAsia="zh-CN" w:bidi="ar-SA"/>
        </w:rPr>
        <w:t>中标人或</w:t>
      </w:r>
      <w:r>
        <w:rPr>
          <w:rFonts w:hint="eastAsia" w:ascii="仿宋" w:hAnsi="仿宋" w:eastAsia="仿宋" w:cs="仿宋"/>
          <w:snapToGrid w:val="0"/>
          <w:color w:val="auto"/>
          <w:spacing w:val="0"/>
          <w:kern w:val="0"/>
          <w:sz w:val="28"/>
          <w:szCs w:val="28"/>
          <w:lang w:val="en-US" w:eastAsia="zh-CN" w:bidi="ar-SA"/>
        </w:rPr>
        <w:t>甲方支付。（甲方支付的，由乙方先行垫付）。</w:t>
      </w:r>
    </w:p>
    <w:p w14:paraId="27785B6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eastAsia" w:ascii="仿宋" w:hAnsi="仿宋" w:eastAsia="仿宋" w:cs="仿宋"/>
          <w:snapToGrid w:val="0"/>
          <w:color w:val="auto"/>
          <w:spacing w:val="0"/>
          <w:kern w:val="0"/>
          <w:sz w:val="28"/>
          <w:szCs w:val="28"/>
          <w:lang w:val="en-US" w:eastAsia="zh-CN" w:bidi="ar-SA"/>
        </w:rPr>
      </w:pPr>
      <w:r>
        <w:rPr>
          <w:rFonts w:hint="eastAsia" w:ascii="仿宋" w:hAnsi="仿宋" w:eastAsia="仿宋" w:cs="仿宋"/>
          <w:snapToGrid w:val="0"/>
          <w:color w:val="auto"/>
          <w:spacing w:val="0"/>
          <w:kern w:val="0"/>
          <w:sz w:val="28"/>
          <w:szCs w:val="28"/>
          <w:lang w:val="en-US" w:eastAsia="zh-CN" w:bidi="ar-SA"/>
        </w:rPr>
        <w:t>四、乙方因项目废标等产生的成本费用（如差旅费等）由乙方自行承担，甲方不予补偿。</w:t>
      </w:r>
    </w:p>
    <w:p w14:paraId="2CD287A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default"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FF"/>
          <w:spacing w:val="0"/>
          <w:kern w:val="0"/>
          <w:sz w:val="28"/>
          <w:szCs w:val="28"/>
          <w:lang w:val="en-US" w:eastAsia="zh-CN" w:bidi="ar-SA"/>
        </w:rPr>
        <w:t>五、乙方承诺只收取</w:t>
      </w:r>
      <w:r>
        <w:rPr>
          <w:rFonts w:hint="eastAsia" w:ascii="仿宋" w:hAnsi="仿宋" w:eastAsia="仿宋" w:cs="仿宋"/>
          <w:snapToGrid w:val="0"/>
          <w:color w:val="0000FF"/>
          <w:spacing w:val="0"/>
          <w:kern w:val="0"/>
          <w:sz w:val="28"/>
          <w:szCs w:val="28"/>
          <w:highlight w:val="none"/>
          <w:lang w:val="en-US" w:eastAsia="zh-CN" w:bidi="ar-SA"/>
        </w:rPr>
        <w:t>本协议约定的代理服务费用</w:t>
      </w:r>
      <w:r>
        <w:rPr>
          <w:rFonts w:hint="eastAsia" w:ascii="仿宋" w:hAnsi="仿宋" w:eastAsia="仿宋" w:cs="仿宋"/>
          <w:snapToGrid w:val="0"/>
          <w:color w:val="0000FF"/>
          <w:spacing w:val="0"/>
          <w:kern w:val="0"/>
          <w:sz w:val="28"/>
          <w:szCs w:val="28"/>
          <w:lang w:val="en-US" w:eastAsia="zh-CN" w:bidi="ar-SA"/>
        </w:rPr>
        <w:t>及相关法律法规允许的费用。如因法律法规、规章、规范性文件发生变化，不允许收取相关费用，乙方应自法律法规、规章、规范性文件生效之日起停止收取该相关费用。</w:t>
      </w:r>
    </w:p>
    <w:p w14:paraId="7D09410C">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default"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六、在乙方完成本协议约定委托事项之日起10日内，共同对代理费及项目采购文件论证及评委评标费等费用进行结算。甲方在完成结算之日起60日内，将费用支付给乙方。但乙方应在甲方付款前，向甲方提供</w:t>
      </w:r>
      <w:r>
        <w:rPr>
          <w:rFonts w:hint="eastAsia" w:ascii="仿宋" w:hAnsi="仿宋" w:eastAsia="仿宋" w:cs="仿宋"/>
          <w:snapToGrid w:val="0"/>
          <w:color w:val="FF0000"/>
          <w:spacing w:val="0"/>
          <w:kern w:val="0"/>
          <w:sz w:val="28"/>
          <w:szCs w:val="28"/>
          <w:lang w:val="en-US" w:eastAsia="zh-CN" w:bidi="ar-SA"/>
        </w:rPr>
        <w:t>价税金额总额</w:t>
      </w:r>
      <w:r>
        <w:rPr>
          <w:rFonts w:hint="eastAsia" w:ascii="仿宋" w:hAnsi="仿宋" w:eastAsia="仿宋" w:cs="仿宋"/>
          <w:snapToGrid w:val="0"/>
          <w:color w:val="000000"/>
          <w:spacing w:val="0"/>
          <w:kern w:val="0"/>
          <w:sz w:val="28"/>
          <w:szCs w:val="28"/>
          <w:lang w:val="en-US" w:eastAsia="zh-CN" w:bidi="ar-SA"/>
        </w:rPr>
        <w:t>与付款金额等额的增值税</w:t>
      </w:r>
      <w:r>
        <w:rPr>
          <w:rFonts w:hint="eastAsia" w:ascii="仿宋" w:hAnsi="仿宋" w:eastAsia="仿宋" w:cs="仿宋"/>
          <w:snapToGrid w:val="0"/>
          <w:color w:val="FF0000"/>
          <w:spacing w:val="0"/>
          <w:kern w:val="0"/>
          <w:sz w:val="28"/>
          <w:szCs w:val="28"/>
          <w:lang w:val="en-US" w:eastAsia="zh-CN" w:bidi="ar-SA"/>
        </w:rPr>
        <w:t>普通</w:t>
      </w:r>
      <w:r>
        <w:rPr>
          <w:rFonts w:hint="eastAsia" w:ascii="仿宋" w:hAnsi="仿宋" w:eastAsia="仿宋" w:cs="仿宋"/>
          <w:snapToGrid w:val="0"/>
          <w:color w:val="000000"/>
          <w:spacing w:val="0"/>
          <w:kern w:val="0"/>
          <w:sz w:val="28"/>
          <w:szCs w:val="28"/>
          <w:lang w:val="en-US" w:eastAsia="zh-CN" w:bidi="ar-SA"/>
        </w:rPr>
        <w:t>发票，产生的税费由乙方自行承担；如乙方未按约定提供发票，甲方有权拒绝付款且不视为逾期付款，由此产生的不利后果由乙方自行承担。</w:t>
      </w:r>
    </w:p>
    <w:p w14:paraId="4231EA95">
      <w:pPr>
        <w:pStyle w:val="8"/>
        <w:keepNext w:val="0"/>
        <w:keepLines w:val="0"/>
        <w:pageBreakBefore w:val="0"/>
        <w:widowControl w:val="0"/>
        <w:kinsoku/>
        <w:wordWrap/>
        <w:overflowPunct/>
        <w:topLinePunct w:val="0"/>
        <w:autoSpaceDE w:val="0"/>
        <w:autoSpaceDN w:val="0"/>
        <w:bidi w:val="0"/>
        <w:adjustRightInd w:val="0"/>
        <w:snapToGrid w:val="0"/>
        <w:spacing w:line="480" w:lineRule="exact"/>
        <w:ind w:left="0" w:firstLine="562" w:firstLineChars="200"/>
        <w:jc w:val="both"/>
        <w:textAlignment w:val="baseline"/>
        <w:outlineLvl w:val="3"/>
        <w:rPr>
          <w:rFonts w:hint="eastAsia" w:ascii="仿宋" w:hAnsi="仿宋" w:eastAsia="仿宋" w:cs="仿宋"/>
          <w:b/>
          <w:bCs/>
          <w:snapToGrid w:val="0"/>
          <w:color w:val="000000"/>
          <w:spacing w:val="0"/>
          <w:kern w:val="0"/>
          <w:sz w:val="28"/>
          <w:szCs w:val="28"/>
          <w:lang w:val="en-US" w:eastAsia="en-US" w:bidi="ar-SA"/>
        </w:rPr>
      </w:pPr>
      <w:r>
        <w:rPr>
          <w:rFonts w:hint="eastAsia" w:ascii="仿宋" w:hAnsi="仿宋" w:eastAsia="仿宋" w:cs="仿宋"/>
          <w:b/>
          <w:bCs/>
          <w:snapToGrid w:val="0"/>
          <w:color w:val="000000"/>
          <w:spacing w:val="0"/>
          <w:kern w:val="0"/>
          <w:sz w:val="28"/>
          <w:szCs w:val="28"/>
          <w:lang w:val="en-US" w:eastAsia="en-US" w:bidi="ar-SA"/>
        </w:rPr>
        <w:t>第五条  甲方的权利和义务</w:t>
      </w:r>
    </w:p>
    <w:p w14:paraId="6414369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一</w:t>
      </w:r>
      <w:r>
        <w:rPr>
          <w:rFonts w:hint="eastAsia" w:ascii="仿宋" w:hAnsi="仿宋" w:eastAsia="仿宋" w:cs="仿宋"/>
          <w:snapToGrid w:val="0"/>
          <w:color w:val="000000"/>
          <w:spacing w:val="0"/>
          <w:kern w:val="0"/>
          <w:sz w:val="28"/>
          <w:szCs w:val="28"/>
          <w:lang w:val="en-US" w:eastAsia="zh-CN" w:bidi="ar-SA"/>
        </w:rPr>
        <w:t>、</w:t>
      </w:r>
      <w:r>
        <w:rPr>
          <w:rFonts w:hint="eastAsia" w:ascii="仿宋" w:hAnsi="仿宋" w:eastAsia="仿宋" w:cs="仿宋"/>
          <w:snapToGrid w:val="0"/>
          <w:color w:val="000000"/>
          <w:spacing w:val="0"/>
          <w:kern w:val="0"/>
          <w:sz w:val="28"/>
          <w:szCs w:val="28"/>
          <w:lang w:val="en-US" w:eastAsia="en-US" w:bidi="ar-SA"/>
        </w:rPr>
        <w:t>甲方的权利</w:t>
      </w:r>
    </w:p>
    <w:p w14:paraId="7BC5B14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(一)就委托的项目提出合法、合理的要求，指导并监督采购(招投标)的有关活动及过程。</w:t>
      </w:r>
    </w:p>
    <w:p w14:paraId="38510F2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(二)要求乙方及时提供代理工作阶段性的进展情况。</w:t>
      </w:r>
    </w:p>
    <w:p w14:paraId="6C1D1BB3">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(三)要求乙方更换不称职的人员或应回避的人员。</w:t>
      </w:r>
    </w:p>
    <w:p w14:paraId="7B2831B1">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(四)审查乙方编制的各种与</w:t>
      </w:r>
      <w:r>
        <w:rPr>
          <w:rFonts w:hint="eastAsia" w:ascii="仿宋" w:hAnsi="仿宋" w:eastAsia="仿宋" w:cs="仿宋"/>
          <w:snapToGrid w:val="0"/>
          <w:color w:val="000000"/>
          <w:spacing w:val="0"/>
          <w:kern w:val="0"/>
          <w:sz w:val="28"/>
          <w:szCs w:val="28"/>
          <w:lang w:val="en-US" w:eastAsia="zh-CN" w:bidi="ar-SA"/>
        </w:rPr>
        <w:t>招标采购</w:t>
      </w:r>
      <w:r>
        <w:rPr>
          <w:rFonts w:hint="eastAsia" w:ascii="仿宋" w:hAnsi="仿宋" w:eastAsia="仿宋" w:cs="仿宋"/>
          <w:snapToGrid w:val="0"/>
          <w:color w:val="000000"/>
          <w:spacing w:val="0"/>
          <w:kern w:val="0"/>
          <w:sz w:val="28"/>
          <w:szCs w:val="28"/>
          <w:lang w:val="en-US" w:eastAsia="en-US" w:bidi="ar-SA"/>
        </w:rPr>
        <w:t>有关的文件，并提出修正意见。</w:t>
      </w:r>
    </w:p>
    <w:p w14:paraId="25287D83">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(五)要求乙方提交</w:t>
      </w:r>
      <w:r>
        <w:rPr>
          <w:rFonts w:hint="eastAsia" w:ascii="仿宋" w:hAnsi="仿宋" w:eastAsia="仿宋" w:cs="仿宋"/>
          <w:snapToGrid w:val="0"/>
          <w:color w:val="000000"/>
          <w:spacing w:val="0"/>
          <w:kern w:val="0"/>
          <w:sz w:val="28"/>
          <w:szCs w:val="28"/>
          <w:lang w:val="en-US" w:eastAsia="zh-CN" w:bidi="ar-SA"/>
        </w:rPr>
        <w:t>招标采购</w:t>
      </w:r>
      <w:r>
        <w:rPr>
          <w:rFonts w:hint="eastAsia" w:ascii="仿宋" w:hAnsi="仿宋" w:eastAsia="仿宋" w:cs="仿宋"/>
          <w:snapToGrid w:val="0"/>
          <w:color w:val="000000"/>
          <w:spacing w:val="0"/>
          <w:kern w:val="0"/>
          <w:sz w:val="28"/>
          <w:szCs w:val="28"/>
          <w:lang w:val="en-US" w:eastAsia="en-US" w:bidi="ar-SA"/>
        </w:rPr>
        <w:t>代理工作报告。</w:t>
      </w:r>
    </w:p>
    <w:p w14:paraId="2DA64E7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(六)有权使用和复制乙方编制的</w:t>
      </w:r>
      <w:r>
        <w:rPr>
          <w:rFonts w:hint="eastAsia" w:ascii="仿宋" w:hAnsi="仿宋" w:eastAsia="仿宋" w:cs="仿宋"/>
          <w:snapToGrid w:val="0"/>
          <w:color w:val="000000"/>
          <w:spacing w:val="0"/>
          <w:kern w:val="0"/>
          <w:sz w:val="28"/>
          <w:szCs w:val="28"/>
          <w:lang w:val="en-US" w:eastAsia="zh-CN" w:bidi="ar-SA"/>
        </w:rPr>
        <w:t>招标采购</w:t>
      </w:r>
      <w:r>
        <w:rPr>
          <w:rFonts w:hint="eastAsia" w:ascii="仿宋" w:hAnsi="仿宋" w:eastAsia="仿宋" w:cs="仿宋"/>
          <w:snapToGrid w:val="0"/>
          <w:color w:val="000000"/>
          <w:spacing w:val="0"/>
          <w:kern w:val="0"/>
          <w:sz w:val="28"/>
          <w:szCs w:val="28"/>
          <w:lang w:val="en-US" w:eastAsia="en-US" w:bidi="ar-SA"/>
        </w:rPr>
        <w:t>文件。</w:t>
      </w:r>
    </w:p>
    <w:p w14:paraId="635000CC">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(七)按照法律的规定确定中标(中选)人。</w:t>
      </w:r>
    </w:p>
    <w:p w14:paraId="03D0B3B4">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w:t>
      </w:r>
      <w:r>
        <w:rPr>
          <w:rFonts w:hint="eastAsia" w:ascii="仿宋" w:hAnsi="仿宋" w:eastAsia="仿宋" w:cs="仿宋"/>
          <w:snapToGrid w:val="0"/>
          <w:color w:val="000000"/>
          <w:spacing w:val="0"/>
          <w:kern w:val="0"/>
          <w:sz w:val="28"/>
          <w:szCs w:val="28"/>
          <w:lang w:val="en-US" w:eastAsia="zh-CN" w:bidi="ar-SA"/>
        </w:rPr>
        <w:t>八</w:t>
      </w:r>
      <w:r>
        <w:rPr>
          <w:rFonts w:hint="eastAsia" w:ascii="仿宋" w:hAnsi="仿宋" w:eastAsia="仿宋" w:cs="仿宋"/>
          <w:snapToGrid w:val="0"/>
          <w:color w:val="000000"/>
          <w:spacing w:val="0"/>
          <w:kern w:val="0"/>
          <w:sz w:val="28"/>
          <w:szCs w:val="28"/>
          <w:lang w:val="en-US" w:eastAsia="en-US" w:bidi="ar-SA"/>
        </w:rPr>
        <w:t>)甲方招标办对乙方进行代理工作</w:t>
      </w:r>
      <w:r>
        <w:rPr>
          <w:rFonts w:hint="eastAsia" w:ascii="仿宋" w:hAnsi="仿宋" w:eastAsia="仿宋" w:cs="仿宋"/>
          <w:snapToGrid w:val="0"/>
          <w:color w:val="0000FF"/>
          <w:spacing w:val="0"/>
          <w:kern w:val="0"/>
          <w:sz w:val="28"/>
          <w:szCs w:val="28"/>
          <w:lang w:val="en-US" w:eastAsia="zh-CN" w:bidi="ar-SA"/>
        </w:rPr>
        <w:t>考核</w:t>
      </w:r>
      <w:r>
        <w:rPr>
          <w:rFonts w:hint="eastAsia" w:ascii="仿宋" w:hAnsi="仿宋" w:eastAsia="仿宋" w:cs="仿宋"/>
          <w:snapToGrid w:val="0"/>
          <w:color w:val="000000"/>
          <w:spacing w:val="0"/>
          <w:kern w:val="0"/>
          <w:sz w:val="28"/>
          <w:szCs w:val="28"/>
          <w:lang w:val="en-US" w:eastAsia="en-US" w:bidi="ar-SA"/>
        </w:rPr>
        <w:t>，监督乙方工作</w:t>
      </w:r>
      <w:r>
        <w:rPr>
          <w:rFonts w:hint="eastAsia" w:ascii="仿宋" w:hAnsi="仿宋" w:eastAsia="仿宋" w:cs="仿宋"/>
          <w:snapToGrid w:val="0"/>
          <w:color w:val="000000"/>
          <w:spacing w:val="0"/>
          <w:kern w:val="0"/>
          <w:sz w:val="28"/>
          <w:szCs w:val="28"/>
          <w:lang w:val="en-US" w:eastAsia="zh-CN" w:bidi="ar-SA"/>
        </w:rPr>
        <w:t>，</w:t>
      </w:r>
      <w:r>
        <w:rPr>
          <w:rFonts w:hint="eastAsia" w:ascii="仿宋" w:hAnsi="仿宋" w:eastAsia="仿宋" w:cs="仿宋"/>
          <w:snapToGrid w:val="0"/>
          <w:color w:val="000000"/>
          <w:spacing w:val="0"/>
          <w:kern w:val="0"/>
          <w:sz w:val="28"/>
          <w:szCs w:val="28"/>
          <w:highlight w:val="none"/>
          <w:lang w:val="en-US" w:eastAsia="en-US" w:bidi="ar-SA"/>
        </w:rPr>
        <w:t>如乙方经</w:t>
      </w:r>
      <w:r>
        <w:rPr>
          <w:rFonts w:hint="eastAsia" w:ascii="仿宋" w:hAnsi="仿宋" w:eastAsia="仿宋" w:cs="仿宋"/>
          <w:snapToGrid w:val="0"/>
          <w:color w:val="0000FF"/>
          <w:spacing w:val="0"/>
          <w:kern w:val="0"/>
          <w:sz w:val="28"/>
          <w:szCs w:val="28"/>
          <w:highlight w:val="none"/>
          <w:lang w:val="en-US" w:eastAsia="zh-CN" w:bidi="ar-SA"/>
        </w:rPr>
        <w:t>考核</w:t>
      </w:r>
      <w:r>
        <w:rPr>
          <w:rFonts w:hint="eastAsia" w:ascii="仿宋" w:hAnsi="仿宋" w:eastAsia="仿宋" w:cs="仿宋"/>
          <w:snapToGrid w:val="0"/>
          <w:color w:val="000000"/>
          <w:spacing w:val="0"/>
          <w:kern w:val="0"/>
          <w:sz w:val="28"/>
          <w:szCs w:val="28"/>
          <w:highlight w:val="none"/>
          <w:lang w:val="en-US" w:eastAsia="en-US" w:bidi="ar-SA"/>
        </w:rPr>
        <w:t>为不合格，甲方有权单方解除本</w:t>
      </w:r>
      <w:r>
        <w:rPr>
          <w:rFonts w:hint="eastAsia" w:ascii="仿宋" w:hAnsi="仿宋" w:eastAsia="仿宋" w:cs="仿宋"/>
          <w:snapToGrid w:val="0"/>
          <w:color w:val="000000"/>
          <w:spacing w:val="0"/>
          <w:kern w:val="0"/>
          <w:sz w:val="28"/>
          <w:szCs w:val="28"/>
          <w:highlight w:val="none"/>
          <w:lang w:val="en-US" w:eastAsia="zh-CN" w:bidi="ar-SA"/>
        </w:rPr>
        <w:t>协议</w:t>
      </w:r>
      <w:r>
        <w:rPr>
          <w:rFonts w:hint="eastAsia" w:ascii="仿宋" w:hAnsi="仿宋" w:eastAsia="仿宋" w:cs="仿宋"/>
          <w:snapToGrid w:val="0"/>
          <w:color w:val="000000"/>
          <w:spacing w:val="0"/>
          <w:kern w:val="0"/>
          <w:sz w:val="28"/>
          <w:szCs w:val="28"/>
          <w:highlight w:val="none"/>
          <w:lang w:val="en-US" w:eastAsia="en-US" w:bidi="ar-SA"/>
        </w:rPr>
        <w:t>。</w:t>
      </w:r>
    </w:p>
    <w:p w14:paraId="5F0E0589">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二</w:t>
      </w:r>
      <w:r>
        <w:rPr>
          <w:rFonts w:hint="eastAsia" w:ascii="仿宋" w:hAnsi="仿宋" w:eastAsia="仿宋" w:cs="仿宋"/>
          <w:snapToGrid w:val="0"/>
          <w:color w:val="000000"/>
          <w:spacing w:val="0"/>
          <w:kern w:val="0"/>
          <w:sz w:val="28"/>
          <w:szCs w:val="28"/>
          <w:lang w:val="en-US" w:eastAsia="zh-CN" w:bidi="ar-SA"/>
        </w:rPr>
        <w:t>、</w:t>
      </w:r>
      <w:r>
        <w:rPr>
          <w:rFonts w:hint="eastAsia" w:ascii="仿宋" w:hAnsi="仿宋" w:eastAsia="仿宋" w:cs="仿宋"/>
          <w:snapToGrid w:val="0"/>
          <w:color w:val="000000"/>
          <w:spacing w:val="0"/>
          <w:kern w:val="0"/>
          <w:sz w:val="28"/>
          <w:szCs w:val="28"/>
          <w:lang w:val="en-US" w:eastAsia="en-US" w:bidi="ar-SA"/>
        </w:rPr>
        <w:t>甲方的义务</w:t>
      </w:r>
    </w:p>
    <w:p w14:paraId="24B27B71">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(一)及时向乙方提出代理的具体任务和提供完成代理招标采购业务所需的全部文件和资料，并对所提供文件和资料的真实性、完整性和准确性负责，甲方委托乙方自行取得的文件资料除外。</w:t>
      </w:r>
    </w:p>
    <w:p w14:paraId="38D0FF1D">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(二)负责组织相关项目单位按时编写招标采购文件的技术部分，参与评标(评审)和定标工作。</w:t>
      </w:r>
    </w:p>
    <w:p w14:paraId="614289B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(三)不得指定投标人(供应商)或指定产品品牌、型号，不得提出含有倾向性或者排斥潜在投标人(供应商)的要求。</w:t>
      </w:r>
    </w:p>
    <w:p w14:paraId="070BA66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(四)配合乙方做好</w:t>
      </w:r>
      <w:r>
        <w:rPr>
          <w:rFonts w:hint="eastAsia" w:ascii="仿宋" w:hAnsi="仿宋" w:eastAsia="仿宋" w:cs="仿宋"/>
          <w:snapToGrid w:val="0"/>
          <w:color w:val="000000"/>
          <w:spacing w:val="0"/>
          <w:kern w:val="0"/>
          <w:sz w:val="28"/>
          <w:szCs w:val="28"/>
          <w:lang w:val="en-US" w:eastAsia="zh-CN" w:bidi="ar-SA"/>
        </w:rPr>
        <w:t>招标采购</w:t>
      </w:r>
      <w:r>
        <w:rPr>
          <w:rFonts w:hint="eastAsia" w:ascii="仿宋" w:hAnsi="仿宋" w:eastAsia="仿宋" w:cs="仿宋"/>
          <w:snapToGrid w:val="0"/>
          <w:color w:val="000000"/>
          <w:spacing w:val="0"/>
          <w:kern w:val="0"/>
          <w:sz w:val="28"/>
          <w:szCs w:val="28"/>
          <w:lang w:val="en-US" w:eastAsia="en-US" w:bidi="ar-SA"/>
        </w:rPr>
        <w:t>文件编制、澄清、答疑和修改工作，并对乙方编制的</w:t>
      </w:r>
      <w:r>
        <w:rPr>
          <w:rFonts w:hint="eastAsia" w:ascii="仿宋" w:hAnsi="仿宋" w:eastAsia="仿宋" w:cs="仿宋"/>
          <w:snapToGrid w:val="0"/>
          <w:color w:val="000000"/>
          <w:spacing w:val="0"/>
          <w:kern w:val="0"/>
          <w:sz w:val="28"/>
          <w:szCs w:val="28"/>
          <w:lang w:val="en-US" w:eastAsia="zh-CN" w:bidi="ar-SA"/>
        </w:rPr>
        <w:t>招标采购</w:t>
      </w:r>
      <w:r>
        <w:rPr>
          <w:rFonts w:hint="eastAsia" w:ascii="仿宋" w:hAnsi="仿宋" w:eastAsia="仿宋" w:cs="仿宋"/>
          <w:snapToGrid w:val="0"/>
          <w:color w:val="000000"/>
          <w:spacing w:val="0"/>
          <w:kern w:val="0"/>
          <w:sz w:val="28"/>
          <w:szCs w:val="28"/>
          <w:lang w:val="en-US" w:eastAsia="en-US" w:bidi="ar-SA"/>
        </w:rPr>
        <w:t>文件及有关澄清、修改内容予以确认。</w:t>
      </w:r>
    </w:p>
    <w:p w14:paraId="4FE3ABF1">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(五)配合乙方组建评标(评审)委员会，指派相关人员参与抽取评标(评审)专家，监督</w:t>
      </w:r>
      <w:r>
        <w:rPr>
          <w:rFonts w:hint="eastAsia" w:ascii="仿宋" w:hAnsi="仿宋" w:eastAsia="仿宋" w:cs="仿宋"/>
          <w:snapToGrid w:val="0"/>
          <w:color w:val="000000"/>
          <w:spacing w:val="0"/>
          <w:kern w:val="0"/>
          <w:sz w:val="28"/>
          <w:szCs w:val="28"/>
          <w:lang w:val="en-US" w:eastAsia="zh-CN" w:bidi="ar-SA"/>
        </w:rPr>
        <w:t>招标采购</w:t>
      </w:r>
      <w:r>
        <w:rPr>
          <w:rFonts w:hint="eastAsia" w:ascii="仿宋" w:hAnsi="仿宋" w:eastAsia="仿宋" w:cs="仿宋"/>
          <w:snapToGrid w:val="0"/>
          <w:color w:val="000000"/>
          <w:spacing w:val="0"/>
          <w:kern w:val="0"/>
          <w:sz w:val="28"/>
          <w:szCs w:val="28"/>
          <w:lang w:val="en-US" w:eastAsia="en-US" w:bidi="ar-SA"/>
        </w:rPr>
        <w:t>过程。</w:t>
      </w:r>
    </w:p>
    <w:p w14:paraId="70F6B061">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(六)委派代表参加评标(评审)委员会，依法参与评标(评审)活动，不得非法干预、影响评标(评审)过程和结果。</w:t>
      </w:r>
    </w:p>
    <w:p w14:paraId="24440960">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(七)保守评标(评审)过程中的有关秘密。</w:t>
      </w:r>
    </w:p>
    <w:p w14:paraId="0640623D">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2" w:firstLineChars="200"/>
        <w:jc w:val="both"/>
        <w:textAlignment w:val="baseline"/>
        <w:outlineLvl w:val="3"/>
        <w:rPr>
          <w:b/>
          <w:bCs/>
          <w:spacing w:val="0"/>
          <w:sz w:val="28"/>
          <w:szCs w:val="28"/>
        </w:rPr>
      </w:pPr>
      <w:r>
        <w:rPr>
          <w:b/>
          <w:bCs/>
          <w:spacing w:val="0"/>
          <w:sz w:val="28"/>
          <w:szCs w:val="28"/>
        </w:rPr>
        <w:t>第六条  乙方的权利和义务</w:t>
      </w:r>
    </w:p>
    <w:p w14:paraId="1490C9C4">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一</w:t>
      </w:r>
      <w:r>
        <w:rPr>
          <w:rFonts w:hint="eastAsia" w:ascii="仿宋" w:hAnsi="仿宋" w:eastAsia="仿宋" w:cs="仿宋"/>
          <w:snapToGrid w:val="0"/>
          <w:color w:val="000000"/>
          <w:spacing w:val="0"/>
          <w:kern w:val="0"/>
          <w:sz w:val="28"/>
          <w:szCs w:val="28"/>
          <w:lang w:val="en-US" w:eastAsia="zh-CN" w:bidi="ar-SA"/>
        </w:rPr>
        <w:t>、</w:t>
      </w:r>
      <w:r>
        <w:rPr>
          <w:rFonts w:hint="eastAsia" w:ascii="仿宋" w:hAnsi="仿宋" w:eastAsia="仿宋" w:cs="仿宋"/>
          <w:snapToGrid w:val="0"/>
          <w:color w:val="000000"/>
          <w:spacing w:val="0"/>
          <w:kern w:val="0"/>
          <w:sz w:val="28"/>
          <w:szCs w:val="28"/>
          <w:lang w:val="en-US" w:eastAsia="en-US" w:bidi="ar-SA"/>
        </w:rPr>
        <w:t>乙方的权利</w:t>
      </w:r>
    </w:p>
    <w:p w14:paraId="6E44265D">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(一)有权拒绝甲方提出的违法要求。</w:t>
      </w:r>
    </w:p>
    <w:p w14:paraId="04DDD5B8">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(二)有权接受</w:t>
      </w:r>
      <w:r>
        <w:rPr>
          <w:rFonts w:hint="eastAsia" w:ascii="仿宋" w:hAnsi="仿宋" w:eastAsia="仿宋" w:cs="仿宋"/>
          <w:snapToGrid w:val="0"/>
          <w:color w:val="000000"/>
          <w:spacing w:val="0"/>
          <w:kern w:val="0"/>
          <w:sz w:val="28"/>
          <w:szCs w:val="28"/>
          <w:lang w:val="en-US" w:eastAsia="zh-CN" w:bidi="ar-SA"/>
        </w:rPr>
        <w:t>招标采购</w:t>
      </w:r>
      <w:r>
        <w:rPr>
          <w:rFonts w:hint="eastAsia" w:ascii="仿宋" w:hAnsi="仿宋" w:eastAsia="仿宋" w:cs="仿宋"/>
          <w:snapToGrid w:val="0"/>
          <w:color w:val="000000"/>
          <w:spacing w:val="0"/>
          <w:kern w:val="0"/>
          <w:sz w:val="28"/>
          <w:szCs w:val="28"/>
          <w:lang w:val="en-US" w:eastAsia="en-US" w:bidi="ar-SA"/>
        </w:rPr>
        <w:t>文件。需要时，在经甲方同意后可通知投标人(供应商)延长投标(报价)有效期。</w:t>
      </w:r>
    </w:p>
    <w:p w14:paraId="3C475FBF">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二</w:t>
      </w:r>
      <w:r>
        <w:rPr>
          <w:rFonts w:hint="eastAsia" w:ascii="仿宋" w:hAnsi="仿宋" w:eastAsia="仿宋" w:cs="仿宋"/>
          <w:snapToGrid w:val="0"/>
          <w:color w:val="000000"/>
          <w:spacing w:val="0"/>
          <w:kern w:val="0"/>
          <w:sz w:val="28"/>
          <w:szCs w:val="28"/>
          <w:lang w:val="en-US" w:eastAsia="zh-CN" w:bidi="ar-SA"/>
        </w:rPr>
        <w:t>、</w:t>
      </w:r>
      <w:r>
        <w:rPr>
          <w:rFonts w:hint="eastAsia" w:ascii="仿宋" w:hAnsi="仿宋" w:eastAsia="仿宋" w:cs="仿宋"/>
          <w:snapToGrid w:val="0"/>
          <w:color w:val="000000"/>
          <w:spacing w:val="0"/>
          <w:kern w:val="0"/>
          <w:sz w:val="28"/>
          <w:szCs w:val="28"/>
          <w:lang w:val="en-US" w:eastAsia="en-US" w:bidi="ar-SA"/>
        </w:rPr>
        <w:t>乙方的义务</w:t>
      </w:r>
    </w:p>
    <w:p w14:paraId="7C2F1E96">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(一)应在本协议约定的代理范围内，</w:t>
      </w:r>
      <w:r>
        <w:rPr>
          <w:rFonts w:hint="eastAsia" w:ascii="仿宋" w:hAnsi="仿宋" w:eastAsia="仿宋" w:cs="仿宋"/>
          <w:snapToGrid w:val="0"/>
          <w:color w:val="000000"/>
          <w:spacing w:val="0"/>
          <w:kern w:val="0"/>
          <w:sz w:val="28"/>
          <w:szCs w:val="28"/>
          <w:lang w:val="en-US" w:eastAsia="zh-CN" w:bidi="ar-SA"/>
        </w:rPr>
        <w:t>按照甲方服务时间和服务质量要求</w:t>
      </w:r>
      <w:r>
        <w:rPr>
          <w:rFonts w:hint="eastAsia" w:ascii="仿宋" w:hAnsi="仿宋" w:eastAsia="仿宋" w:cs="仿宋"/>
          <w:snapToGrid w:val="0"/>
          <w:color w:val="000000"/>
          <w:spacing w:val="0"/>
          <w:kern w:val="0"/>
          <w:sz w:val="28"/>
          <w:szCs w:val="28"/>
          <w:lang w:val="en-US" w:eastAsia="en-US" w:bidi="ar-SA"/>
        </w:rPr>
        <w:t>依法提供代理服务，</w:t>
      </w:r>
      <w:r>
        <w:rPr>
          <w:rFonts w:hint="eastAsia" w:ascii="仿宋" w:hAnsi="仿宋" w:eastAsia="仿宋" w:cs="仿宋"/>
          <w:snapToGrid w:val="0"/>
          <w:color w:val="000000"/>
          <w:spacing w:val="0"/>
          <w:kern w:val="0"/>
          <w:sz w:val="28"/>
          <w:szCs w:val="28"/>
          <w:lang w:val="en-US" w:eastAsia="zh-CN" w:bidi="ar-SA"/>
        </w:rPr>
        <w:t>并按投标文件承诺提供增值服务（增值服务方案见附件），</w:t>
      </w:r>
      <w:r>
        <w:rPr>
          <w:rFonts w:hint="eastAsia" w:ascii="仿宋" w:hAnsi="仿宋" w:eastAsia="仿宋" w:cs="仿宋"/>
          <w:snapToGrid w:val="0"/>
          <w:color w:val="000000"/>
          <w:spacing w:val="0"/>
          <w:kern w:val="0"/>
          <w:sz w:val="28"/>
          <w:szCs w:val="28"/>
          <w:lang w:val="en-US" w:eastAsia="en-US" w:bidi="ar-SA"/>
        </w:rPr>
        <w:t>积极维护甲方的合法权益，勤勉、尽责地为甲方做好</w:t>
      </w:r>
      <w:r>
        <w:rPr>
          <w:rFonts w:hint="eastAsia" w:ascii="仿宋" w:hAnsi="仿宋" w:eastAsia="仿宋" w:cs="仿宋"/>
          <w:snapToGrid w:val="0"/>
          <w:color w:val="000000"/>
          <w:spacing w:val="0"/>
          <w:kern w:val="0"/>
          <w:sz w:val="28"/>
          <w:szCs w:val="28"/>
          <w:lang w:val="en-US" w:eastAsia="zh-CN" w:bidi="ar-SA"/>
        </w:rPr>
        <w:t>招标采购</w:t>
      </w:r>
      <w:r>
        <w:rPr>
          <w:rFonts w:hint="eastAsia" w:ascii="仿宋" w:hAnsi="仿宋" w:eastAsia="仿宋" w:cs="仿宋"/>
          <w:snapToGrid w:val="0"/>
          <w:color w:val="000000"/>
          <w:spacing w:val="0"/>
          <w:kern w:val="0"/>
          <w:sz w:val="28"/>
          <w:szCs w:val="28"/>
          <w:lang w:val="en-US" w:eastAsia="en-US" w:bidi="ar-SA"/>
        </w:rPr>
        <w:t>代理服务工作。</w:t>
      </w:r>
    </w:p>
    <w:p w14:paraId="20188E95">
      <w:pPr>
        <w:pStyle w:val="9"/>
        <w:keepNext w:val="0"/>
        <w:keepLines w:val="0"/>
        <w:pageBreakBefore w:val="0"/>
        <w:widowControl/>
        <w:kinsoku w:val="0"/>
        <w:wordWrap/>
        <w:overflowPunct/>
        <w:topLinePunct w:val="0"/>
        <w:autoSpaceDE w:val="0"/>
        <w:autoSpaceDN w:val="0"/>
        <w:bidi w:val="0"/>
        <w:adjustRightInd w:val="0"/>
        <w:snapToGrid w:val="0"/>
        <w:spacing w:after="0" w:line="480" w:lineRule="exact"/>
        <w:ind w:left="0" w:leftChars="0" w:firstLine="560" w:firstLineChars="200"/>
        <w:jc w:val="both"/>
        <w:textAlignment w:val="baseline"/>
        <w:rPr>
          <w:rFonts w:hint="eastAsia" w:ascii="仿宋" w:hAnsi="仿宋" w:eastAsia="仿宋" w:cs="仿宋"/>
          <w:snapToGrid w:val="0"/>
          <w:color w:val="0000FF"/>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（二）</w:t>
      </w:r>
      <w:r>
        <w:rPr>
          <w:rFonts w:hint="eastAsia" w:ascii="仿宋" w:hAnsi="仿宋" w:eastAsia="仿宋" w:cs="仿宋"/>
          <w:snapToGrid w:val="0"/>
          <w:color w:val="0000FF"/>
          <w:spacing w:val="0"/>
          <w:kern w:val="0"/>
          <w:sz w:val="28"/>
          <w:szCs w:val="28"/>
          <w:lang w:val="en-US" w:eastAsia="zh-CN" w:bidi="ar-SA"/>
        </w:rPr>
        <w:t>根据甲方要求无条件免费提供符合相关法律法规规定的开标服务，包括开标场所、录音录像、提供评委库供采购人抽取评委等，如甲方要求在娄底市区线下开标，乙方也应免费提供相关服务。</w:t>
      </w:r>
    </w:p>
    <w:p w14:paraId="57688083">
      <w:pPr>
        <w:pStyle w:val="10"/>
        <w:keepNext w:val="0"/>
        <w:keepLines w:val="0"/>
        <w:pageBreakBefore w:val="0"/>
        <w:widowControl/>
        <w:kinsoku w:val="0"/>
        <w:wordWrap/>
        <w:overflowPunct/>
        <w:topLinePunct w:val="0"/>
        <w:autoSpaceDE w:val="0"/>
        <w:autoSpaceDN w:val="0"/>
        <w:bidi w:val="0"/>
        <w:adjustRightInd w:val="0"/>
        <w:snapToGrid w:val="0"/>
        <w:spacing w:line="480" w:lineRule="exact"/>
        <w:ind w:firstLine="560" w:firstLineChars="200"/>
        <w:jc w:val="both"/>
        <w:textAlignment w:val="baseline"/>
        <w:rPr>
          <w:rFonts w:hint="eastAsia" w:ascii="仿宋" w:hAnsi="仿宋" w:eastAsia="仿宋" w:cs="仿宋"/>
          <w:snapToGrid w:val="0"/>
          <w:color w:val="0000FF"/>
          <w:spacing w:val="0"/>
          <w:kern w:val="0"/>
          <w:sz w:val="28"/>
          <w:szCs w:val="28"/>
          <w:lang w:val="en-US" w:eastAsia="zh-CN" w:bidi="ar-SA"/>
        </w:rPr>
      </w:pPr>
      <w:r>
        <w:rPr>
          <w:rFonts w:hint="eastAsia" w:ascii="仿宋" w:hAnsi="仿宋" w:eastAsia="仿宋" w:cs="仿宋"/>
          <w:color w:val="0000FF"/>
          <w:spacing w:val="0"/>
          <w:sz w:val="28"/>
          <w:szCs w:val="28"/>
        </w:rPr>
        <w:t>□</w:t>
      </w:r>
      <w:r>
        <w:rPr>
          <w:rFonts w:hint="eastAsia" w:ascii="仿宋" w:hAnsi="仿宋" w:eastAsia="仿宋" w:cs="仿宋"/>
          <w:snapToGrid w:val="0"/>
          <w:color w:val="0000FF"/>
          <w:spacing w:val="0"/>
          <w:kern w:val="0"/>
          <w:sz w:val="28"/>
          <w:szCs w:val="28"/>
          <w:lang w:val="en-US" w:eastAsia="zh-CN" w:bidi="ar-SA"/>
        </w:rPr>
        <w:t>乙方在履行医用试剂、医用耗材项目招标（采购）代理任务时必须无条件免费提供符合相关法律法规规定的电子招投标平台，并提供招投标全套资料的电子版本和纸质版本。</w:t>
      </w:r>
    </w:p>
    <w:p w14:paraId="016B9667">
      <w:pPr>
        <w:pStyle w:val="8"/>
        <w:keepNext w:val="0"/>
        <w:keepLines w:val="0"/>
        <w:pageBreakBefore w:val="0"/>
        <w:widowControl w:val="0"/>
        <w:kinsoku/>
        <w:wordWrap/>
        <w:overflowPunct/>
        <w:topLinePunct w:val="0"/>
        <w:autoSpaceDE w:val="0"/>
        <w:autoSpaceDN w:val="0"/>
        <w:bidi w:val="0"/>
        <w:adjustRightInd w:val="0"/>
        <w:snapToGrid w:val="0"/>
        <w:spacing w:line="480" w:lineRule="exact"/>
        <w:ind w:left="0" w:leftChars="0"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w:t>
      </w:r>
      <w:r>
        <w:rPr>
          <w:rFonts w:hint="eastAsia" w:cs="仿宋"/>
          <w:snapToGrid w:val="0"/>
          <w:color w:val="000000"/>
          <w:spacing w:val="0"/>
          <w:kern w:val="0"/>
          <w:sz w:val="28"/>
          <w:szCs w:val="28"/>
          <w:lang w:val="en-US" w:eastAsia="zh-CN" w:bidi="ar-SA"/>
        </w:rPr>
        <w:t>三</w:t>
      </w:r>
      <w:r>
        <w:rPr>
          <w:rFonts w:hint="eastAsia" w:ascii="仿宋" w:hAnsi="仿宋" w:eastAsia="仿宋" w:cs="仿宋"/>
          <w:snapToGrid w:val="0"/>
          <w:color w:val="000000"/>
          <w:spacing w:val="0"/>
          <w:kern w:val="0"/>
          <w:sz w:val="28"/>
          <w:szCs w:val="28"/>
          <w:lang w:val="en-US" w:eastAsia="en-US" w:bidi="ar-SA"/>
        </w:rPr>
        <w:t>)不得将本协议约定的权利义务</w:t>
      </w:r>
      <w:r>
        <w:rPr>
          <w:rFonts w:hint="eastAsia" w:ascii="仿宋" w:hAnsi="仿宋" w:eastAsia="仿宋" w:cs="仿宋"/>
          <w:snapToGrid w:val="0"/>
          <w:color w:val="0000FF"/>
          <w:spacing w:val="0"/>
          <w:kern w:val="0"/>
          <w:sz w:val="28"/>
          <w:szCs w:val="28"/>
          <w:lang w:val="en-US" w:eastAsia="en-US" w:bidi="ar-SA"/>
        </w:rPr>
        <w:t>全部或部分转让</w:t>
      </w:r>
      <w:r>
        <w:rPr>
          <w:rFonts w:hint="eastAsia" w:ascii="仿宋" w:hAnsi="仿宋" w:eastAsia="仿宋" w:cs="仿宋"/>
          <w:snapToGrid w:val="0"/>
          <w:color w:val="000000"/>
          <w:spacing w:val="0"/>
          <w:kern w:val="0"/>
          <w:sz w:val="28"/>
          <w:szCs w:val="28"/>
          <w:lang w:val="en-US" w:eastAsia="en-US" w:bidi="ar-SA"/>
        </w:rPr>
        <w:t>给第三方。</w:t>
      </w:r>
    </w:p>
    <w:p w14:paraId="3837386D">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w:t>
      </w:r>
      <w:r>
        <w:rPr>
          <w:rFonts w:hint="eastAsia" w:ascii="仿宋" w:hAnsi="仿宋" w:eastAsia="仿宋" w:cs="仿宋"/>
          <w:snapToGrid w:val="0"/>
          <w:color w:val="000000"/>
          <w:spacing w:val="0"/>
          <w:kern w:val="0"/>
          <w:sz w:val="28"/>
          <w:szCs w:val="28"/>
          <w:lang w:val="en-US" w:eastAsia="zh-CN" w:bidi="ar-SA"/>
        </w:rPr>
        <w:t>四</w:t>
      </w:r>
      <w:r>
        <w:rPr>
          <w:rFonts w:hint="eastAsia" w:ascii="仿宋" w:hAnsi="仿宋" w:eastAsia="仿宋" w:cs="仿宋"/>
          <w:snapToGrid w:val="0"/>
          <w:color w:val="000000"/>
          <w:spacing w:val="0"/>
          <w:kern w:val="0"/>
          <w:sz w:val="28"/>
          <w:szCs w:val="28"/>
          <w:lang w:val="en-US" w:eastAsia="en-US" w:bidi="ar-SA"/>
        </w:rPr>
        <w:t>)</w:t>
      </w:r>
      <w:r>
        <w:rPr>
          <w:rFonts w:hint="eastAsia" w:ascii="仿宋" w:hAnsi="仿宋" w:eastAsia="仿宋" w:cs="仿宋"/>
          <w:snapToGrid w:val="0"/>
          <w:color w:val="000000"/>
          <w:spacing w:val="0"/>
          <w:kern w:val="0"/>
          <w:sz w:val="28"/>
          <w:szCs w:val="28"/>
          <w:lang w:val="en-US" w:eastAsia="zh-CN" w:bidi="ar-SA"/>
        </w:rPr>
        <w:t>组织不少于3人的项目组负责与乙方联系代理工作，按乙方投标文件提供的名单</w:t>
      </w:r>
      <w:r>
        <w:rPr>
          <w:rFonts w:hint="eastAsia" w:ascii="仿宋" w:hAnsi="仿宋" w:eastAsia="仿宋" w:cs="仿宋"/>
          <w:snapToGrid w:val="0"/>
          <w:color w:val="000000"/>
          <w:spacing w:val="0"/>
          <w:kern w:val="0"/>
          <w:sz w:val="28"/>
          <w:szCs w:val="28"/>
          <w:lang w:val="en-US" w:eastAsia="en-US" w:bidi="ar-SA"/>
        </w:rPr>
        <w:t>指派</w:t>
      </w:r>
      <w:r>
        <w:rPr>
          <w:rFonts w:hint="eastAsia" w:ascii="仿宋" w:hAnsi="仿宋" w:eastAsia="仿宋" w:cs="仿宋"/>
          <w:snapToGrid w:val="0"/>
          <w:color w:val="000000"/>
          <w:spacing w:val="0"/>
          <w:kern w:val="0"/>
          <w:sz w:val="28"/>
          <w:szCs w:val="28"/>
          <w:lang w:val="en-US" w:eastAsia="zh-CN" w:bidi="ar-SA"/>
        </w:rPr>
        <w:t>工作</w:t>
      </w:r>
      <w:r>
        <w:rPr>
          <w:rFonts w:hint="eastAsia" w:ascii="仿宋" w:hAnsi="仿宋" w:eastAsia="仿宋" w:cs="仿宋"/>
          <w:snapToGrid w:val="0"/>
          <w:color w:val="000000"/>
          <w:spacing w:val="0"/>
          <w:kern w:val="0"/>
          <w:sz w:val="28"/>
          <w:szCs w:val="28"/>
          <w:lang w:val="en-US" w:eastAsia="en-US" w:bidi="ar-SA"/>
        </w:rPr>
        <w:t>人员完成本协议的</w:t>
      </w:r>
      <w:r>
        <w:rPr>
          <w:rFonts w:hint="eastAsia" w:ascii="仿宋" w:hAnsi="仿宋" w:eastAsia="仿宋" w:cs="仿宋"/>
          <w:snapToGrid w:val="0"/>
          <w:color w:val="000000"/>
          <w:spacing w:val="0"/>
          <w:kern w:val="0"/>
          <w:sz w:val="28"/>
          <w:szCs w:val="28"/>
          <w:lang w:val="en-US" w:eastAsia="zh-CN" w:bidi="ar-SA"/>
        </w:rPr>
        <w:t>招标采购</w:t>
      </w:r>
      <w:r>
        <w:rPr>
          <w:rFonts w:hint="eastAsia" w:ascii="仿宋" w:hAnsi="仿宋" w:eastAsia="仿宋" w:cs="仿宋"/>
          <w:snapToGrid w:val="0"/>
          <w:color w:val="000000"/>
          <w:spacing w:val="0"/>
          <w:kern w:val="0"/>
          <w:sz w:val="28"/>
          <w:szCs w:val="28"/>
          <w:lang w:val="en-US" w:eastAsia="en-US" w:bidi="ar-SA"/>
        </w:rPr>
        <w:t>代理服务</w:t>
      </w:r>
      <w:r>
        <w:rPr>
          <w:rFonts w:hint="eastAsia" w:ascii="仿宋" w:hAnsi="仿宋" w:eastAsia="仿宋" w:cs="仿宋"/>
          <w:snapToGrid w:val="0"/>
          <w:color w:val="000000"/>
          <w:spacing w:val="0"/>
          <w:kern w:val="0"/>
          <w:sz w:val="28"/>
          <w:szCs w:val="28"/>
          <w:lang w:val="en-US" w:eastAsia="zh-CN" w:bidi="ar-SA"/>
        </w:rPr>
        <w:t>。如乙方需更换人员，应提前15日以书面形式报告甲方，并附补充人员的基本情况表，未经甲方同意，不得更换</w:t>
      </w:r>
      <w:r>
        <w:rPr>
          <w:rFonts w:hint="eastAsia" w:ascii="仿宋" w:hAnsi="仿宋" w:eastAsia="仿宋" w:cs="仿宋"/>
          <w:snapToGrid w:val="0"/>
          <w:color w:val="000000"/>
          <w:spacing w:val="0"/>
          <w:kern w:val="0"/>
          <w:sz w:val="28"/>
          <w:szCs w:val="28"/>
          <w:lang w:val="en-US" w:eastAsia="en-US" w:bidi="ar-SA"/>
        </w:rPr>
        <w:t>。</w:t>
      </w:r>
    </w:p>
    <w:p w14:paraId="5C23B11D">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w:t>
      </w:r>
      <w:r>
        <w:rPr>
          <w:rFonts w:hint="eastAsia" w:ascii="仿宋" w:hAnsi="仿宋" w:eastAsia="仿宋" w:cs="仿宋"/>
          <w:snapToGrid w:val="0"/>
          <w:color w:val="000000"/>
          <w:spacing w:val="0"/>
          <w:kern w:val="0"/>
          <w:sz w:val="28"/>
          <w:szCs w:val="28"/>
          <w:lang w:val="en-US" w:eastAsia="zh-CN" w:bidi="ar-SA"/>
        </w:rPr>
        <w:t>五</w:t>
      </w:r>
      <w:r>
        <w:rPr>
          <w:rFonts w:hint="eastAsia" w:ascii="仿宋" w:hAnsi="仿宋" w:eastAsia="仿宋" w:cs="仿宋"/>
          <w:snapToGrid w:val="0"/>
          <w:color w:val="000000"/>
          <w:spacing w:val="0"/>
          <w:kern w:val="0"/>
          <w:sz w:val="28"/>
          <w:szCs w:val="28"/>
          <w:lang w:val="en-US" w:eastAsia="en-US" w:bidi="ar-SA"/>
        </w:rPr>
        <w:t>)评标(评审)结束后及时向甲方书面报告</w:t>
      </w:r>
      <w:r>
        <w:rPr>
          <w:rFonts w:hint="eastAsia" w:ascii="仿宋" w:hAnsi="仿宋" w:eastAsia="仿宋" w:cs="仿宋"/>
          <w:snapToGrid w:val="0"/>
          <w:color w:val="000000"/>
          <w:spacing w:val="0"/>
          <w:kern w:val="0"/>
          <w:sz w:val="28"/>
          <w:szCs w:val="28"/>
          <w:lang w:val="en-US" w:eastAsia="zh-CN" w:bidi="ar-SA"/>
        </w:rPr>
        <w:t>招标采购</w:t>
      </w:r>
      <w:r>
        <w:rPr>
          <w:rFonts w:hint="eastAsia" w:ascii="仿宋" w:hAnsi="仿宋" w:eastAsia="仿宋" w:cs="仿宋"/>
          <w:snapToGrid w:val="0"/>
          <w:color w:val="000000"/>
          <w:spacing w:val="0"/>
          <w:kern w:val="0"/>
          <w:sz w:val="28"/>
          <w:szCs w:val="28"/>
          <w:lang w:val="en-US" w:eastAsia="en-US" w:bidi="ar-SA"/>
        </w:rPr>
        <w:t>情况。</w:t>
      </w:r>
    </w:p>
    <w:p w14:paraId="65F9D653">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w:t>
      </w:r>
      <w:r>
        <w:rPr>
          <w:rFonts w:hint="eastAsia" w:ascii="仿宋" w:hAnsi="仿宋" w:eastAsia="仿宋" w:cs="仿宋"/>
          <w:snapToGrid w:val="0"/>
          <w:color w:val="000000"/>
          <w:spacing w:val="0"/>
          <w:kern w:val="0"/>
          <w:sz w:val="28"/>
          <w:szCs w:val="28"/>
          <w:lang w:val="en-US" w:eastAsia="zh-CN" w:bidi="ar-SA"/>
        </w:rPr>
        <w:t>六</w:t>
      </w:r>
      <w:r>
        <w:rPr>
          <w:rFonts w:hint="eastAsia" w:ascii="仿宋" w:hAnsi="仿宋" w:eastAsia="仿宋" w:cs="仿宋"/>
          <w:snapToGrid w:val="0"/>
          <w:color w:val="000000"/>
          <w:spacing w:val="0"/>
          <w:kern w:val="0"/>
          <w:sz w:val="28"/>
          <w:szCs w:val="28"/>
          <w:lang w:val="en-US" w:eastAsia="en-US" w:bidi="ar-SA"/>
        </w:rPr>
        <w:t>)保证甲方有权使用和复制其所编制的</w:t>
      </w:r>
      <w:r>
        <w:rPr>
          <w:rFonts w:hint="eastAsia" w:ascii="仿宋" w:hAnsi="仿宋" w:eastAsia="仿宋" w:cs="仿宋"/>
          <w:snapToGrid w:val="0"/>
          <w:color w:val="000000"/>
          <w:spacing w:val="0"/>
          <w:kern w:val="0"/>
          <w:sz w:val="28"/>
          <w:szCs w:val="28"/>
          <w:lang w:val="en-US" w:eastAsia="zh-CN" w:bidi="ar-SA"/>
        </w:rPr>
        <w:t>招标采购</w:t>
      </w:r>
      <w:r>
        <w:rPr>
          <w:rFonts w:hint="eastAsia" w:ascii="仿宋" w:hAnsi="仿宋" w:eastAsia="仿宋" w:cs="仿宋"/>
          <w:snapToGrid w:val="0"/>
          <w:color w:val="000000"/>
          <w:spacing w:val="0"/>
          <w:kern w:val="0"/>
          <w:sz w:val="28"/>
          <w:szCs w:val="28"/>
          <w:lang w:val="en-US" w:eastAsia="en-US" w:bidi="ar-SA"/>
        </w:rPr>
        <w:t>文件并免受任何侵权指控。</w:t>
      </w:r>
    </w:p>
    <w:p w14:paraId="4E57678C">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w:t>
      </w:r>
      <w:r>
        <w:rPr>
          <w:rFonts w:hint="eastAsia" w:cs="仿宋"/>
          <w:snapToGrid w:val="0"/>
          <w:color w:val="000000"/>
          <w:spacing w:val="0"/>
          <w:kern w:val="0"/>
          <w:sz w:val="28"/>
          <w:szCs w:val="28"/>
          <w:lang w:val="en-US" w:eastAsia="zh-CN" w:bidi="ar-SA"/>
        </w:rPr>
        <w:t>七</w:t>
      </w:r>
      <w:r>
        <w:rPr>
          <w:rFonts w:hint="eastAsia" w:ascii="仿宋" w:hAnsi="仿宋" w:eastAsia="仿宋" w:cs="仿宋"/>
          <w:snapToGrid w:val="0"/>
          <w:color w:val="000000"/>
          <w:spacing w:val="0"/>
          <w:kern w:val="0"/>
          <w:sz w:val="28"/>
          <w:szCs w:val="28"/>
          <w:lang w:val="en-US" w:eastAsia="en-US" w:bidi="ar-SA"/>
        </w:rPr>
        <w:t>)负责承办甲方委托范围内的其他有关事项。</w:t>
      </w:r>
    </w:p>
    <w:p w14:paraId="0C9A0112">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w:t>
      </w:r>
      <w:r>
        <w:rPr>
          <w:rFonts w:hint="eastAsia" w:cs="仿宋"/>
          <w:snapToGrid w:val="0"/>
          <w:color w:val="000000"/>
          <w:spacing w:val="0"/>
          <w:kern w:val="0"/>
          <w:sz w:val="28"/>
          <w:szCs w:val="28"/>
          <w:lang w:val="en-US" w:eastAsia="zh-CN" w:bidi="ar-SA"/>
        </w:rPr>
        <w:t>八</w:t>
      </w:r>
      <w:r>
        <w:rPr>
          <w:rFonts w:hint="eastAsia" w:ascii="仿宋" w:hAnsi="仿宋" w:eastAsia="仿宋" w:cs="仿宋"/>
          <w:snapToGrid w:val="0"/>
          <w:color w:val="000000"/>
          <w:spacing w:val="0"/>
          <w:kern w:val="0"/>
          <w:sz w:val="28"/>
          <w:szCs w:val="28"/>
          <w:lang w:val="en-US" w:eastAsia="en-US" w:bidi="ar-SA"/>
        </w:rPr>
        <w:t>)承担因履行本协议所需的相关费用。</w:t>
      </w:r>
    </w:p>
    <w:p w14:paraId="13058F44">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w:t>
      </w:r>
      <w:r>
        <w:rPr>
          <w:rFonts w:hint="eastAsia" w:cs="仿宋"/>
          <w:snapToGrid w:val="0"/>
          <w:color w:val="000000"/>
          <w:spacing w:val="0"/>
          <w:kern w:val="0"/>
          <w:sz w:val="28"/>
          <w:szCs w:val="28"/>
          <w:lang w:val="en-US" w:eastAsia="zh-CN" w:bidi="ar-SA"/>
        </w:rPr>
        <w:t>九</w:t>
      </w:r>
      <w:r>
        <w:rPr>
          <w:rFonts w:hint="eastAsia" w:ascii="仿宋" w:hAnsi="仿宋" w:eastAsia="仿宋" w:cs="仿宋"/>
          <w:snapToGrid w:val="0"/>
          <w:color w:val="000000"/>
          <w:spacing w:val="0"/>
          <w:kern w:val="0"/>
          <w:sz w:val="28"/>
          <w:szCs w:val="28"/>
          <w:lang w:val="en-US" w:eastAsia="en-US" w:bidi="ar-SA"/>
        </w:rPr>
        <w:t>)按甲方要求为甲方提供</w:t>
      </w:r>
      <w:r>
        <w:rPr>
          <w:rFonts w:hint="eastAsia" w:cs="仿宋"/>
          <w:snapToGrid w:val="0"/>
          <w:color w:val="000000"/>
          <w:spacing w:val="0"/>
          <w:kern w:val="0"/>
          <w:sz w:val="28"/>
          <w:szCs w:val="28"/>
          <w:lang w:val="en-US" w:eastAsia="zh-CN" w:bidi="ar-SA"/>
        </w:rPr>
        <w:t>招标采购</w:t>
      </w:r>
      <w:r>
        <w:rPr>
          <w:rFonts w:hint="eastAsia" w:ascii="仿宋" w:hAnsi="仿宋" w:eastAsia="仿宋" w:cs="仿宋"/>
          <w:snapToGrid w:val="0"/>
          <w:color w:val="000000"/>
          <w:spacing w:val="0"/>
          <w:kern w:val="0"/>
          <w:sz w:val="28"/>
          <w:szCs w:val="28"/>
          <w:lang w:val="en-US" w:eastAsia="en-US" w:bidi="ar-SA"/>
        </w:rPr>
        <w:t>相关服务，包括但不限于设备、物资、材料</w:t>
      </w:r>
      <w:r>
        <w:rPr>
          <w:rFonts w:hint="eastAsia" w:cs="仿宋"/>
          <w:snapToGrid w:val="0"/>
          <w:color w:val="000000"/>
          <w:spacing w:val="0"/>
          <w:kern w:val="0"/>
          <w:sz w:val="28"/>
          <w:szCs w:val="28"/>
          <w:lang w:val="en-US" w:eastAsia="zh-CN" w:bidi="ar-SA"/>
        </w:rPr>
        <w:t>、</w:t>
      </w:r>
      <w:r>
        <w:rPr>
          <w:rFonts w:hint="eastAsia" w:cs="仿宋"/>
          <w:snapToGrid w:val="0"/>
          <w:color w:val="0000FF"/>
          <w:spacing w:val="0"/>
          <w:kern w:val="0"/>
          <w:sz w:val="28"/>
          <w:szCs w:val="28"/>
          <w:lang w:val="en-US" w:eastAsia="zh-CN" w:bidi="ar-SA"/>
        </w:rPr>
        <w:t>组织培训</w:t>
      </w:r>
      <w:r>
        <w:rPr>
          <w:rFonts w:hint="eastAsia" w:ascii="仿宋" w:hAnsi="仿宋" w:eastAsia="仿宋" w:cs="仿宋"/>
          <w:snapToGrid w:val="0"/>
          <w:color w:val="000000"/>
          <w:spacing w:val="0"/>
          <w:kern w:val="0"/>
          <w:sz w:val="28"/>
          <w:szCs w:val="28"/>
          <w:lang w:val="en-US" w:eastAsia="en-US" w:bidi="ar-SA"/>
        </w:rPr>
        <w:t>等。</w:t>
      </w:r>
    </w:p>
    <w:p w14:paraId="7629FD88">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w:t>
      </w:r>
      <w:r>
        <w:rPr>
          <w:rFonts w:hint="eastAsia" w:cs="仿宋"/>
          <w:snapToGrid w:val="0"/>
          <w:color w:val="000000"/>
          <w:spacing w:val="0"/>
          <w:kern w:val="0"/>
          <w:sz w:val="28"/>
          <w:szCs w:val="28"/>
          <w:lang w:val="en-US" w:eastAsia="zh-CN" w:bidi="ar-SA"/>
        </w:rPr>
        <w:t>十</w:t>
      </w:r>
      <w:r>
        <w:rPr>
          <w:rFonts w:hint="eastAsia" w:ascii="仿宋" w:hAnsi="仿宋" w:eastAsia="仿宋" w:cs="仿宋"/>
          <w:snapToGrid w:val="0"/>
          <w:color w:val="000000"/>
          <w:spacing w:val="0"/>
          <w:kern w:val="0"/>
          <w:sz w:val="28"/>
          <w:szCs w:val="28"/>
          <w:lang w:val="en-US" w:eastAsia="en-US" w:bidi="ar-SA"/>
        </w:rPr>
        <w:t>)无条件接受和尊重甲方选择代理机构、确定代理费标准和支付方式要求，绝不恶意质疑。</w:t>
      </w:r>
    </w:p>
    <w:p w14:paraId="42391721">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0" w:firstLineChars="200"/>
        <w:jc w:val="both"/>
        <w:textAlignment w:val="baseline"/>
        <w:outlineLvl w:val="3"/>
        <w:rPr>
          <w:rFonts w:hint="eastAsia"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en-US" w:bidi="ar-SA"/>
        </w:rPr>
        <w:t>(十</w:t>
      </w:r>
      <w:r>
        <w:rPr>
          <w:rFonts w:hint="eastAsia" w:cs="仿宋"/>
          <w:snapToGrid w:val="0"/>
          <w:color w:val="000000"/>
          <w:spacing w:val="0"/>
          <w:kern w:val="0"/>
          <w:sz w:val="28"/>
          <w:szCs w:val="28"/>
          <w:lang w:val="en-US" w:eastAsia="zh-CN" w:bidi="ar-SA"/>
        </w:rPr>
        <w:t>一</w:t>
      </w:r>
      <w:r>
        <w:rPr>
          <w:rFonts w:hint="eastAsia" w:ascii="仿宋" w:hAnsi="仿宋" w:eastAsia="仿宋" w:cs="仿宋"/>
          <w:snapToGrid w:val="0"/>
          <w:color w:val="000000"/>
          <w:spacing w:val="0"/>
          <w:kern w:val="0"/>
          <w:sz w:val="28"/>
          <w:szCs w:val="28"/>
          <w:lang w:val="en-US" w:eastAsia="en-US" w:bidi="ar-SA"/>
        </w:rPr>
        <w:t>)接受甲方招标办考评，承诺不恶意质疑考评结果</w:t>
      </w:r>
      <w:r>
        <w:rPr>
          <w:rFonts w:hint="eastAsia" w:cs="仿宋"/>
          <w:snapToGrid w:val="0"/>
          <w:color w:val="000000"/>
          <w:spacing w:val="0"/>
          <w:kern w:val="0"/>
          <w:sz w:val="28"/>
          <w:szCs w:val="28"/>
          <w:lang w:val="en-US" w:eastAsia="zh-CN" w:bidi="ar-SA"/>
        </w:rPr>
        <w:t>。</w:t>
      </w:r>
    </w:p>
    <w:p w14:paraId="0DC73B6B">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2" w:firstLineChars="200"/>
        <w:jc w:val="both"/>
        <w:textAlignment w:val="baseline"/>
        <w:outlineLvl w:val="3"/>
        <w:rPr>
          <w:rFonts w:hint="eastAsia" w:ascii="仿宋" w:hAnsi="仿宋" w:eastAsia="仿宋" w:cs="仿宋"/>
          <w:b/>
          <w:bCs/>
          <w:snapToGrid w:val="0"/>
          <w:color w:val="000000"/>
          <w:spacing w:val="0"/>
          <w:kern w:val="0"/>
          <w:sz w:val="28"/>
          <w:szCs w:val="28"/>
          <w:lang w:val="en-US" w:eastAsia="zh-CN" w:bidi="ar-SA"/>
        </w:rPr>
      </w:pPr>
      <w:r>
        <w:rPr>
          <w:rFonts w:hint="eastAsia" w:ascii="仿宋" w:hAnsi="仿宋" w:eastAsia="仿宋" w:cs="仿宋"/>
          <w:b/>
          <w:bCs/>
          <w:snapToGrid w:val="0"/>
          <w:color w:val="000000"/>
          <w:spacing w:val="0"/>
          <w:kern w:val="0"/>
          <w:sz w:val="28"/>
          <w:szCs w:val="28"/>
          <w:lang w:val="en-US" w:eastAsia="zh-CN" w:bidi="ar-SA"/>
        </w:rPr>
        <w:t>第七条  项目联系人</w:t>
      </w:r>
    </w:p>
    <w:p w14:paraId="5B52DF13">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一、为保证甲方招标采购项目顺利开展与实施，乙方须委派驻院人员，并具有解决疑难问题的能力，24小时响应，全流程服务，直至完成项目。委派固定的项目联系人负责与甲方进行业务对接，乙方联系人在本协议期限内不得随意更换，乙方如需更换项目联系人，应当提前15日以书面形式报告甲方，并附补充人员的基本情况表。若乙方在未取得甲方同意的情况下擅自更换项目联系人，产生的后果由乙方自行承担。</w:t>
      </w:r>
    </w:p>
    <w:p w14:paraId="18D0E411">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二、乙方指派的联系人       ，联系电话               。</w:t>
      </w:r>
    </w:p>
    <w:p w14:paraId="33335EE1">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2" w:firstLineChars="200"/>
        <w:jc w:val="both"/>
        <w:textAlignment w:val="baseline"/>
        <w:outlineLvl w:val="3"/>
        <w:rPr>
          <w:rFonts w:hint="eastAsia" w:ascii="仿宋" w:hAnsi="仿宋" w:eastAsia="仿宋" w:cs="仿宋"/>
          <w:b/>
          <w:bCs/>
          <w:snapToGrid w:val="0"/>
          <w:color w:val="000000"/>
          <w:spacing w:val="0"/>
          <w:kern w:val="0"/>
          <w:sz w:val="28"/>
          <w:szCs w:val="28"/>
          <w:lang w:val="en-US" w:eastAsia="zh-CN" w:bidi="ar-SA"/>
        </w:rPr>
      </w:pPr>
      <w:r>
        <w:rPr>
          <w:rFonts w:hint="eastAsia" w:ascii="仿宋" w:hAnsi="仿宋" w:eastAsia="仿宋" w:cs="仿宋"/>
          <w:b/>
          <w:bCs/>
          <w:snapToGrid w:val="0"/>
          <w:color w:val="000000"/>
          <w:spacing w:val="0"/>
          <w:kern w:val="0"/>
          <w:sz w:val="28"/>
          <w:szCs w:val="28"/>
          <w:lang w:val="en-US" w:eastAsia="zh-CN" w:bidi="ar-SA"/>
        </w:rPr>
        <w:t>第八条 保密</w:t>
      </w:r>
    </w:p>
    <w:p w14:paraId="6734AB88">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一、甲、乙双方应共同遵守政府采购法、招投标法及其他相关法律法规规章中关于保密义务的规定。任何一方对在履行本协议过程中获得的对方商业秘密，均负有保密义务。</w:t>
      </w:r>
    </w:p>
    <w:p w14:paraId="40D246D1">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二、甲、乙双方不得将潜在投标人(供应商)名单、采购(投标)文件的审查、澄清、评估、比较及合同授予意向等信息，透露给任一投标人(供应商)和与上述工作无关的人员。</w:t>
      </w:r>
    </w:p>
    <w:p w14:paraId="3B565831">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三、甲、乙双方应采取有效措施做好本协议执行中的保密工作。若有泄密，泄密一方应赔偿由于泄密而给另一方造成的一切经济损失。</w:t>
      </w:r>
    </w:p>
    <w:p w14:paraId="69FD12C1">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2" w:firstLineChars="200"/>
        <w:jc w:val="both"/>
        <w:textAlignment w:val="baseline"/>
        <w:outlineLvl w:val="3"/>
        <w:rPr>
          <w:rFonts w:hint="eastAsia" w:ascii="仿宋" w:hAnsi="仿宋" w:eastAsia="仿宋" w:cs="仿宋"/>
          <w:b/>
          <w:bCs/>
          <w:snapToGrid w:val="0"/>
          <w:color w:val="000000"/>
          <w:spacing w:val="0"/>
          <w:kern w:val="0"/>
          <w:sz w:val="28"/>
          <w:szCs w:val="28"/>
          <w:lang w:val="en-US" w:eastAsia="zh-CN" w:bidi="ar-SA"/>
        </w:rPr>
      </w:pPr>
      <w:r>
        <w:rPr>
          <w:rFonts w:hint="eastAsia" w:ascii="仿宋" w:hAnsi="仿宋" w:eastAsia="仿宋" w:cs="仿宋"/>
          <w:b/>
          <w:bCs/>
          <w:snapToGrid w:val="0"/>
          <w:color w:val="000000"/>
          <w:spacing w:val="0"/>
          <w:kern w:val="0"/>
          <w:sz w:val="28"/>
          <w:szCs w:val="28"/>
          <w:lang w:val="en-US" w:eastAsia="zh-CN" w:bidi="ar-SA"/>
        </w:rPr>
        <w:t>第九条 通知与送达</w:t>
      </w:r>
    </w:p>
    <w:p w14:paraId="7D8A737A">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一、甲乙双方同意，与本协议有关的任何文书，应以书面方式按照本协议约定发送，书面方式包括手机短信、微信、书面函件、电子邮件等形式。</w:t>
      </w:r>
    </w:p>
    <w:p w14:paraId="77EA56EE">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二、双方确认的文书（包括未来可能发生的诉讼或仲裁活动中法院或仲裁机构的送达法律文书）送达地址</w:t>
      </w:r>
    </w:p>
    <w:p w14:paraId="2EE8D80F">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（一）甲方的文书送达地址：</w:t>
      </w:r>
      <w:r>
        <w:rPr>
          <w:rFonts w:hint="eastAsia" w:ascii="仿宋" w:hAnsi="仿宋" w:eastAsia="仿宋" w:cs="仿宋"/>
          <w:snapToGrid w:val="0"/>
          <w:color w:val="000000"/>
          <w:spacing w:val="0"/>
          <w:kern w:val="0"/>
          <w:sz w:val="28"/>
          <w:szCs w:val="28"/>
          <w:u w:val="single"/>
          <w:lang w:val="en-US" w:eastAsia="zh-CN" w:bidi="ar-SA"/>
        </w:rPr>
        <w:t xml:space="preserve">         </w:t>
      </w:r>
      <w:r>
        <w:rPr>
          <w:rFonts w:hint="eastAsia" w:ascii="仿宋" w:hAnsi="仿宋" w:eastAsia="仿宋" w:cs="仿宋"/>
          <w:snapToGrid w:val="0"/>
          <w:color w:val="000000"/>
          <w:spacing w:val="0"/>
          <w:kern w:val="0"/>
          <w:sz w:val="28"/>
          <w:szCs w:val="28"/>
          <w:lang w:val="en-US" w:eastAsia="zh-CN" w:bidi="ar-SA"/>
        </w:rPr>
        <w:t>，收件人：</w:t>
      </w:r>
      <w:r>
        <w:rPr>
          <w:rFonts w:hint="eastAsia" w:ascii="仿宋" w:hAnsi="仿宋" w:eastAsia="仿宋" w:cs="仿宋"/>
          <w:snapToGrid w:val="0"/>
          <w:color w:val="000000"/>
          <w:spacing w:val="0"/>
          <w:kern w:val="0"/>
          <w:sz w:val="28"/>
          <w:szCs w:val="28"/>
          <w:u w:val="single"/>
          <w:lang w:val="en-US" w:eastAsia="zh-CN" w:bidi="ar-SA"/>
        </w:rPr>
        <w:t xml:space="preserve">    </w:t>
      </w:r>
      <w:r>
        <w:rPr>
          <w:rFonts w:hint="eastAsia" w:ascii="仿宋" w:hAnsi="仿宋" w:eastAsia="仿宋" w:cs="仿宋"/>
          <w:snapToGrid w:val="0"/>
          <w:color w:val="000000"/>
          <w:spacing w:val="0"/>
          <w:kern w:val="0"/>
          <w:sz w:val="28"/>
          <w:szCs w:val="28"/>
          <w:lang w:val="en-US" w:eastAsia="zh-CN" w:bidi="ar-SA"/>
        </w:rPr>
        <w:t>，联系电话：</w:t>
      </w:r>
      <w:r>
        <w:rPr>
          <w:rFonts w:hint="eastAsia" w:ascii="仿宋" w:hAnsi="仿宋" w:eastAsia="仿宋" w:cs="仿宋"/>
          <w:snapToGrid w:val="0"/>
          <w:color w:val="000000"/>
          <w:spacing w:val="0"/>
          <w:kern w:val="0"/>
          <w:sz w:val="28"/>
          <w:szCs w:val="28"/>
          <w:u w:val="single"/>
          <w:lang w:val="en-US" w:eastAsia="zh-CN" w:bidi="ar-SA"/>
        </w:rPr>
        <w:t xml:space="preserve">      </w:t>
      </w:r>
      <w:r>
        <w:rPr>
          <w:rFonts w:hint="eastAsia" w:ascii="仿宋" w:hAnsi="仿宋" w:eastAsia="仿宋" w:cs="仿宋"/>
          <w:snapToGrid w:val="0"/>
          <w:color w:val="000000"/>
          <w:spacing w:val="0"/>
          <w:kern w:val="0"/>
          <w:sz w:val="28"/>
          <w:szCs w:val="28"/>
          <w:lang w:val="en-US" w:eastAsia="zh-CN" w:bidi="ar-SA"/>
        </w:rPr>
        <w:t>，微信号：</w:t>
      </w:r>
      <w:r>
        <w:rPr>
          <w:rFonts w:hint="eastAsia" w:ascii="仿宋" w:hAnsi="仿宋" w:eastAsia="仿宋" w:cs="仿宋"/>
          <w:snapToGrid w:val="0"/>
          <w:color w:val="000000"/>
          <w:spacing w:val="0"/>
          <w:kern w:val="0"/>
          <w:sz w:val="28"/>
          <w:szCs w:val="28"/>
          <w:u w:val="single"/>
          <w:lang w:val="en-US" w:eastAsia="zh-CN" w:bidi="ar-SA"/>
        </w:rPr>
        <w:t xml:space="preserve">       </w:t>
      </w:r>
      <w:r>
        <w:rPr>
          <w:rFonts w:hint="eastAsia" w:ascii="仿宋" w:hAnsi="仿宋" w:eastAsia="仿宋" w:cs="仿宋"/>
          <w:snapToGrid w:val="0"/>
          <w:color w:val="000000"/>
          <w:spacing w:val="0"/>
          <w:kern w:val="0"/>
          <w:sz w:val="28"/>
          <w:szCs w:val="28"/>
          <w:lang w:val="en-US" w:eastAsia="zh-CN" w:bidi="ar-SA"/>
        </w:rPr>
        <w:t>，电子邮箱：</w:t>
      </w:r>
      <w:r>
        <w:rPr>
          <w:rFonts w:hint="eastAsia" w:ascii="仿宋" w:hAnsi="仿宋" w:eastAsia="仿宋" w:cs="仿宋"/>
          <w:snapToGrid w:val="0"/>
          <w:color w:val="000000"/>
          <w:spacing w:val="0"/>
          <w:kern w:val="0"/>
          <w:sz w:val="28"/>
          <w:szCs w:val="28"/>
          <w:u w:val="single"/>
          <w:lang w:val="en-US" w:eastAsia="zh-CN" w:bidi="ar-SA"/>
        </w:rPr>
        <w:t xml:space="preserve">      </w:t>
      </w:r>
      <w:r>
        <w:rPr>
          <w:rFonts w:hint="eastAsia" w:ascii="仿宋" w:hAnsi="仿宋" w:eastAsia="仿宋" w:cs="仿宋"/>
          <w:snapToGrid w:val="0"/>
          <w:color w:val="000000"/>
          <w:spacing w:val="0"/>
          <w:kern w:val="0"/>
          <w:sz w:val="28"/>
          <w:szCs w:val="28"/>
          <w:lang w:val="en-US" w:eastAsia="zh-CN" w:bidi="ar-SA"/>
        </w:rPr>
        <w:t>。</w:t>
      </w:r>
    </w:p>
    <w:p w14:paraId="729275A4">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（二）乙方的文书送达地址：</w:t>
      </w:r>
      <w:r>
        <w:rPr>
          <w:rFonts w:hint="eastAsia" w:ascii="仿宋" w:hAnsi="仿宋" w:eastAsia="仿宋" w:cs="仿宋"/>
          <w:snapToGrid w:val="0"/>
          <w:color w:val="000000"/>
          <w:spacing w:val="0"/>
          <w:kern w:val="0"/>
          <w:sz w:val="28"/>
          <w:szCs w:val="28"/>
          <w:u w:val="single"/>
          <w:lang w:val="en-US" w:eastAsia="zh-CN" w:bidi="ar-SA"/>
        </w:rPr>
        <w:t xml:space="preserve">         </w:t>
      </w:r>
      <w:r>
        <w:rPr>
          <w:rFonts w:hint="eastAsia" w:ascii="仿宋" w:hAnsi="仿宋" w:eastAsia="仿宋" w:cs="仿宋"/>
          <w:snapToGrid w:val="0"/>
          <w:color w:val="000000"/>
          <w:spacing w:val="0"/>
          <w:kern w:val="0"/>
          <w:sz w:val="28"/>
          <w:szCs w:val="28"/>
          <w:lang w:val="en-US" w:eastAsia="zh-CN" w:bidi="ar-SA"/>
        </w:rPr>
        <w:t>，收件人：</w:t>
      </w:r>
      <w:r>
        <w:rPr>
          <w:rFonts w:hint="eastAsia" w:ascii="仿宋" w:hAnsi="仿宋" w:eastAsia="仿宋" w:cs="仿宋"/>
          <w:snapToGrid w:val="0"/>
          <w:color w:val="000000"/>
          <w:spacing w:val="0"/>
          <w:kern w:val="0"/>
          <w:sz w:val="28"/>
          <w:szCs w:val="28"/>
          <w:u w:val="single"/>
          <w:lang w:val="en-US" w:eastAsia="zh-CN" w:bidi="ar-SA"/>
        </w:rPr>
        <w:t xml:space="preserve">    </w:t>
      </w:r>
      <w:r>
        <w:rPr>
          <w:rFonts w:hint="eastAsia" w:ascii="仿宋" w:hAnsi="仿宋" w:eastAsia="仿宋" w:cs="仿宋"/>
          <w:snapToGrid w:val="0"/>
          <w:color w:val="000000"/>
          <w:spacing w:val="0"/>
          <w:kern w:val="0"/>
          <w:sz w:val="28"/>
          <w:szCs w:val="28"/>
          <w:lang w:val="en-US" w:eastAsia="zh-CN" w:bidi="ar-SA"/>
        </w:rPr>
        <w:t>，联系电话：</w:t>
      </w:r>
      <w:r>
        <w:rPr>
          <w:rFonts w:hint="eastAsia" w:ascii="仿宋" w:hAnsi="仿宋" w:eastAsia="仿宋" w:cs="仿宋"/>
          <w:snapToGrid w:val="0"/>
          <w:color w:val="000000"/>
          <w:spacing w:val="0"/>
          <w:kern w:val="0"/>
          <w:sz w:val="28"/>
          <w:szCs w:val="28"/>
          <w:u w:val="single"/>
          <w:lang w:val="en-US" w:eastAsia="zh-CN" w:bidi="ar-SA"/>
        </w:rPr>
        <w:t xml:space="preserve">      </w:t>
      </w:r>
      <w:r>
        <w:rPr>
          <w:rFonts w:hint="eastAsia" w:ascii="仿宋" w:hAnsi="仿宋" w:eastAsia="仿宋" w:cs="仿宋"/>
          <w:snapToGrid w:val="0"/>
          <w:color w:val="000000"/>
          <w:spacing w:val="0"/>
          <w:kern w:val="0"/>
          <w:sz w:val="28"/>
          <w:szCs w:val="28"/>
          <w:lang w:val="en-US" w:eastAsia="zh-CN" w:bidi="ar-SA"/>
        </w:rPr>
        <w:t>，微信号：</w:t>
      </w:r>
      <w:r>
        <w:rPr>
          <w:rFonts w:hint="eastAsia" w:ascii="仿宋" w:hAnsi="仿宋" w:eastAsia="仿宋" w:cs="仿宋"/>
          <w:snapToGrid w:val="0"/>
          <w:color w:val="000000"/>
          <w:spacing w:val="0"/>
          <w:kern w:val="0"/>
          <w:sz w:val="28"/>
          <w:szCs w:val="28"/>
          <w:u w:val="single"/>
          <w:lang w:val="en-US" w:eastAsia="zh-CN" w:bidi="ar-SA"/>
        </w:rPr>
        <w:t xml:space="preserve">       </w:t>
      </w:r>
      <w:r>
        <w:rPr>
          <w:rFonts w:hint="eastAsia" w:ascii="仿宋" w:hAnsi="仿宋" w:eastAsia="仿宋" w:cs="仿宋"/>
          <w:snapToGrid w:val="0"/>
          <w:color w:val="000000"/>
          <w:spacing w:val="0"/>
          <w:kern w:val="0"/>
          <w:sz w:val="28"/>
          <w:szCs w:val="28"/>
          <w:lang w:val="en-US" w:eastAsia="zh-CN" w:bidi="ar-SA"/>
        </w:rPr>
        <w:t>，电子邮箱：</w:t>
      </w:r>
      <w:r>
        <w:rPr>
          <w:rFonts w:hint="eastAsia" w:ascii="仿宋" w:hAnsi="仿宋" w:eastAsia="仿宋" w:cs="仿宋"/>
          <w:snapToGrid w:val="0"/>
          <w:color w:val="000000"/>
          <w:spacing w:val="0"/>
          <w:kern w:val="0"/>
          <w:sz w:val="28"/>
          <w:szCs w:val="28"/>
          <w:u w:val="single"/>
          <w:lang w:val="en-US" w:eastAsia="zh-CN" w:bidi="ar-SA"/>
        </w:rPr>
        <w:t xml:space="preserve">      </w:t>
      </w:r>
      <w:r>
        <w:rPr>
          <w:rFonts w:hint="eastAsia" w:ascii="仿宋" w:hAnsi="仿宋" w:eastAsia="仿宋" w:cs="仿宋"/>
          <w:snapToGrid w:val="0"/>
          <w:color w:val="000000"/>
          <w:spacing w:val="0"/>
          <w:kern w:val="0"/>
          <w:sz w:val="28"/>
          <w:szCs w:val="28"/>
          <w:lang w:val="en-US" w:eastAsia="zh-CN" w:bidi="ar-SA"/>
        </w:rPr>
        <w:t>。</w:t>
      </w:r>
    </w:p>
    <w:p w14:paraId="0BC78257">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三、上述通知应被视为在下列时间送达：以快递或专人送达的，在收件人签收之日或拒收之日；以挂号邮件发出的，在发出之日起7个工作日；以电子邮件、短信、微信方式发出的，在文件进入收件方电子邮箱服务器或手机端之日。</w:t>
      </w:r>
    </w:p>
    <w:p w14:paraId="01E88374">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四、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B4EC77F">
      <w:pPr>
        <w:keepNext w:val="0"/>
        <w:keepLines w:val="0"/>
        <w:pageBreakBefore w:val="0"/>
        <w:widowControl w:val="0"/>
        <w:kinsoku/>
        <w:wordWrap/>
        <w:overflowPunct/>
        <w:topLinePunct w:val="0"/>
        <w:autoSpaceDE/>
        <w:autoSpaceDN/>
        <w:bidi w:val="0"/>
        <w:adjustRightInd w:val="0"/>
        <w:snapToGrid w:val="0"/>
        <w:spacing w:line="480" w:lineRule="exact"/>
        <w:ind w:left="0" w:firstLine="562" w:firstLineChars="200"/>
        <w:textAlignment w:val="baseline"/>
        <w:outlineLvl w:val="3"/>
        <w:rPr>
          <w:rFonts w:hint="eastAsia" w:ascii="仿宋" w:hAnsi="仿宋" w:eastAsia="仿宋" w:cs="仿宋"/>
          <w:b/>
          <w:bCs/>
          <w:snapToGrid w:val="0"/>
          <w:color w:val="000000"/>
          <w:spacing w:val="0"/>
          <w:kern w:val="0"/>
          <w:sz w:val="28"/>
          <w:szCs w:val="28"/>
          <w:lang w:val="en-US" w:eastAsia="zh-CN" w:bidi="ar-SA"/>
        </w:rPr>
      </w:pPr>
      <w:r>
        <w:rPr>
          <w:rFonts w:hint="eastAsia" w:ascii="仿宋" w:hAnsi="仿宋" w:eastAsia="仿宋" w:cs="仿宋"/>
          <w:b/>
          <w:bCs/>
          <w:snapToGrid w:val="0"/>
          <w:color w:val="000000"/>
          <w:spacing w:val="0"/>
          <w:kern w:val="0"/>
          <w:sz w:val="28"/>
          <w:szCs w:val="28"/>
          <w:lang w:val="en-US" w:eastAsia="zh-CN" w:bidi="ar-SA"/>
        </w:rPr>
        <w:t>第十条 廉洁条款</w:t>
      </w:r>
    </w:p>
    <w:p w14:paraId="788028D7">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textAlignment w:val="baseline"/>
        <w:outlineLvl w:val="3"/>
        <w:rPr>
          <w:rFonts w:hint="default" w:ascii="仿宋" w:hAnsi="仿宋" w:eastAsia="仿宋" w:cs="仿宋"/>
          <w:b w:val="0"/>
          <w:bCs w:val="0"/>
          <w:snapToGrid w:val="0"/>
          <w:color w:val="000000"/>
          <w:spacing w:val="0"/>
          <w:kern w:val="0"/>
          <w:sz w:val="28"/>
          <w:szCs w:val="28"/>
          <w:lang w:val="en-US" w:eastAsia="zh-CN" w:bidi="ar-SA"/>
        </w:rPr>
      </w:pPr>
      <w:r>
        <w:rPr>
          <w:rFonts w:hint="eastAsia" w:ascii="仿宋" w:hAnsi="仿宋" w:eastAsia="仿宋" w:cs="仿宋"/>
          <w:b w:val="0"/>
          <w:bCs w:val="0"/>
          <w:snapToGrid w:val="0"/>
          <w:color w:val="000000"/>
          <w:spacing w:val="0"/>
          <w:kern w:val="0"/>
          <w:sz w:val="28"/>
          <w:szCs w:val="28"/>
          <w:lang w:val="en-US" w:eastAsia="zh-CN" w:bidi="ar-SA"/>
        </w:rPr>
        <w:t>一、</w:t>
      </w:r>
      <w:r>
        <w:rPr>
          <w:rFonts w:hint="default" w:ascii="仿宋" w:hAnsi="仿宋" w:eastAsia="仿宋" w:cs="仿宋"/>
          <w:b w:val="0"/>
          <w:bCs w:val="0"/>
          <w:snapToGrid w:val="0"/>
          <w:color w:val="000000"/>
          <w:spacing w:val="0"/>
          <w:kern w:val="0"/>
          <w:sz w:val="28"/>
          <w:szCs w:val="28"/>
          <w:lang w:val="en-US" w:eastAsia="zh-CN" w:bidi="ar-SA"/>
        </w:rPr>
        <w:t>乙方应严格遵守国家相关法律法规，涉及协议的有关业务活动必须坚持公开、公平、公正、诚信原则，不得为获取不正当利益，损害国家、集体和甲方利益。</w:t>
      </w:r>
    </w:p>
    <w:p w14:paraId="48712689">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textAlignment w:val="baseline"/>
        <w:outlineLvl w:val="3"/>
        <w:rPr>
          <w:rFonts w:hint="default" w:ascii="仿宋" w:hAnsi="仿宋" w:eastAsia="仿宋" w:cs="仿宋"/>
          <w:b w:val="0"/>
          <w:bCs w:val="0"/>
          <w:snapToGrid w:val="0"/>
          <w:color w:val="000000"/>
          <w:spacing w:val="0"/>
          <w:kern w:val="0"/>
          <w:sz w:val="28"/>
          <w:szCs w:val="28"/>
          <w:lang w:val="en-US" w:eastAsia="zh-CN" w:bidi="ar-SA"/>
        </w:rPr>
      </w:pPr>
      <w:r>
        <w:rPr>
          <w:rFonts w:hint="eastAsia" w:ascii="仿宋" w:hAnsi="仿宋" w:eastAsia="仿宋" w:cs="仿宋"/>
          <w:b w:val="0"/>
          <w:bCs w:val="0"/>
          <w:snapToGrid w:val="0"/>
          <w:color w:val="000000"/>
          <w:spacing w:val="0"/>
          <w:kern w:val="0"/>
          <w:sz w:val="28"/>
          <w:szCs w:val="28"/>
          <w:lang w:val="en-US" w:eastAsia="zh-CN" w:bidi="ar-SA"/>
        </w:rPr>
        <w:t>二、</w:t>
      </w:r>
      <w:r>
        <w:rPr>
          <w:rFonts w:hint="default" w:ascii="仿宋" w:hAnsi="仿宋" w:eastAsia="仿宋" w:cs="仿宋"/>
          <w:b w:val="0"/>
          <w:bCs w:val="0"/>
          <w:snapToGrid w:val="0"/>
          <w:color w:val="000000"/>
          <w:spacing w:val="0"/>
          <w:kern w:val="0"/>
          <w:sz w:val="28"/>
          <w:szCs w:val="28"/>
          <w:lang w:val="en-US" w:eastAsia="zh-CN" w:bidi="ar-SA"/>
        </w:rPr>
        <w:t>乙方的任何人员（包括股东、管理人员、普通员工等）及与乙方本业务有关的任何人员（包括与乙方不存在劳动、劳务关系的人员）有下列行为之一的，甲方有权要求乙方按本协议约定向甲方支付违反廉洁条款的惩罚性违约金：</w:t>
      </w:r>
    </w:p>
    <w:p w14:paraId="417986BB">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textAlignment w:val="baseline"/>
        <w:outlineLvl w:val="3"/>
        <w:rPr>
          <w:rFonts w:hint="default" w:ascii="仿宋" w:hAnsi="仿宋" w:eastAsia="仿宋" w:cs="仿宋"/>
          <w:b w:val="0"/>
          <w:bCs w:val="0"/>
          <w:snapToGrid w:val="0"/>
          <w:color w:val="000000"/>
          <w:spacing w:val="0"/>
          <w:kern w:val="0"/>
          <w:sz w:val="28"/>
          <w:szCs w:val="28"/>
          <w:lang w:val="en-US" w:eastAsia="zh-CN" w:bidi="ar-SA"/>
        </w:rPr>
      </w:pPr>
      <w:r>
        <w:rPr>
          <w:rFonts w:hint="eastAsia" w:ascii="仿宋" w:hAnsi="仿宋" w:eastAsia="仿宋" w:cs="仿宋"/>
          <w:b w:val="0"/>
          <w:bCs w:val="0"/>
          <w:snapToGrid w:val="0"/>
          <w:color w:val="000000"/>
          <w:spacing w:val="0"/>
          <w:kern w:val="0"/>
          <w:sz w:val="28"/>
          <w:szCs w:val="28"/>
          <w:lang w:val="en-US" w:eastAsia="zh-CN" w:bidi="ar-SA"/>
        </w:rPr>
        <w:t>（一）</w:t>
      </w:r>
      <w:r>
        <w:rPr>
          <w:rFonts w:hint="default" w:ascii="仿宋" w:hAnsi="仿宋" w:eastAsia="仿宋" w:cs="仿宋"/>
          <w:b w:val="0"/>
          <w:bCs w:val="0"/>
          <w:snapToGrid w:val="0"/>
          <w:color w:val="000000"/>
          <w:spacing w:val="0"/>
          <w:kern w:val="0"/>
          <w:sz w:val="28"/>
          <w:szCs w:val="28"/>
          <w:lang w:val="en-US" w:eastAsia="zh-CN" w:bidi="ar-SA"/>
        </w:rPr>
        <w:t>对甲方工作人员或其亲友、关系人请客、送礼或赠送礼金、有价证券、贵重物品及给予回扣、好处费、感谢费等其他形式的好处。</w:t>
      </w:r>
    </w:p>
    <w:p w14:paraId="7A505976">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textAlignment w:val="baseline"/>
        <w:outlineLvl w:val="3"/>
        <w:rPr>
          <w:rFonts w:hint="default" w:ascii="仿宋" w:hAnsi="仿宋" w:eastAsia="仿宋" w:cs="仿宋"/>
          <w:b w:val="0"/>
          <w:bCs w:val="0"/>
          <w:snapToGrid w:val="0"/>
          <w:color w:val="000000"/>
          <w:spacing w:val="0"/>
          <w:kern w:val="0"/>
          <w:sz w:val="28"/>
          <w:szCs w:val="28"/>
          <w:lang w:val="en-US" w:eastAsia="zh-CN" w:bidi="ar-SA"/>
        </w:rPr>
      </w:pPr>
      <w:r>
        <w:rPr>
          <w:rFonts w:hint="eastAsia" w:ascii="仿宋" w:hAnsi="仿宋" w:eastAsia="仿宋" w:cs="仿宋"/>
          <w:b w:val="0"/>
          <w:bCs w:val="0"/>
          <w:snapToGrid w:val="0"/>
          <w:color w:val="000000"/>
          <w:spacing w:val="0"/>
          <w:kern w:val="0"/>
          <w:sz w:val="28"/>
          <w:szCs w:val="28"/>
          <w:lang w:val="en-US" w:eastAsia="zh-CN" w:bidi="ar-SA"/>
        </w:rPr>
        <w:t>（二）</w:t>
      </w:r>
      <w:r>
        <w:rPr>
          <w:rFonts w:hint="default" w:ascii="仿宋" w:hAnsi="仿宋" w:eastAsia="仿宋" w:cs="仿宋"/>
          <w:b w:val="0"/>
          <w:bCs w:val="0"/>
          <w:snapToGrid w:val="0"/>
          <w:color w:val="000000"/>
          <w:spacing w:val="0"/>
          <w:kern w:val="0"/>
          <w:sz w:val="28"/>
          <w:szCs w:val="28"/>
          <w:lang w:val="en-US" w:eastAsia="zh-CN" w:bidi="ar-SA"/>
        </w:rPr>
        <w:t>接受参与采购活动的供应商或其亲友、关系人请客、送礼或赠送礼金、有价证券、贵重物品及给予回扣、好处费、感谢费等其他形式的好处。</w:t>
      </w:r>
    </w:p>
    <w:p w14:paraId="041FD631">
      <w:pPr>
        <w:keepNext w:val="0"/>
        <w:keepLines w:val="0"/>
        <w:pageBreakBefore w:val="0"/>
        <w:widowControl w:val="0"/>
        <w:kinsoku/>
        <w:wordWrap/>
        <w:overflowPunct/>
        <w:topLinePunct w:val="0"/>
        <w:autoSpaceDE/>
        <w:autoSpaceDN/>
        <w:bidi w:val="0"/>
        <w:adjustRightInd w:val="0"/>
        <w:snapToGrid w:val="0"/>
        <w:spacing w:line="480" w:lineRule="exact"/>
        <w:ind w:left="0" w:firstLine="562" w:firstLineChars="200"/>
        <w:textAlignment w:val="baseline"/>
        <w:outlineLvl w:val="3"/>
        <w:rPr>
          <w:rFonts w:hint="eastAsia" w:ascii="仿宋" w:hAnsi="仿宋" w:eastAsia="仿宋" w:cs="仿宋"/>
          <w:b/>
          <w:bCs/>
          <w:snapToGrid w:val="0"/>
          <w:color w:val="000000"/>
          <w:spacing w:val="0"/>
          <w:kern w:val="0"/>
          <w:sz w:val="28"/>
          <w:szCs w:val="28"/>
          <w:lang w:val="en-US" w:eastAsia="zh-CN" w:bidi="ar-SA"/>
        </w:rPr>
      </w:pPr>
      <w:r>
        <w:rPr>
          <w:rFonts w:hint="eastAsia" w:ascii="仿宋" w:hAnsi="仿宋" w:eastAsia="仿宋" w:cs="仿宋"/>
          <w:b/>
          <w:bCs/>
          <w:snapToGrid w:val="0"/>
          <w:color w:val="0000FF"/>
          <w:spacing w:val="0"/>
          <w:kern w:val="0"/>
          <w:sz w:val="28"/>
          <w:szCs w:val="28"/>
          <w:lang w:val="en-US" w:eastAsia="zh-CN" w:bidi="ar-SA"/>
        </w:rPr>
        <w:t>第十一条 协议的解除</w:t>
      </w:r>
    </w:p>
    <w:p w14:paraId="6B9C1A7A">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textAlignment w:val="baseline"/>
        <w:outlineLvl w:val="3"/>
        <w:rPr>
          <w:rFonts w:hint="default" w:ascii="仿宋" w:hAnsi="仿宋" w:eastAsia="仿宋" w:cs="仿宋"/>
          <w:b w:val="0"/>
          <w:bCs w:val="0"/>
          <w:snapToGrid w:val="0"/>
          <w:color w:val="0000FF"/>
          <w:spacing w:val="0"/>
          <w:kern w:val="0"/>
          <w:sz w:val="28"/>
          <w:szCs w:val="28"/>
          <w:lang w:val="en-US" w:eastAsia="zh-CN" w:bidi="ar-SA"/>
        </w:rPr>
      </w:pPr>
      <w:r>
        <w:rPr>
          <w:rFonts w:hint="eastAsia" w:ascii="仿宋" w:hAnsi="仿宋" w:eastAsia="仿宋" w:cs="仿宋"/>
          <w:b w:val="0"/>
          <w:bCs w:val="0"/>
          <w:snapToGrid w:val="0"/>
          <w:color w:val="0000FF"/>
          <w:spacing w:val="0"/>
          <w:kern w:val="0"/>
          <w:sz w:val="28"/>
          <w:szCs w:val="28"/>
          <w:lang w:val="en-US" w:eastAsia="zh-CN" w:bidi="ar-SA"/>
        </w:rPr>
        <w:t>一、若国家法律法规或省级以上行政主管部门政策调整或甲方招标办职能调整导致本项目无法继续履行的，甲方可单方解除协议。</w:t>
      </w:r>
    </w:p>
    <w:p w14:paraId="1E524CE6">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textAlignment w:val="baseline"/>
        <w:outlineLvl w:val="3"/>
        <w:rPr>
          <w:rFonts w:hint="default" w:ascii="仿宋" w:hAnsi="仿宋" w:eastAsia="仿宋" w:cs="仿宋"/>
          <w:b w:val="0"/>
          <w:bCs w:val="0"/>
          <w:snapToGrid w:val="0"/>
          <w:color w:val="0000FF"/>
          <w:spacing w:val="0"/>
          <w:kern w:val="0"/>
          <w:sz w:val="28"/>
          <w:szCs w:val="28"/>
          <w:lang w:val="en-US" w:eastAsia="zh-CN" w:bidi="ar-SA"/>
        </w:rPr>
      </w:pPr>
      <w:r>
        <w:rPr>
          <w:rFonts w:hint="eastAsia" w:ascii="仿宋" w:hAnsi="仿宋" w:eastAsia="仿宋" w:cs="仿宋"/>
          <w:b w:val="0"/>
          <w:bCs w:val="0"/>
          <w:snapToGrid w:val="0"/>
          <w:color w:val="0000FF"/>
          <w:spacing w:val="0"/>
          <w:kern w:val="0"/>
          <w:sz w:val="28"/>
          <w:szCs w:val="28"/>
          <w:lang w:val="en-US" w:eastAsia="zh-CN" w:bidi="ar-SA"/>
        </w:rPr>
        <w:t>二、</w:t>
      </w:r>
      <w:r>
        <w:rPr>
          <w:rFonts w:hint="default" w:ascii="仿宋" w:hAnsi="仿宋" w:eastAsia="仿宋" w:cs="仿宋"/>
          <w:b w:val="0"/>
          <w:bCs w:val="0"/>
          <w:snapToGrid w:val="0"/>
          <w:color w:val="0000FF"/>
          <w:spacing w:val="0"/>
          <w:kern w:val="0"/>
          <w:sz w:val="28"/>
          <w:szCs w:val="28"/>
          <w:lang w:val="en-US" w:eastAsia="zh-CN" w:bidi="ar-SA"/>
        </w:rPr>
        <w:t>如乙方出现以下违约情形之一的，甲方有权单方面解除</w:t>
      </w:r>
      <w:r>
        <w:rPr>
          <w:rFonts w:hint="eastAsia" w:ascii="仿宋" w:hAnsi="仿宋" w:eastAsia="仿宋" w:cs="仿宋"/>
          <w:b w:val="0"/>
          <w:bCs w:val="0"/>
          <w:snapToGrid w:val="0"/>
          <w:color w:val="0000FF"/>
          <w:spacing w:val="0"/>
          <w:kern w:val="0"/>
          <w:sz w:val="28"/>
          <w:szCs w:val="28"/>
          <w:lang w:val="en-US" w:eastAsia="zh-CN" w:bidi="ar-SA"/>
        </w:rPr>
        <w:t>协议</w:t>
      </w:r>
      <w:r>
        <w:rPr>
          <w:rFonts w:hint="default" w:ascii="仿宋" w:hAnsi="仿宋" w:eastAsia="仿宋" w:cs="仿宋"/>
          <w:b w:val="0"/>
          <w:bCs w:val="0"/>
          <w:snapToGrid w:val="0"/>
          <w:color w:val="0000FF"/>
          <w:spacing w:val="0"/>
          <w:kern w:val="0"/>
          <w:sz w:val="28"/>
          <w:szCs w:val="28"/>
          <w:lang w:val="en-US" w:eastAsia="zh-CN" w:bidi="ar-SA"/>
        </w:rPr>
        <w:t>：</w:t>
      </w:r>
    </w:p>
    <w:p w14:paraId="63C2D66B">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textAlignment w:val="baseline"/>
        <w:outlineLvl w:val="3"/>
        <w:rPr>
          <w:rFonts w:hint="eastAsia" w:ascii="仿宋" w:hAnsi="仿宋" w:eastAsia="仿宋" w:cs="仿宋"/>
          <w:b w:val="0"/>
          <w:bCs w:val="0"/>
          <w:snapToGrid w:val="0"/>
          <w:color w:val="0000FF"/>
          <w:spacing w:val="0"/>
          <w:kern w:val="0"/>
          <w:sz w:val="28"/>
          <w:szCs w:val="28"/>
          <w:lang w:val="en-US" w:eastAsia="zh-CN" w:bidi="ar-SA"/>
        </w:rPr>
      </w:pPr>
      <w:r>
        <w:rPr>
          <w:rFonts w:hint="eastAsia" w:ascii="仿宋" w:hAnsi="仿宋" w:eastAsia="仿宋" w:cs="仿宋"/>
          <w:b w:val="0"/>
          <w:bCs w:val="0"/>
          <w:snapToGrid w:val="0"/>
          <w:color w:val="0000FF"/>
          <w:spacing w:val="0"/>
          <w:kern w:val="0"/>
          <w:sz w:val="28"/>
          <w:szCs w:val="28"/>
          <w:lang w:val="en-US" w:eastAsia="zh-CN" w:bidi="ar-SA"/>
        </w:rPr>
        <w:t>（一）乙方拒绝甲方检查的；</w:t>
      </w:r>
    </w:p>
    <w:p w14:paraId="7577CEBA">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textAlignment w:val="baseline"/>
        <w:outlineLvl w:val="3"/>
        <w:rPr>
          <w:rFonts w:hint="default" w:ascii="仿宋" w:hAnsi="仿宋" w:eastAsia="仿宋" w:cs="仿宋"/>
          <w:b w:val="0"/>
          <w:bCs w:val="0"/>
          <w:snapToGrid w:val="0"/>
          <w:color w:val="0000FF"/>
          <w:spacing w:val="0"/>
          <w:kern w:val="0"/>
          <w:sz w:val="28"/>
          <w:szCs w:val="28"/>
          <w:lang w:val="en-US" w:eastAsia="zh-CN" w:bidi="ar-SA"/>
        </w:rPr>
      </w:pPr>
      <w:r>
        <w:rPr>
          <w:rFonts w:hint="eastAsia" w:ascii="仿宋" w:hAnsi="仿宋" w:eastAsia="仿宋" w:cs="仿宋"/>
          <w:b w:val="0"/>
          <w:bCs w:val="0"/>
          <w:snapToGrid w:val="0"/>
          <w:color w:val="0000FF"/>
          <w:spacing w:val="0"/>
          <w:kern w:val="0"/>
          <w:sz w:val="28"/>
          <w:szCs w:val="28"/>
          <w:lang w:val="en-US" w:eastAsia="zh-CN" w:bidi="ar-SA"/>
        </w:rPr>
        <w:t>（二）乙方被甲方考核为不合格的；</w:t>
      </w:r>
    </w:p>
    <w:p w14:paraId="6514EBDE">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textAlignment w:val="baseline"/>
        <w:outlineLvl w:val="3"/>
        <w:rPr>
          <w:rFonts w:hint="eastAsia" w:ascii="仿宋" w:hAnsi="仿宋" w:eastAsia="仿宋" w:cs="仿宋"/>
          <w:b w:val="0"/>
          <w:bCs w:val="0"/>
          <w:snapToGrid w:val="0"/>
          <w:color w:val="0000FF"/>
          <w:spacing w:val="0"/>
          <w:kern w:val="0"/>
          <w:sz w:val="28"/>
          <w:szCs w:val="28"/>
          <w:lang w:val="en-US" w:eastAsia="zh-CN" w:bidi="ar-SA"/>
        </w:rPr>
      </w:pPr>
      <w:r>
        <w:rPr>
          <w:rFonts w:hint="eastAsia" w:ascii="仿宋" w:hAnsi="仿宋" w:eastAsia="仿宋" w:cs="仿宋"/>
          <w:b w:val="0"/>
          <w:bCs w:val="0"/>
          <w:snapToGrid w:val="0"/>
          <w:color w:val="0000FF"/>
          <w:spacing w:val="0"/>
          <w:kern w:val="0"/>
          <w:sz w:val="28"/>
          <w:szCs w:val="28"/>
          <w:lang w:val="en-US" w:eastAsia="zh-CN" w:bidi="ar-SA"/>
        </w:rPr>
        <w:t>（三）乙方违反书面承诺，向甲方收取</w:t>
      </w:r>
      <w:r>
        <w:rPr>
          <w:rFonts w:hint="eastAsia" w:ascii="仿宋" w:hAnsi="仿宋" w:eastAsia="仿宋" w:cs="仿宋"/>
          <w:b w:val="0"/>
          <w:bCs w:val="0"/>
          <w:snapToGrid w:val="0"/>
          <w:color w:val="0000FF"/>
          <w:spacing w:val="0"/>
          <w:kern w:val="0"/>
          <w:sz w:val="28"/>
          <w:szCs w:val="28"/>
          <w:highlight w:val="none"/>
          <w:lang w:val="en-US" w:eastAsia="zh-CN" w:bidi="ar-SA"/>
        </w:rPr>
        <w:t>本协议约定</w:t>
      </w:r>
      <w:r>
        <w:rPr>
          <w:rFonts w:hint="eastAsia" w:ascii="仿宋" w:hAnsi="仿宋" w:eastAsia="仿宋" w:cs="仿宋"/>
          <w:b w:val="0"/>
          <w:bCs w:val="0"/>
          <w:snapToGrid w:val="0"/>
          <w:color w:val="0000FF"/>
          <w:spacing w:val="0"/>
          <w:kern w:val="0"/>
          <w:sz w:val="28"/>
          <w:szCs w:val="28"/>
          <w:lang w:val="en-US" w:eastAsia="zh-CN" w:bidi="ar-SA"/>
        </w:rPr>
        <w:t>及相关法律法规允许的费用以外的其他任何费用的；</w:t>
      </w:r>
    </w:p>
    <w:p w14:paraId="3717D2ED">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textAlignment w:val="baseline"/>
        <w:outlineLvl w:val="3"/>
        <w:rPr>
          <w:rFonts w:hint="eastAsia" w:ascii="仿宋" w:hAnsi="仿宋" w:eastAsia="仿宋" w:cs="仿宋"/>
          <w:b w:val="0"/>
          <w:bCs w:val="0"/>
          <w:snapToGrid w:val="0"/>
          <w:color w:val="0000FF"/>
          <w:spacing w:val="0"/>
          <w:kern w:val="0"/>
          <w:sz w:val="28"/>
          <w:szCs w:val="28"/>
          <w:lang w:val="en-US" w:eastAsia="zh-CN" w:bidi="ar-SA"/>
        </w:rPr>
      </w:pPr>
      <w:r>
        <w:rPr>
          <w:rFonts w:hint="eastAsia" w:ascii="仿宋" w:hAnsi="仿宋" w:eastAsia="仿宋" w:cs="仿宋"/>
          <w:b w:val="0"/>
          <w:bCs w:val="0"/>
          <w:snapToGrid w:val="0"/>
          <w:color w:val="0000FF"/>
          <w:spacing w:val="0"/>
          <w:kern w:val="0"/>
          <w:sz w:val="28"/>
          <w:szCs w:val="28"/>
          <w:lang w:val="en-US" w:eastAsia="zh-CN" w:bidi="ar-SA"/>
        </w:rPr>
        <w:t>（四）</w:t>
      </w:r>
      <w:r>
        <w:rPr>
          <w:rFonts w:hint="default" w:ascii="仿宋" w:hAnsi="仿宋" w:eastAsia="仿宋" w:cs="仿宋"/>
          <w:b w:val="0"/>
          <w:bCs w:val="0"/>
          <w:snapToGrid w:val="0"/>
          <w:color w:val="0000FF"/>
          <w:spacing w:val="0"/>
          <w:kern w:val="0"/>
          <w:sz w:val="28"/>
          <w:szCs w:val="28"/>
          <w:lang w:val="en-US" w:eastAsia="zh-CN" w:bidi="ar-SA"/>
        </w:rPr>
        <w:t>乙方在服务期限内因违法、违规或不诚信行为受到行政监管部门处罚等情况</w:t>
      </w:r>
      <w:r>
        <w:rPr>
          <w:rFonts w:hint="eastAsia" w:ascii="仿宋" w:hAnsi="仿宋" w:eastAsia="仿宋" w:cs="仿宋"/>
          <w:b w:val="0"/>
          <w:bCs w:val="0"/>
          <w:snapToGrid w:val="0"/>
          <w:color w:val="0000FF"/>
          <w:spacing w:val="0"/>
          <w:kern w:val="0"/>
          <w:sz w:val="28"/>
          <w:szCs w:val="28"/>
          <w:lang w:val="en-US" w:eastAsia="zh-CN" w:bidi="ar-SA"/>
        </w:rPr>
        <w:t>的；</w:t>
      </w:r>
    </w:p>
    <w:p w14:paraId="682D1C29">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textAlignment w:val="baseline"/>
        <w:outlineLvl w:val="3"/>
        <w:rPr>
          <w:rFonts w:hint="default" w:ascii="仿宋" w:hAnsi="仿宋" w:eastAsia="仿宋" w:cs="仿宋"/>
          <w:b w:val="0"/>
          <w:bCs w:val="0"/>
          <w:snapToGrid w:val="0"/>
          <w:color w:val="0000FF"/>
          <w:spacing w:val="0"/>
          <w:kern w:val="0"/>
          <w:sz w:val="28"/>
          <w:szCs w:val="28"/>
          <w:lang w:val="en-US" w:eastAsia="zh-CN" w:bidi="ar-SA"/>
        </w:rPr>
      </w:pPr>
      <w:r>
        <w:rPr>
          <w:rFonts w:hint="eastAsia" w:ascii="仿宋" w:hAnsi="仿宋" w:eastAsia="仿宋" w:cs="仿宋"/>
          <w:b w:val="0"/>
          <w:bCs w:val="0"/>
          <w:snapToGrid w:val="0"/>
          <w:color w:val="0000FF"/>
          <w:spacing w:val="0"/>
          <w:kern w:val="0"/>
          <w:sz w:val="28"/>
          <w:szCs w:val="28"/>
          <w:lang w:val="en-US" w:eastAsia="zh-CN" w:bidi="ar-SA"/>
        </w:rPr>
        <w:t>（五）乙方将本协议权利义务全部或部分转让给第三方。</w:t>
      </w:r>
    </w:p>
    <w:p w14:paraId="571BFC64">
      <w:pPr>
        <w:keepNext w:val="0"/>
        <w:keepLines w:val="0"/>
        <w:pageBreakBefore w:val="0"/>
        <w:widowControl w:val="0"/>
        <w:kinsoku/>
        <w:wordWrap/>
        <w:overflowPunct/>
        <w:topLinePunct w:val="0"/>
        <w:autoSpaceDE/>
        <w:autoSpaceDN/>
        <w:bidi w:val="0"/>
        <w:adjustRightInd w:val="0"/>
        <w:snapToGrid w:val="0"/>
        <w:spacing w:line="480" w:lineRule="exact"/>
        <w:ind w:left="0" w:firstLine="562" w:firstLineChars="200"/>
        <w:textAlignment w:val="baseline"/>
        <w:outlineLvl w:val="3"/>
        <w:rPr>
          <w:rFonts w:hint="eastAsia" w:ascii="仿宋" w:hAnsi="仿宋" w:eastAsia="仿宋" w:cs="仿宋"/>
          <w:b/>
          <w:bCs/>
          <w:snapToGrid w:val="0"/>
          <w:color w:val="000000"/>
          <w:spacing w:val="0"/>
          <w:kern w:val="0"/>
          <w:sz w:val="28"/>
          <w:szCs w:val="28"/>
          <w:lang w:val="en-US" w:eastAsia="zh-CN" w:bidi="ar-SA"/>
        </w:rPr>
      </w:pPr>
      <w:r>
        <w:rPr>
          <w:rFonts w:hint="eastAsia" w:ascii="仿宋" w:hAnsi="仿宋" w:eastAsia="仿宋" w:cs="仿宋"/>
          <w:b/>
          <w:bCs/>
          <w:snapToGrid w:val="0"/>
          <w:color w:val="000000"/>
          <w:spacing w:val="0"/>
          <w:kern w:val="0"/>
          <w:sz w:val="28"/>
          <w:szCs w:val="28"/>
          <w:lang w:val="en-US" w:eastAsia="zh-CN" w:bidi="ar-SA"/>
        </w:rPr>
        <w:t>第十二条 违约责任</w:t>
      </w:r>
    </w:p>
    <w:p w14:paraId="1F5E3990">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textAlignment w:val="baseline"/>
        <w:outlineLvl w:val="3"/>
        <w:rPr>
          <w:rFonts w:hint="eastAsia" w:ascii="仿宋" w:hAnsi="仿宋" w:eastAsia="仿宋" w:cs="仿宋"/>
          <w:b w:val="0"/>
          <w:bCs w:val="0"/>
          <w:snapToGrid w:val="0"/>
          <w:color w:val="000000"/>
          <w:spacing w:val="0"/>
          <w:kern w:val="0"/>
          <w:sz w:val="28"/>
          <w:szCs w:val="28"/>
          <w:lang w:val="en-US" w:eastAsia="zh-CN" w:bidi="ar-SA"/>
        </w:rPr>
      </w:pPr>
      <w:r>
        <w:rPr>
          <w:rFonts w:hint="eastAsia" w:ascii="仿宋" w:hAnsi="仿宋" w:eastAsia="仿宋" w:cs="仿宋"/>
          <w:b w:val="0"/>
          <w:bCs w:val="0"/>
          <w:snapToGrid w:val="0"/>
          <w:color w:val="000000"/>
          <w:spacing w:val="0"/>
          <w:kern w:val="0"/>
          <w:sz w:val="28"/>
          <w:szCs w:val="28"/>
          <w:lang w:val="en-US" w:eastAsia="zh-CN" w:bidi="ar-SA"/>
        </w:rPr>
        <w:t>一、如甲方未按本协议约定向乙方支付款项，应按一年期贷款市场报价利率标准向乙方承担所欠款项的利息损失。</w:t>
      </w:r>
    </w:p>
    <w:p w14:paraId="1FBE9E83">
      <w:pPr>
        <w:pStyle w:val="8"/>
        <w:keepNext w:val="0"/>
        <w:keepLines w:val="0"/>
        <w:pageBreakBefore w:val="0"/>
        <w:widowControl w:val="0"/>
        <w:kinsoku/>
        <w:wordWrap/>
        <w:overflowPunct/>
        <w:topLinePunct w:val="0"/>
        <w:bidi w:val="0"/>
        <w:adjustRightInd w:val="0"/>
        <w:snapToGrid w:val="0"/>
        <w:spacing w:line="480" w:lineRule="exact"/>
        <w:ind w:firstLine="560" w:firstLineChars="200"/>
        <w:jc w:val="both"/>
        <w:textAlignment w:val="baseline"/>
        <w:rPr>
          <w:rFonts w:hint="eastAsia" w:ascii="仿宋" w:hAnsi="仿宋" w:eastAsia="仿宋" w:cs="仿宋"/>
          <w:b w:val="0"/>
          <w:bCs w:val="0"/>
          <w:snapToGrid w:val="0"/>
          <w:color w:val="auto"/>
          <w:spacing w:val="0"/>
          <w:kern w:val="0"/>
          <w:sz w:val="28"/>
          <w:szCs w:val="28"/>
          <w:highlight w:val="yellow"/>
          <w:lang w:val="en-US" w:eastAsia="zh-CN" w:bidi="ar-SA"/>
        </w:rPr>
      </w:pPr>
      <w:r>
        <w:rPr>
          <w:rFonts w:hint="eastAsia" w:ascii="仿宋" w:hAnsi="仿宋" w:eastAsia="仿宋" w:cs="仿宋"/>
          <w:b w:val="0"/>
          <w:bCs w:val="0"/>
          <w:snapToGrid w:val="0"/>
          <w:color w:val="000000"/>
          <w:spacing w:val="0"/>
          <w:kern w:val="0"/>
          <w:sz w:val="28"/>
          <w:szCs w:val="28"/>
          <w:lang w:val="en-US" w:eastAsia="zh-CN" w:bidi="ar-SA"/>
        </w:rPr>
        <w:t>二、如乙方未按法律法规规定</w:t>
      </w:r>
      <w:r>
        <w:rPr>
          <w:rFonts w:hint="eastAsia" w:cs="仿宋"/>
          <w:b w:val="0"/>
          <w:bCs w:val="0"/>
          <w:snapToGrid w:val="0"/>
          <w:color w:val="000000"/>
          <w:spacing w:val="0"/>
          <w:kern w:val="0"/>
          <w:sz w:val="28"/>
          <w:szCs w:val="28"/>
          <w:lang w:val="en-US" w:eastAsia="zh-CN" w:bidi="ar-SA"/>
        </w:rPr>
        <w:t>编制采购文件和</w:t>
      </w:r>
      <w:r>
        <w:rPr>
          <w:rFonts w:hint="eastAsia" w:ascii="仿宋" w:hAnsi="仿宋" w:eastAsia="仿宋" w:cs="仿宋"/>
          <w:b w:val="0"/>
          <w:bCs w:val="0"/>
          <w:snapToGrid w:val="0"/>
          <w:color w:val="000000"/>
          <w:spacing w:val="0"/>
          <w:kern w:val="0"/>
          <w:sz w:val="28"/>
          <w:szCs w:val="28"/>
          <w:lang w:val="en-US" w:eastAsia="zh-CN" w:bidi="ar-SA"/>
        </w:rPr>
        <w:t>甲方确认的采购文件组织政府采购活动</w:t>
      </w:r>
      <w:r>
        <w:rPr>
          <w:rFonts w:hint="eastAsia" w:ascii="仿宋" w:hAnsi="仿宋" w:eastAsia="仿宋" w:cs="仿宋"/>
          <w:b w:val="0"/>
          <w:bCs w:val="0"/>
          <w:snapToGrid w:val="0"/>
          <w:color w:val="auto"/>
          <w:spacing w:val="0"/>
          <w:kern w:val="0"/>
          <w:sz w:val="28"/>
          <w:szCs w:val="28"/>
          <w:lang w:val="en-US" w:eastAsia="zh-CN" w:bidi="ar-SA"/>
        </w:rPr>
        <w:t>或</w:t>
      </w:r>
      <w:r>
        <w:rPr>
          <w:rFonts w:hint="eastAsia" w:cs="仿宋"/>
          <w:b w:val="0"/>
          <w:bCs w:val="0"/>
          <w:snapToGrid w:val="0"/>
          <w:color w:val="auto"/>
          <w:spacing w:val="0"/>
          <w:kern w:val="0"/>
          <w:sz w:val="28"/>
          <w:szCs w:val="28"/>
          <w:lang w:val="en-US" w:eastAsia="zh-CN" w:bidi="ar-SA"/>
        </w:rPr>
        <w:t>因</w:t>
      </w:r>
      <w:r>
        <w:rPr>
          <w:rFonts w:hint="eastAsia" w:ascii="仿宋" w:hAnsi="仿宋" w:eastAsia="仿宋" w:cs="仿宋"/>
          <w:b w:val="0"/>
          <w:bCs w:val="0"/>
          <w:snapToGrid w:val="0"/>
          <w:color w:val="auto"/>
          <w:spacing w:val="0"/>
          <w:kern w:val="0"/>
          <w:sz w:val="28"/>
          <w:szCs w:val="28"/>
          <w:lang w:val="en-US" w:eastAsia="zh-CN" w:bidi="ar-SA"/>
        </w:rPr>
        <w:t>乙方其他原因</w:t>
      </w:r>
      <w:r>
        <w:rPr>
          <w:rFonts w:hint="eastAsia" w:ascii="仿宋" w:hAnsi="仿宋" w:eastAsia="仿宋" w:cs="仿宋"/>
          <w:b w:val="0"/>
          <w:bCs w:val="0"/>
          <w:snapToGrid w:val="0"/>
          <w:color w:val="000000"/>
          <w:spacing w:val="0"/>
          <w:kern w:val="0"/>
          <w:sz w:val="28"/>
          <w:szCs w:val="28"/>
          <w:lang w:val="en-US" w:eastAsia="zh-CN" w:bidi="ar-SA"/>
        </w:rPr>
        <w:t>，导致政府采购活动暂停或中标结果无效等，乙方除赔偿甲方及供应商由此造成的经济损失外</w:t>
      </w:r>
      <w:r>
        <w:rPr>
          <w:rFonts w:hint="eastAsia" w:ascii="仿宋" w:hAnsi="仿宋" w:eastAsia="仿宋" w:cs="仿宋"/>
          <w:b w:val="0"/>
          <w:bCs w:val="0"/>
          <w:snapToGrid w:val="0"/>
          <w:color w:val="auto"/>
          <w:spacing w:val="0"/>
          <w:kern w:val="0"/>
          <w:sz w:val="28"/>
          <w:szCs w:val="28"/>
          <w:lang w:val="en-US" w:eastAsia="zh-CN" w:bidi="ar-SA"/>
        </w:rPr>
        <w:t>，还</w:t>
      </w:r>
      <w:r>
        <w:rPr>
          <w:rFonts w:hint="eastAsia" w:ascii="仿宋" w:hAnsi="仿宋" w:eastAsia="仿宋" w:cs="仿宋"/>
          <w:b w:val="0"/>
          <w:bCs w:val="0"/>
          <w:snapToGrid w:val="0"/>
          <w:color w:val="auto"/>
          <w:spacing w:val="0"/>
          <w:kern w:val="0"/>
          <w:sz w:val="28"/>
          <w:szCs w:val="28"/>
          <w:highlight w:val="none"/>
          <w:lang w:val="en-US" w:eastAsia="zh-CN" w:bidi="ar-SA"/>
        </w:rPr>
        <w:t>应</w:t>
      </w:r>
      <w:r>
        <w:rPr>
          <w:rFonts w:hint="eastAsia" w:cs="仿宋"/>
          <w:b w:val="0"/>
          <w:bCs w:val="0"/>
          <w:snapToGrid w:val="0"/>
          <w:color w:val="0000FF"/>
          <w:spacing w:val="0"/>
          <w:kern w:val="0"/>
          <w:sz w:val="28"/>
          <w:szCs w:val="28"/>
          <w:highlight w:val="none"/>
          <w:lang w:val="en-US" w:eastAsia="zh-CN" w:bidi="ar-SA"/>
        </w:rPr>
        <w:t>按服务期限内乙方累计应收取项目代理费的3%</w:t>
      </w:r>
      <w:r>
        <w:rPr>
          <w:rFonts w:hint="eastAsia" w:ascii="仿宋" w:hAnsi="仿宋" w:eastAsia="仿宋" w:cs="仿宋"/>
          <w:b w:val="0"/>
          <w:bCs w:val="0"/>
          <w:snapToGrid w:val="0"/>
          <w:color w:val="auto"/>
          <w:spacing w:val="0"/>
          <w:kern w:val="0"/>
          <w:sz w:val="28"/>
          <w:szCs w:val="28"/>
          <w:highlight w:val="none"/>
          <w:lang w:val="en-US" w:eastAsia="zh-CN" w:bidi="ar-SA"/>
        </w:rPr>
        <w:t>向甲方支付违约金。</w:t>
      </w:r>
    </w:p>
    <w:p w14:paraId="6223FF97">
      <w:pPr>
        <w:keepNext w:val="0"/>
        <w:keepLines w:val="0"/>
        <w:pageBreakBefore w:val="0"/>
        <w:widowControl w:val="0"/>
        <w:kinsoku/>
        <w:wordWrap/>
        <w:overflowPunct/>
        <w:topLinePunct w:val="0"/>
        <w:bidi w:val="0"/>
        <w:adjustRightInd w:val="0"/>
        <w:snapToGrid w:val="0"/>
        <w:spacing w:line="480" w:lineRule="exact"/>
        <w:ind w:firstLine="560" w:firstLineChars="200"/>
        <w:textAlignment w:val="baseline"/>
        <w:rPr>
          <w:rFonts w:hint="eastAsia" w:ascii="仿宋" w:hAnsi="仿宋" w:eastAsia="仿宋" w:cs="仿宋"/>
          <w:color w:val="auto"/>
          <w:spacing w:val="0"/>
          <w:sz w:val="28"/>
          <w:szCs w:val="28"/>
          <w:lang w:val="en-US" w:eastAsia="zh-CN"/>
        </w:rPr>
      </w:pPr>
      <w:r>
        <w:rPr>
          <w:rFonts w:hint="eastAsia" w:ascii="仿宋" w:hAnsi="仿宋" w:eastAsia="仿宋" w:cs="仿宋"/>
          <w:color w:val="auto"/>
          <w:spacing w:val="0"/>
          <w:sz w:val="28"/>
          <w:szCs w:val="28"/>
          <w:lang w:val="en-US" w:eastAsia="zh-CN"/>
        </w:rPr>
        <w:t>三、</w:t>
      </w:r>
      <w:r>
        <w:rPr>
          <w:rFonts w:hint="eastAsia" w:ascii="仿宋" w:hAnsi="仿宋" w:eastAsia="仿宋" w:cs="仿宋"/>
          <w:color w:val="auto"/>
          <w:spacing w:val="0"/>
          <w:sz w:val="28"/>
          <w:szCs w:val="28"/>
        </w:rPr>
        <w:t>如乙方与投标人</w:t>
      </w:r>
      <w:r>
        <w:rPr>
          <w:rFonts w:hint="eastAsia" w:ascii="仿宋" w:hAnsi="仿宋" w:eastAsia="仿宋" w:cs="仿宋"/>
          <w:color w:val="auto"/>
          <w:spacing w:val="0"/>
          <w:sz w:val="28"/>
          <w:szCs w:val="28"/>
          <w:lang w:eastAsia="zh-CN"/>
        </w:rPr>
        <w:t>（</w:t>
      </w:r>
      <w:r>
        <w:rPr>
          <w:rFonts w:hint="eastAsia" w:ascii="仿宋" w:hAnsi="仿宋" w:eastAsia="仿宋" w:cs="仿宋"/>
          <w:color w:val="auto"/>
          <w:spacing w:val="0"/>
          <w:sz w:val="28"/>
          <w:szCs w:val="28"/>
          <w:lang w:val="en-US" w:eastAsia="zh-CN"/>
        </w:rPr>
        <w:t>供应商</w:t>
      </w:r>
      <w:r>
        <w:rPr>
          <w:rFonts w:hint="eastAsia" w:ascii="仿宋" w:hAnsi="仿宋" w:eastAsia="仿宋" w:cs="仿宋"/>
          <w:color w:val="auto"/>
          <w:spacing w:val="0"/>
          <w:sz w:val="28"/>
          <w:szCs w:val="28"/>
          <w:lang w:eastAsia="zh-CN"/>
        </w:rPr>
        <w:t>）</w:t>
      </w:r>
      <w:r>
        <w:rPr>
          <w:rFonts w:hint="eastAsia" w:ascii="仿宋" w:hAnsi="仿宋" w:eastAsia="仿宋" w:cs="仿宋"/>
          <w:color w:val="auto"/>
          <w:spacing w:val="0"/>
          <w:sz w:val="28"/>
          <w:szCs w:val="28"/>
        </w:rPr>
        <w:t>串通投标</w:t>
      </w:r>
      <w:r>
        <w:rPr>
          <w:rFonts w:hint="eastAsia" w:ascii="仿宋" w:hAnsi="仿宋" w:eastAsia="仿宋" w:cs="仿宋"/>
          <w:color w:val="auto"/>
          <w:spacing w:val="0"/>
          <w:sz w:val="28"/>
          <w:szCs w:val="28"/>
          <w:lang w:eastAsia="zh-CN"/>
        </w:rPr>
        <w:t>（</w:t>
      </w:r>
      <w:r>
        <w:rPr>
          <w:rFonts w:hint="eastAsia" w:ascii="仿宋" w:hAnsi="仿宋" w:eastAsia="仿宋" w:cs="仿宋"/>
          <w:color w:val="auto"/>
          <w:spacing w:val="0"/>
          <w:sz w:val="28"/>
          <w:szCs w:val="28"/>
          <w:lang w:val="en-US" w:eastAsia="zh-CN"/>
        </w:rPr>
        <w:t>报价</w:t>
      </w:r>
      <w:r>
        <w:rPr>
          <w:rFonts w:hint="eastAsia" w:ascii="仿宋" w:hAnsi="仿宋" w:eastAsia="仿宋" w:cs="仿宋"/>
          <w:color w:val="auto"/>
          <w:spacing w:val="0"/>
          <w:sz w:val="28"/>
          <w:szCs w:val="28"/>
          <w:lang w:eastAsia="zh-CN"/>
        </w:rPr>
        <w:t>）</w:t>
      </w:r>
      <w:r>
        <w:rPr>
          <w:rFonts w:hint="eastAsia" w:ascii="仿宋" w:hAnsi="仿宋" w:eastAsia="仿宋" w:cs="仿宋"/>
          <w:color w:val="auto"/>
          <w:spacing w:val="0"/>
          <w:sz w:val="28"/>
          <w:szCs w:val="28"/>
          <w:lang w:val="en-US" w:eastAsia="zh-CN"/>
        </w:rPr>
        <w:t>或违反本协议约定的保密义务，</w:t>
      </w:r>
      <w:r>
        <w:rPr>
          <w:rFonts w:hint="eastAsia" w:ascii="仿宋" w:hAnsi="仿宋" w:eastAsia="仿宋" w:cs="仿宋"/>
          <w:color w:val="auto"/>
          <w:spacing w:val="0"/>
          <w:sz w:val="28"/>
          <w:szCs w:val="28"/>
        </w:rPr>
        <w:t>甲方</w:t>
      </w:r>
      <w:r>
        <w:rPr>
          <w:rFonts w:hint="eastAsia" w:ascii="仿宋" w:hAnsi="仿宋" w:eastAsia="仿宋" w:cs="仿宋"/>
          <w:color w:val="auto"/>
          <w:spacing w:val="0"/>
          <w:sz w:val="28"/>
          <w:szCs w:val="28"/>
          <w:lang w:val="en-US" w:eastAsia="zh-CN"/>
        </w:rPr>
        <w:t>有权单方</w:t>
      </w:r>
      <w:r>
        <w:rPr>
          <w:rFonts w:hint="eastAsia" w:ascii="仿宋" w:hAnsi="仿宋" w:eastAsia="仿宋" w:cs="仿宋"/>
          <w:color w:val="auto"/>
          <w:spacing w:val="0"/>
          <w:sz w:val="28"/>
          <w:szCs w:val="28"/>
        </w:rPr>
        <w:t>解除</w:t>
      </w:r>
      <w:r>
        <w:rPr>
          <w:rFonts w:hint="eastAsia" w:ascii="仿宋" w:hAnsi="仿宋" w:eastAsia="仿宋" w:cs="仿宋"/>
          <w:color w:val="auto"/>
          <w:spacing w:val="0"/>
          <w:sz w:val="28"/>
          <w:szCs w:val="28"/>
          <w:lang w:val="en-US" w:eastAsia="zh-CN"/>
        </w:rPr>
        <w:t>本协议</w:t>
      </w:r>
      <w:r>
        <w:rPr>
          <w:rFonts w:hint="eastAsia" w:ascii="仿宋" w:hAnsi="仿宋" w:eastAsia="仿宋" w:cs="仿宋"/>
          <w:color w:val="auto"/>
          <w:spacing w:val="0"/>
          <w:sz w:val="28"/>
          <w:szCs w:val="28"/>
        </w:rPr>
        <w:t>，乙方</w:t>
      </w:r>
      <w:r>
        <w:rPr>
          <w:rFonts w:hint="eastAsia" w:ascii="仿宋" w:hAnsi="仿宋" w:eastAsia="仿宋" w:cs="仿宋"/>
          <w:color w:val="auto"/>
          <w:spacing w:val="0"/>
          <w:sz w:val="28"/>
          <w:szCs w:val="28"/>
          <w:lang w:val="en-US" w:eastAsia="zh-CN"/>
        </w:rPr>
        <w:t>除赔偿甲方由此造成的经济损失外，应按该项目代理费的3倍向甲方支付违约金。</w:t>
      </w:r>
    </w:p>
    <w:p w14:paraId="3B496BEC">
      <w:pPr>
        <w:keepNext w:val="0"/>
        <w:keepLines w:val="0"/>
        <w:pageBreakBefore w:val="0"/>
        <w:widowControl w:val="0"/>
        <w:kinsoku/>
        <w:wordWrap/>
        <w:overflowPunct/>
        <w:topLinePunct w:val="0"/>
        <w:bidi w:val="0"/>
        <w:adjustRightInd w:val="0"/>
        <w:snapToGrid w:val="0"/>
        <w:spacing w:line="480" w:lineRule="exact"/>
        <w:ind w:firstLine="560" w:firstLineChars="200"/>
        <w:textAlignment w:val="baseline"/>
        <w:rPr>
          <w:rFonts w:hint="default" w:ascii="仿宋" w:hAnsi="仿宋" w:eastAsia="仿宋" w:cs="仿宋"/>
          <w:color w:val="FF0000"/>
          <w:spacing w:val="0"/>
          <w:sz w:val="28"/>
          <w:szCs w:val="28"/>
          <w:lang w:val="en-US" w:eastAsia="zh-CN"/>
        </w:rPr>
      </w:pPr>
      <w:r>
        <w:rPr>
          <w:rFonts w:hint="eastAsia" w:ascii="仿宋" w:hAnsi="仿宋" w:eastAsia="仿宋" w:cs="仿宋"/>
          <w:color w:val="0000FF"/>
          <w:spacing w:val="0"/>
          <w:sz w:val="28"/>
          <w:szCs w:val="28"/>
          <w:lang w:val="en-US" w:eastAsia="zh-CN"/>
        </w:rPr>
        <w:t>四、如乙方单方解除协议或甲方因本协议第十一条第二款情形解除协议，乙方除赔偿甲方由此造成的全部经济损失外，还须按服务期限内乙方累计应收取项目代理费的3倍向甲方支付违约金。</w:t>
      </w:r>
    </w:p>
    <w:p w14:paraId="48F9E4AF">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textAlignment w:val="baseline"/>
        <w:outlineLvl w:val="3"/>
        <w:rPr>
          <w:rFonts w:hint="eastAsia" w:ascii="仿宋" w:hAnsi="仿宋" w:eastAsia="仿宋" w:cs="仿宋"/>
          <w:b w:val="0"/>
          <w:bCs w:val="0"/>
          <w:snapToGrid w:val="0"/>
          <w:color w:val="000000"/>
          <w:spacing w:val="0"/>
          <w:kern w:val="0"/>
          <w:sz w:val="28"/>
          <w:szCs w:val="28"/>
          <w:lang w:val="en-US" w:eastAsia="zh-CN" w:bidi="ar-SA"/>
        </w:rPr>
      </w:pPr>
      <w:r>
        <w:rPr>
          <w:rFonts w:hint="eastAsia" w:ascii="仿宋" w:hAnsi="仿宋" w:eastAsia="仿宋" w:cs="仿宋"/>
          <w:b w:val="0"/>
          <w:bCs w:val="0"/>
          <w:snapToGrid w:val="0"/>
          <w:color w:val="000000"/>
          <w:spacing w:val="0"/>
          <w:kern w:val="0"/>
          <w:sz w:val="28"/>
          <w:szCs w:val="28"/>
          <w:lang w:val="en-US" w:eastAsia="zh-CN" w:bidi="ar-SA"/>
        </w:rPr>
        <w:t>五、无论甲方在任意时候（不限于本协议履行期间）发现存在违反本协议廉洁条款的行为，乙方均须向甲方一次性支付惩罚性违约金，违约金标准按以下较高者为准：1.固定违约金为5万元；2.按乙方违反廉洁条款给造成甲方的实际经济损失金额30%计算。如乙方除需承担违反廉洁条款的违约责任外，同时存在其他违约行为，乙方仍须就其他违约行为承担相应违约责任。</w:t>
      </w:r>
    </w:p>
    <w:p w14:paraId="3B1F1A15">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textAlignment w:val="baseline"/>
        <w:outlineLvl w:val="3"/>
        <w:rPr>
          <w:rFonts w:hint="eastAsia" w:ascii="仿宋" w:hAnsi="仿宋" w:eastAsia="仿宋" w:cs="仿宋"/>
          <w:b w:val="0"/>
          <w:bCs w:val="0"/>
          <w:snapToGrid w:val="0"/>
          <w:color w:val="000000"/>
          <w:spacing w:val="0"/>
          <w:kern w:val="0"/>
          <w:sz w:val="28"/>
          <w:szCs w:val="28"/>
          <w:lang w:val="en-US" w:eastAsia="zh-CN" w:bidi="ar-SA"/>
        </w:rPr>
      </w:pPr>
      <w:r>
        <w:rPr>
          <w:rFonts w:hint="eastAsia" w:ascii="仿宋" w:hAnsi="仿宋" w:eastAsia="仿宋" w:cs="仿宋"/>
          <w:b w:val="0"/>
          <w:bCs w:val="0"/>
          <w:snapToGrid w:val="0"/>
          <w:color w:val="000000"/>
          <w:spacing w:val="0"/>
          <w:kern w:val="0"/>
          <w:sz w:val="28"/>
          <w:szCs w:val="28"/>
          <w:lang w:val="en-US" w:eastAsia="zh-CN" w:bidi="ar-SA"/>
        </w:rPr>
        <w:t>六、如甲方因乙方原因涉及纠纷、诉讼或被处以行政处罚，由乙方承担甲方因纠纷、诉讼、罚款等造成的全部经济损失。</w:t>
      </w:r>
    </w:p>
    <w:p w14:paraId="586EB8CE">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textAlignment w:val="baseline"/>
        <w:outlineLvl w:val="3"/>
        <w:rPr>
          <w:rFonts w:hint="default" w:ascii="仿宋" w:hAnsi="仿宋" w:eastAsia="仿宋" w:cs="仿宋"/>
          <w:b w:val="0"/>
          <w:bCs w:val="0"/>
          <w:snapToGrid w:val="0"/>
          <w:color w:val="0000FF"/>
          <w:spacing w:val="0"/>
          <w:kern w:val="0"/>
          <w:sz w:val="28"/>
          <w:szCs w:val="28"/>
          <w:lang w:val="en-US" w:eastAsia="zh-CN" w:bidi="ar-SA"/>
        </w:rPr>
      </w:pPr>
      <w:r>
        <w:rPr>
          <w:rFonts w:hint="eastAsia" w:ascii="仿宋" w:hAnsi="仿宋" w:eastAsia="仿宋" w:cs="仿宋"/>
          <w:b w:val="0"/>
          <w:bCs w:val="0"/>
          <w:snapToGrid w:val="0"/>
          <w:color w:val="0000FF"/>
          <w:spacing w:val="0"/>
          <w:kern w:val="0"/>
          <w:sz w:val="28"/>
          <w:szCs w:val="28"/>
          <w:lang w:val="en-US" w:eastAsia="zh-CN" w:bidi="ar-SA"/>
        </w:rPr>
        <w:t>七、</w:t>
      </w:r>
      <w:r>
        <w:rPr>
          <w:rFonts w:hint="default" w:ascii="仿宋" w:hAnsi="仿宋" w:eastAsia="仿宋" w:cs="仿宋"/>
          <w:b w:val="0"/>
          <w:bCs w:val="0"/>
          <w:snapToGrid w:val="0"/>
          <w:color w:val="0000FF"/>
          <w:spacing w:val="0"/>
          <w:kern w:val="0"/>
          <w:sz w:val="28"/>
          <w:szCs w:val="28"/>
          <w:lang w:val="en-US" w:eastAsia="zh-CN" w:bidi="ar-SA"/>
        </w:rPr>
        <w:t>若乙方出现本合同第十二条第二款第四项规定的情形，甲方在行使单方解除权后，有权终止与乙方的一切业务合作。</w:t>
      </w:r>
    </w:p>
    <w:p w14:paraId="063770E2">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textAlignment w:val="baseline"/>
        <w:outlineLvl w:val="3"/>
        <w:rPr>
          <w:rFonts w:hint="eastAsia" w:ascii="仿宋" w:hAnsi="仿宋" w:eastAsia="仿宋" w:cs="仿宋"/>
          <w:b w:val="0"/>
          <w:bCs w:val="0"/>
          <w:snapToGrid w:val="0"/>
          <w:color w:val="000000"/>
          <w:spacing w:val="0"/>
          <w:kern w:val="0"/>
          <w:sz w:val="28"/>
          <w:szCs w:val="28"/>
          <w:lang w:val="en-US" w:eastAsia="zh-CN" w:bidi="ar-SA"/>
        </w:rPr>
      </w:pPr>
      <w:r>
        <w:rPr>
          <w:rFonts w:hint="eastAsia" w:ascii="仿宋" w:hAnsi="仿宋" w:eastAsia="仿宋" w:cs="仿宋"/>
          <w:b w:val="0"/>
          <w:bCs w:val="0"/>
          <w:snapToGrid w:val="0"/>
          <w:color w:val="000000"/>
          <w:spacing w:val="0"/>
          <w:kern w:val="0"/>
          <w:sz w:val="28"/>
          <w:szCs w:val="28"/>
          <w:lang w:val="en-US" w:eastAsia="zh-CN" w:bidi="ar-SA"/>
        </w:rPr>
        <w:t>八、如一方违约导致另一方通过诉讼主张权利，由此给守约方造成经济损失包括但不限于诉讼费、律师费、保全保险费等，均由违约方承担。</w:t>
      </w:r>
    </w:p>
    <w:p w14:paraId="4D42F110">
      <w:pPr>
        <w:keepNext w:val="0"/>
        <w:keepLines w:val="0"/>
        <w:pageBreakBefore w:val="0"/>
        <w:widowControl w:val="0"/>
        <w:kinsoku/>
        <w:wordWrap/>
        <w:overflowPunct/>
        <w:topLinePunct w:val="0"/>
        <w:autoSpaceDE/>
        <w:autoSpaceDN/>
        <w:bidi w:val="0"/>
        <w:adjustRightInd w:val="0"/>
        <w:snapToGrid w:val="0"/>
        <w:spacing w:line="480" w:lineRule="exact"/>
        <w:ind w:left="0" w:firstLine="562" w:firstLineChars="200"/>
        <w:textAlignment w:val="baseline"/>
        <w:outlineLvl w:val="3"/>
        <w:rPr>
          <w:rFonts w:hint="default" w:ascii="仿宋" w:hAnsi="仿宋" w:eastAsia="仿宋" w:cs="仿宋"/>
          <w:b/>
          <w:bCs/>
          <w:snapToGrid w:val="0"/>
          <w:color w:val="000000"/>
          <w:spacing w:val="0"/>
          <w:kern w:val="0"/>
          <w:sz w:val="28"/>
          <w:szCs w:val="28"/>
          <w:lang w:val="en-US" w:eastAsia="zh-CN" w:bidi="ar-SA"/>
        </w:rPr>
      </w:pPr>
      <w:r>
        <w:rPr>
          <w:rFonts w:hint="eastAsia" w:ascii="仿宋" w:hAnsi="仿宋" w:eastAsia="仿宋" w:cs="仿宋"/>
          <w:b/>
          <w:bCs/>
          <w:snapToGrid w:val="0"/>
          <w:color w:val="000000"/>
          <w:spacing w:val="0"/>
          <w:kern w:val="0"/>
          <w:sz w:val="28"/>
          <w:szCs w:val="28"/>
          <w:lang w:val="en-US" w:eastAsia="zh-CN" w:bidi="ar-SA"/>
        </w:rPr>
        <w:t>第</w:t>
      </w:r>
      <w:r>
        <w:rPr>
          <w:rFonts w:hint="default" w:ascii="仿宋" w:hAnsi="仿宋" w:eastAsia="仿宋" w:cs="仿宋"/>
          <w:b/>
          <w:bCs/>
          <w:snapToGrid w:val="0"/>
          <w:color w:val="000000"/>
          <w:spacing w:val="0"/>
          <w:kern w:val="0"/>
          <w:sz w:val="28"/>
          <w:szCs w:val="28"/>
          <w:lang w:val="en-US" w:eastAsia="zh-CN" w:bidi="ar-SA"/>
        </w:rPr>
        <w:t>十</w:t>
      </w:r>
      <w:r>
        <w:rPr>
          <w:rFonts w:hint="eastAsia" w:ascii="仿宋" w:hAnsi="仿宋" w:eastAsia="仿宋" w:cs="仿宋"/>
          <w:b/>
          <w:bCs/>
          <w:snapToGrid w:val="0"/>
          <w:color w:val="000000"/>
          <w:spacing w:val="0"/>
          <w:kern w:val="0"/>
          <w:sz w:val="28"/>
          <w:szCs w:val="28"/>
          <w:lang w:val="en-US" w:eastAsia="zh-CN" w:bidi="ar-SA"/>
        </w:rPr>
        <w:t xml:space="preserve">三条 </w:t>
      </w:r>
      <w:r>
        <w:rPr>
          <w:rFonts w:hint="default" w:ascii="仿宋" w:hAnsi="仿宋" w:eastAsia="仿宋" w:cs="仿宋"/>
          <w:b/>
          <w:bCs/>
          <w:snapToGrid w:val="0"/>
          <w:color w:val="000000"/>
          <w:spacing w:val="0"/>
          <w:kern w:val="0"/>
          <w:sz w:val="28"/>
          <w:szCs w:val="28"/>
          <w:lang w:val="en-US" w:eastAsia="zh-CN" w:bidi="ar-SA"/>
        </w:rPr>
        <w:t>争议解决方式</w:t>
      </w:r>
    </w:p>
    <w:p w14:paraId="79CC9E51">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textAlignment w:val="baseline"/>
        <w:outlineLvl w:val="3"/>
        <w:rPr>
          <w:rFonts w:hint="default" w:ascii="仿宋" w:hAnsi="仿宋" w:eastAsia="仿宋" w:cs="仿宋"/>
          <w:b w:val="0"/>
          <w:bCs w:val="0"/>
          <w:snapToGrid w:val="0"/>
          <w:color w:val="000000"/>
          <w:spacing w:val="0"/>
          <w:kern w:val="0"/>
          <w:sz w:val="28"/>
          <w:szCs w:val="28"/>
          <w:lang w:val="en-US" w:eastAsia="zh-CN" w:bidi="ar-SA"/>
        </w:rPr>
      </w:pPr>
      <w:r>
        <w:rPr>
          <w:rFonts w:hint="default" w:ascii="仿宋" w:hAnsi="仿宋" w:eastAsia="仿宋" w:cs="仿宋"/>
          <w:b w:val="0"/>
          <w:bCs w:val="0"/>
          <w:snapToGrid w:val="0"/>
          <w:color w:val="000000"/>
          <w:spacing w:val="0"/>
          <w:kern w:val="0"/>
          <w:sz w:val="28"/>
          <w:szCs w:val="28"/>
          <w:lang w:val="en-US" w:eastAsia="zh-CN" w:bidi="ar-SA"/>
        </w:rPr>
        <w:t>如双方在履行本协议过程中发生争议，应先协商解决；协商不成时，任何一方可向甲方住所地有管辖权的人民法院提起诉讼解决。</w:t>
      </w:r>
    </w:p>
    <w:p w14:paraId="35C27A78">
      <w:pPr>
        <w:keepNext w:val="0"/>
        <w:keepLines w:val="0"/>
        <w:pageBreakBefore w:val="0"/>
        <w:widowControl w:val="0"/>
        <w:kinsoku/>
        <w:wordWrap/>
        <w:overflowPunct/>
        <w:topLinePunct w:val="0"/>
        <w:autoSpaceDE/>
        <w:autoSpaceDN/>
        <w:bidi w:val="0"/>
        <w:adjustRightInd w:val="0"/>
        <w:snapToGrid w:val="0"/>
        <w:spacing w:line="480" w:lineRule="exact"/>
        <w:ind w:left="0" w:firstLine="562" w:firstLineChars="200"/>
        <w:textAlignment w:val="baseline"/>
        <w:outlineLvl w:val="3"/>
        <w:rPr>
          <w:rFonts w:hint="default" w:ascii="仿宋" w:hAnsi="仿宋" w:eastAsia="仿宋" w:cs="仿宋"/>
          <w:b/>
          <w:bCs/>
          <w:snapToGrid w:val="0"/>
          <w:color w:val="000000"/>
          <w:spacing w:val="0"/>
          <w:kern w:val="0"/>
          <w:sz w:val="28"/>
          <w:szCs w:val="28"/>
          <w:lang w:val="en-US" w:eastAsia="zh-CN" w:bidi="ar-SA"/>
        </w:rPr>
      </w:pPr>
      <w:r>
        <w:rPr>
          <w:rFonts w:hint="eastAsia" w:ascii="仿宋" w:hAnsi="仿宋" w:eastAsia="仿宋" w:cs="仿宋"/>
          <w:b/>
          <w:bCs/>
          <w:snapToGrid w:val="0"/>
          <w:color w:val="000000"/>
          <w:spacing w:val="0"/>
          <w:kern w:val="0"/>
          <w:sz w:val="28"/>
          <w:szCs w:val="28"/>
          <w:lang w:val="en-US" w:eastAsia="zh-CN" w:bidi="ar-SA"/>
        </w:rPr>
        <w:t>第</w:t>
      </w:r>
      <w:r>
        <w:rPr>
          <w:rFonts w:hint="default" w:ascii="仿宋" w:hAnsi="仿宋" w:eastAsia="仿宋" w:cs="仿宋"/>
          <w:b/>
          <w:bCs/>
          <w:snapToGrid w:val="0"/>
          <w:color w:val="000000"/>
          <w:spacing w:val="0"/>
          <w:kern w:val="0"/>
          <w:sz w:val="28"/>
          <w:szCs w:val="28"/>
          <w:lang w:val="en-US" w:eastAsia="zh-CN" w:bidi="ar-SA"/>
        </w:rPr>
        <w:t>十</w:t>
      </w:r>
      <w:r>
        <w:rPr>
          <w:rFonts w:hint="eastAsia" w:ascii="仿宋" w:hAnsi="仿宋" w:eastAsia="仿宋" w:cs="仿宋"/>
          <w:b/>
          <w:bCs/>
          <w:snapToGrid w:val="0"/>
          <w:color w:val="000000"/>
          <w:spacing w:val="0"/>
          <w:kern w:val="0"/>
          <w:sz w:val="28"/>
          <w:szCs w:val="28"/>
          <w:lang w:val="en-US" w:eastAsia="zh-CN" w:bidi="ar-SA"/>
        </w:rPr>
        <w:t xml:space="preserve">四条 </w:t>
      </w:r>
      <w:r>
        <w:rPr>
          <w:rFonts w:hint="default" w:ascii="仿宋" w:hAnsi="仿宋" w:eastAsia="仿宋" w:cs="仿宋"/>
          <w:b/>
          <w:bCs/>
          <w:snapToGrid w:val="0"/>
          <w:color w:val="000000"/>
          <w:spacing w:val="0"/>
          <w:kern w:val="0"/>
          <w:sz w:val="28"/>
          <w:szCs w:val="28"/>
          <w:lang w:val="en-US" w:eastAsia="zh-CN" w:bidi="ar-SA"/>
        </w:rPr>
        <w:t>附则</w:t>
      </w:r>
    </w:p>
    <w:p w14:paraId="621246F5">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textAlignment w:val="baseline"/>
        <w:outlineLvl w:val="3"/>
        <w:rPr>
          <w:rFonts w:hint="default" w:ascii="仿宋" w:hAnsi="仿宋" w:eastAsia="仿宋" w:cs="仿宋"/>
          <w:b w:val="0"/>
          <w:bCs w:val="0"/>
          <w:snapToGrid w:val="0"/>
          <w:color w:val="000000"/>
          <w:spacing w:val="0"/>
          <w:kern w:val="0"/>
          <w:sz w:val="28"/>
          <w:szCs w:val="28"/>
          <w:lang w:val="en-US" w:eastAsia="zh-CN" w:bidi="ar-SA"/>
        </w:rPr>
      </w:pPr>
      <w:r>
        <w:rPr>
          <w:rFonts w:hint="eastAsia" w:ascii="仿宋" w:hAnsi="仿宋" w:eastAsia="仿宋" w:cs="仿宋"/>
          <w:b w:val="0"/>
          <w:bCs w:val="0"/>
          <w:snapToGrid w:val="0"/>
          <w:color w:val="000000"/>
          <w:spacing w:val="0"/>
          <w:kern w:val="0"/>
          <w:sz w:val="28"/>
          <w:szCs w:val="28"/>
          <w:lang w:val="en-US" w:eastAsia="zh-CN" w:bidi="ar-SA"/>
        </w:rPr>
        <w:t>一、</w:t>
      </w:r>
      <w:r>
        <w:rPr>
          <w:rFonts w:hint="default" w:ascii="仿宋" w:hAnsi="仿宋" w:eastAsia="仿宋" w:cs="仿宋"/>
          <w:b w:val="0"/>
          <w:bCs w:val="0"/>
          <w:snapToGrid w:val="0"/>
          <w:color w:val="000000"/>
          <w:spacing w:val="0"/>
          <w:kern w:val="0"/>
          <w:sz w:val="28"/>
          <w:szCs w:val="28"/>
          <w:lang w:val="en-US" w:eastAsia="zh-CN" w:bidi="ar-SA"/>
        </w:rPr>
        <w:t>本协议未尽事宜，双方另行协商签订补充协议。</w:t>
      </w:r>
    </w:p>
    <w:p w14:paraId="04202E36">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textAlignment w:val="baseline"/>
        <w:outlineLvl w:val="3"/>
        <w:rPr>
          <w:rFonts w:hint="default" w:ascii="仿宋" w:hAnsi="仿宋" w:eastAsia="仿宋" w:cs="仿宋"/>
          <w:b w:val="0"/>
          <w:bCs w:val="0"/>
          <w:snapToGrid w:val="0"/>
          <w:color w:val="0000FF"/>
          <w:spacing w:val="0"/>
          <w:kern w:val="0"/>
          <w:sz w:val="28"/>
          <w:szCs w:val="28"/>
          <w:lang w:val="en-US" w:eastAsia="zh-CN" w:bidi="ar-SA"/>
        </w:rPr>
      </w:pPr>
      <w:r>
        <w:rPr>
          <w:rFonts w:hint="eastAsia" w:ascii="仿宋" w:hAnsi="仿宋" w:eastAsia="仿宋" w:cs="仿宋"/>
          <w:b w:val="0"/>
          <w:bCs w:val="0"/>
          <w:snapToGrid w:val="0"/>
          <w:color w:val="0000FF"/>
          <w:spacing w:val="0"/>
          <w:kern w:val="0"/>
          <w:sz w:val="28"/>
          <w:szCs w:val="28"/>
          <w:lang w:val="en-US" w:eastAsia="zh-CN" w:bidi="ar-SA"/>
        </w:rPr>
        <w:t>二、本协议组成文件和优先解释顺序：乙方在履行本协议过程中作出的书面承诺；补充协议；本协议及附件；中标通知书/成交通知书/议价结果公示/成交公告；投标文件/响应文件；招标文件/采购文件/采购需求；其他与本协议有关的资料。</w:t>
      </w:r>
    </w:p>
    <w:p w14:paraId="253DC364">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textAlignment w:val="baseline"/>
        <w:outlineLvl w:val="3"/>
        <w:rPr>
          <w:rFonts w:hint="default" w:ascii="仿宋" w:hAnsi="仿宋" w:eastAsia="仿宋" w:cs="仿宋"/>
          <w:b w:val="0"/>
          <w:bCs w:val="0"/>
          <w:snapToGrid w:val="0"/>
          <w:color w:val="000000"/>
          <w:spacing w:val="0"/>
          <w:kern w:val="0"/>
          <w:sz w:val="28"/>
          <w:szCs w:val="28"/>
          <w:lang w:val="en-US" w:eastAsia="zh-CN" w:bidi="ar-SA"/>
        </w:rPr>
      </w:pPr>
      <w:r>
        <w:rPr>
          <w:rFonts w:hint="eastAsia" w:ascii="仿宋" w:hAnsi="仿宋" w:eastAsia="仿宋" w:cs="仿宋"/>
          <w:b w:val="0"/>
          <w:bCs w:val="0"/>
          <w:snapToGrid w:val="0"/>
          <w:color w:val="000000"/>
          <w:spacing w:val="0"/>
          <w:kern w:val="0"/>
          <w:sz w:val="28"/>
          <w:szCs w:val="28"/>
          <w:lang w:val="en-US" w:eastAsia="zh-CN" w:bidi="ar-SA"/>
        </w:rPr>
        <w:t>三、</w:t>
      </w:r>
      <w:r>
        <w:rPr>
          <w:rFonts w:hint="default" w:ascii="仿宋" w:hAnsi="仿宋" w:eastAsia="仿宋" w:cs="仿宋"/>
          <w:b w:val="0"/>
          <w:bCs w:val="0"/>
          <w:snapToGrid w:val="0"/>
          <w:color w:val="000000"/>
          <w:spacing w:val="0"/>
          <w:kern w:val="0"/>
          <w:sz w:val="28"/>
          <w:szCs w:val="28"/>
          <w:lang w:val="en-US" w:eastAsia="zh-CN" w:bidi="ar-SA"/>
        </w:rPr>
        <w:t>本协议一式</w:t>
      </w:r>
      <w:r>
        <w:rPr>
          <w:rFonts w:hint="eastAsia" w:ascii="仿宋" w:hAnsi="仿宋" w:eastAsia="仿宋" w:cs="仿宋"/>
          <w:b w:val="0"/>
          <w:bCs w:val="0"/>
          <w:snapToGrid w:val="0"/>
          <w:color w:val="000000"/>
          <w:spacing w:val="0"/>
          <w:kern w:val="0"/>
          <w:sz w:val="28"/>
          <w:szCs w:val="28"/>
          <w:lang w:val="en-US" w:eastAsia="zh-CN" w:bidi="ar-SA"/>
        </w:rPr>
        <w:t>肆</w:t>
      </w:r>
      <w:r>
        <w:rPr>
          <w:rFonts w:hint="default" w:ascii="仿宋" w:hAnsi="仿宋" w:eastAsia="仿宋" w:cs="仿宋"/>
          <w:b w:val="0"/>
          <w:bCs w:val="0"/>
          <w:snapToGrid w:val="0"/>
          <w:color w:val="000000"/>
          <w:spacing w:val="0"/>
          <w:kern w:val="0"/>
          <w:sz w:val="28"/>
          <w:szCs w:val="28"/>
          <w:lang w:val="en-US" w:eastAsia="zh-CN" w:bidi="ar-SA"/>
        </w:rPr>
        <w:t>份，甲方执贰份，乙方执贰份，自双方签字并盖章之日起生效。</w:t>
      </w:r>
    </w:p>
    <w:p w14:paraId="6744CEA0">
      <w:pPr>
        <w:pStyle w:val="8"/>
        <w:rPr>
          <w:rFonts w:hint="default"/>
          <w:lang w:val="en-US" w:eastAsia="zh-CN"/>
        </w:rPr>
      </w:pPr>
    </w:p>
    <w:p w14:paraId="665C4797">
      <w:pPr>
        <w:keepNext w:val="0"/>
        <w:keepLines w:val="0"/>
        <w:pageBreakBefore w:val="0"/>
        <w:widowControl w:val="0"/>
        <w:kinsoku/>
        <w:wordWrap/>
        <w:overflowPunct/>
        <w:topLinePunct w:val="0"/>
        <w:autoSpaceDE/>
        <w:autoSpaceDN/>
        <w:bidi w:val="0"/>
        <w:adjustRightInd w:val="0"/>
        <w:snapToGrid w:val="0"/>
        <w:spacing w:line="360" w:lineRule="auto"/>
        <w:ind w:left="0" w:firstLine="560" w:firstLineChars="200"/>
        <w:textAlignment w:val="baseline"/>
        <w:outlineLvl w:val="3"/>
        <w:rPr>
          <w:rFonts w:hint="default" w:ascii="仿宋" w:hAnsi="仿宋" w:eastAsia="仿宋" w:cs="仿宋"/>
          <w:b w:val="0"/>
          <w:bCs w:val="0"/>
          <w:snapToGrid w:val="0"/>
          <w:color w:val="000000"/>
          <w:spacing w:val="0"/>
          <w:kern w:val="0"/>
          <w:sz w:val="28"/>
          <w:szCs w:val="28"/>
          <w:lang w:val="en-US" w:eastAsia="zh-CN" w:bidi="ar-SA"/>
        </w:rPr>
      </w:pPr>
      <w:r>
        <w:rPr>
          <w:rFonts w:hint="default" w:ascii="仿宋" w:hAnsi="仿宋" w:eastAsia="仿宋" w:cs="仿宋"/>
          <w:b w:val="0"/>
          <w:bCs w:val="0"/>
          <w:snapToGrid w:val="0"/>
          <w:color w:val="000000"/>
          <w:spacing w:val="0"/>
          <w:kern w:val="0"/>
          <w:sz w:val="28"/>
          <w:szCs w:val="28"/>
          <w:lang w:val="en-US" w:eastAsia="zh-CN" w:bidi="ar-SA"/>
        </w:rPr>
        <w:t>甲方（盖章）：娄底市中心医院    乙方（盖章）：</w:t>
      </w:r>
    </w:p>
    <w:p w14:paraId="09FD91AB">
      <w:pPr>
        <w:keepNext w:val="0"/>
        <w:keepLines w:val="0"/>
        <w:pageBreakBefore w:val="0"/>
        <w:widowControl w:val="0"/>
        <w:kinsoku/>
        <w:wordWrap/>
        <w:overflowPunct/>
        <w:topLinePunct w:val="0"/>
        <w:autoSpaceDE/>
        <w:autoSpaceDN/>
        <w:bidi w:val="0"/>
        <w:adjustRightInd w:val="0"/>
        <w:snapToGrid w:val="0"/>
        <w:spacing w:line="360" w:lineRule="auto"/>
        <w:ind w:left="0" w:firstLine="560" w:firstLineChars="200"/>
        <w:textAlignment w:val="baseline"/>
        <w:outlineLvl w:val="3"/>
        <w:rPr>
          <w:rFonts w:hint="default" w:ascii="仿宋" w:hAnsi="仿宋" w:eastAsia="仿宋" w:cs="仿宋"/>
          <w:b w:val="0"/>
          <w:bCs w:val="0"/>
          <w:snapToGrid w:val="0"/>
          <w:color w:val="000000"/>
          <w:spacing w:val="0"/>
          <w:kern w:val="0"/>
          <w:sz w:val="28"/>
          <w:szCs w:val="28"/>
          <w:lang w:val="en-US" w:eastAsia="zh-CN" w:bidi="ar-SA"/>
        </w:rPr>
      </w:pPr>
    </w:p>
    <w:p w14:paraId="61325FAE">
      <w:pPr>
        <w:keepNext w:val="0"/>
        <w:keepLines w:val="0"/>
        <w:pageBreakBefore w:val="0"/>
        <w:widowControl w:val="0"/>
        <w:kinsoku/>
        <w:wordWrap/>
        <w:overflowPunct/>
        <w:topLinePunct w:val="0"/>
        <w:autoSpaceDE/>
        <w:autoSpaceDN/>
        <w:bidi w:val="0"/>
        <w:adjustRightInd w:val="0"/>
        <w:snapToGrid w:val="0"/>
        <w:spacing w:line="360" w:lineRule="auto"/>
        <w:ind w:left="0" w:firstLine="560" w:firstLineChars="200"/>
        <w:textAlignment w:val="baseline"/>
        <w:outlineLvl w:val="3"/>
        <w:rPr>
          <w:rFonts w:hint="default" w:ascii="仿宋" w:hAnsi="仿宋" w:eastAsia="仿宋" w:cs="仿宋"/>
          <w:b w:val="0"/>
          <w:bCs w:val="0"/>
          <w:snapToGrid w:val="0"/>
          <w:color w:val="000000"/>
          <w:spacing w:val="0"/>
          <w:kern w:val="0"/>
          <w:sz w:val="28"/>
          <w:szCs w:val="28"/>
          <w:lang w:val="en-US" w:eastAsia="zh-CN" w:bidi="ar-SA"/>
        </w:rPr>
      </w:pPr>
      <w:r>
        <w:rPr>
          <w:rFonts w:hint="default" w:ascii="仿宋" w:hAnsi="仿宋" w:eastAsia="仿宋" w:cs="仿宋"/>
          <w:b w:val="0"/>
          <w:bCs w:val="0"/>
          <w:snapToGrid w:val="0"/>
          <w:color w:val="000000"/>
          <w:spacing w:val="0"/>
          <w:kern w:val="0"/>
          <w:sz w:val="28"/>
          <w:szCs w:val="28"/>
          <w:lang w:val="en-US" w:eastAsia="zh-CN" w:bidi="ar-SA"/>
        </w:rPr>
        <w:t>法定代表人（签字）：</w:t>
      </w:r>
      <w:r>
        <w:rPr>
          <w:rFonts w:hint="default" w:ascii="仿宋" w:hAnsi="仿宋" w:eastAsia="仿宋" w:cs="仿宋"/>
          <w:b w:val="0"/>
          <w:bCs w:val="0"/>
          <w:snapToGrid w:val="0"/>
          <w:color w:val="000000"/>
          <w:spacing w:val="0"/>
          <w:kern w:val="0"/>
          <w:sz w:val="28"/>
          <w:szCs w:val="28"/>
          <w:lang w:val="en-US" w:eastAsia="zh-CN" w:bidi="ar-SA"/>
        </w:rPr>
        <w:tab/>
      </w:r>
      <w:r>
        <w:rPr>
          <w:rFonts w:hint="default" w:ascii="仿宋" w:hAnsi="仿宋" w:eastAsia="仿宋" w:cs="仿宋"/>
          <w:b w:val="0"/>
          <w:bCs w:val="0"/>
          <w:snapToGrid w:val="0"/>
          <w:color w:val="000000"/>
          <w:spacing w:val="0"/>
          <w:kern w:val="0"/>
          <w:sz w:val="28"/>
          <w:szCs w:val="28"/>
          <w:lang w:val="en-US" w:eastAsia="zh-CN" w:bidi="ar-SA"/>
        </w:rPr>
        <w:tab/>
      </w:r>
      <w:r>
        <w:rPr>
          <w:rFonts w:hint="default" w:ascii="仿宋" w:hAnsi="仿宋" w:eastAsia="仿宋" w:cs="仿宋"/>
          <w:b w:val="0"/>
          <w:bCs w:val="0"/>
          <w:snapToGrid w:val="0"/>
          <w:color w:val="000000"/>
          <w:spacing w:val="0"/>
          <w:kern w:val="0"/>
          <w:sz w:val="28"/>
          <w:szCs w:val="28"/>
          <w:lang w:val="en-US" w:eastAsia="zh-CN" w:bidi="ar-SA"/>
        </w:rPr>
        <w:tab/>
      </w:r>
      <w:r>
        <w:rPr>
          <w:rFonts w:hint="default" w:ascii="仿宋" w:hAnsi="仿宋" w:eastAsia="仿宋" w:cs="仿宋"/>
          <w:b w:val="0"/>
          <w:bCs w:val="0"/>
          <w:snapToGrid w:val="0"/>
          <w:color w:val="000000"/>
          <w:spacing w:val="0"/>
          <w:kern w:val="0"/>
          <w:sz w:val="28"/>
          <w:szCs w:val="28"/>
          <w:lang w:val="en-US" w:eastAsia="zh-CN" w:bidi="ar-SA"/>
        </w:rPr>
        <w:tab/>
      </w:r>
      <w:r>
        <w:rPr>
          <w:rFonts w:hint="default" w:ascii="仿宋" w:hAnsi="仿宋" w:eastAsia="仿宋" w:cs="仿宋"/>
          <w:b w:val="0"/>
          <w:bCs w:val="0"/>
          <w:snapToGrid w:val="0"/>
          <w:color w:val="000000"/>
          <w:spacing w:val="0"/>
          <w:kern w:val="0"/>
          <w:sz w:val="28"/>
          <w:szCs w:val="28"/>
          <w:lang w:val="en-US" w:eastAsia="zh-CN" w:bidi="ar-SA"/>
        </w:rPr>
        <w:t>法定代表人（签字）：</w:t>
      </w:r>
    </w:p>
    <w:p w14:paraId="0CAE6CBD">
      <w:pPr>
        <w:keepNext w:val="0"/>
        <w:keepLines w:val="0"/>
        <w:pageBreakBefore w:val="0"/>
        <w:widowControl w:val="0"/>
        <w:kinsoku/>
        <w:wordWrap/>
        <w:overflowPunct/>
        <w:topLinePunct w:val="0"/>
        <w:autoSpaceDE/>
        <w:autoSpaceDN/>
        <w:bidi w:val="0"/>
        <w:adjustRightInd w:val="0"/>
        <w:snapToGrid w:val="0"/>
        <w:spacing w:line="360" w:lineRule="auto"/>
        <w:ind w:left="0" w:firstLine="560" w:firstLineChars="200"/>
        <w:textAlignment w:val="baseline"/>
        <w:outlineLvl w:val="3"/>
        <w:rPr>
          <w:rFonts w:hint="default" w:ascii="仿宋" w:hAnsi="仿宋" w:eastAsia="仿宋" w:cs="仿宋"/>
          <w:b w:val="0"/>
          <w:bCs w:val="0"/>
          <w:snapToGrid w:val="0"/>
          <w:color w:val="000000"/>
          <w:spacing w:val="0"/>
          <w:kern w:val="0"/>
          <w:sz w:val="28"/>
          <w:szCs w:val="28"/>
          <w:lang w:val="en-US" w:eastAsia="zh-CN" w:bidi="ar-SA"/>
        </w:rPr>
      </w:pPr>
    </w:p>
    <w:p w14:paraId="0DFCE231">
      <w:pPr>
        <w:keepNext w:val="0"/>
        <w:keepLines w:val="0"/>
        <w:pageBreakBefore w:val="0"/>
        <w:widowControl w:val="0"/>
        <w:kinsoku/>
        <w:wordWrap/>
        <w:overflowPunct/>
        <w:topLinePunct w:val="0"/>
        <w:autoSpaceDE/>
        <w:autoSpaceDN/>
        <w:bidi w:val="0"/>
        <w:adjustRightInd w:val="0"/>
        <w:snapToGrid w:val="0"/>
        <w:spacing w:line="360" w:lineRule="auto"/>
        <w:ind w:left="0" w:firstLine="560" w:firstLineChars="200"/>
        <w:textAlignment w:val="baseline"/>
        <w:outlineLvl w:val="3"/>
        <w:rPr>
          <w:rFonts w:hint="default" w:ascii="仿宋" w:hAnsi="仿宋" w:eastAsia="仿宋" w:cs="仿宋"/>
          <w:b w:val="0"/>
          <w:bCs w:val="0"/>
          <w:snapToGrid w:val="0"/>
          <w:color w:val="000000"/>
          <w:spacing w:val="0"/>
          <w:kern w:val="0"/>
          <w:sz w:val="28"/>
          <w:szCs w:val="28"/>
          <w:lang w:val="en-US" w:eastAsia="zh-CN" w:bidi="ar-SA"/>
        </w:rPr>
      </w:pPr>
      <w:r>
        <w:rPr>
          <w:rFonts w:hint="default" w:ascii="仿宋" w:hAnsi="仿宋" w:eastAsia="仿宋" w:cs="仿宋"/>
          <w:b w:val="0"/>
          <w:bCs w:val="0"/>
          <w:snapToGrid w:val="0"/>
          <w:color w:val="000000"/>
          <w:spacing w:val="0"/>
          <w:kern w:val="0"/>
          <w:sz w:val="28"/>
          <w:szCs w:val="28"/>
          <w:lang w:val="en-US" w:eastAsia="zh-CN" w:bidi="ar-SA"/>
        </w:rPr>
        <w:t xml:space="preserve">或委托代理人（签字）：         </w:t>
      </w:r>
      <w:r>
        <w:rPr>
          <w:rFonts w:hint="eastAsia" w:ascii="仿宋" w:hAnsi="仿宋" w:eastAsia="仿宋" w:cs="仿宋"/>
          <w:b w:val="0"/>
          <w:bCs w:val="0"/>
          <w:snapToGrid w:val="0"/>
          <w:color w:val="000000"/>
          <w:spacing w:val="0"/>
          <w:kern w:val="0"/>
          <w:sz w:val="28"/>
          <w:szCs w:val="28"/>
          <w:lang w:val="en-US" w:eastAsia="zh-CN" w:bidi="ar-SA"/>
        </w:rPr>
        <w:t xml:space="preserve"> </w:t>
      </w:r>
      <w:r>
        <w:rPr>
          <w:rFonts w:hint="default" w:ascii="仿宋" w:hAnsi="仿宋" w:eastAsia="仿宋" w:cs="仿宋"/>
          <w:b w:val="0"/>
          <w:bCs w:val="0"/>
          <w:snapToGrid w:val="0"/>
          <w:color w:val="000000"/>
          <w:spacing w:val="0"/>
          <w:kern w:val="0"/>
          <w:sz w:val="28"/>
          <w:szCs w:val="28"/>
          <w:lang w:val="en-US" w:eastAsia="zh-CN" w:bidi="ar-SA"/>
        </w:rPr>
        <w:t>或委托代理人（签字）：</w:t>
      </w:r>
    </w:p>
    <w:p w14:paraId="369F1080">
      <w:pPr>
        <w:keepNext w:val="0"/>
        <w:keepLines w:val="0"/>
        <w:pageBreakBefore w:val="0"/>
        <w:widowControl w:val="0"/>
        <w:kinsoku/>
        <w:wordWrap/>
        <w:overflowPunct/>
        <w:topLinePunct w:val="0"/>
        <w:autoSpaceDE/>
        <w:autoSpaceDN/>
        <w:bidi w:val="0"/>
        <w:adjustRightInd w:val="0"/>
        <w:snapToGrid w:val="0"/>
        <w:spacing w:line="360" w:lineRule="auto"/>
        <w:ind w:left="0" w:firstLine="560" w:firstLineChars="200"/>
        <w:textAlignment w:val="baseline"/>
        <w:outlineLvl w:val="3"/>
        <w:rPr>
          <w:rFonts w:hint="default" w:ascii="仿宋" w:hAnsi="仿宋" w:eastAsia="仿宋" w:cs="仿宋"/>
          <w:b w:val="0"/>
          <w:bCs w:val="0"/>
          <w:snapToGrid w:val="0"/>
          <w:color w:val="000000"/>
          <w:spacing w:val="0"/>
          <w:kern w:val="0"/>
          <w:sz w:val="28"/>
          <w:szCs w:val="28"/>
          <w:lang w:val="en-US" w:eastAsia="zh-CN" w:bidi="ar-SA"/>
        </w:rPr>
      </w:pPr>
    </w:p>
    <w:p w14:paraId="0379CD5F">
      <w:pPr>
        <w:keepNext w:val="0"/>
        <w:keepLines w:val="0"/>
        <w:pageBreakBefore w:val="0"/>
        <w:widowControl w:val="0"/>
        <w:kinsoku/>
        <w:wordWrap/>
        <w:overflowPunct/>
        <w:topLinePunct w:val="0"/>
        <w:autoSpaceDE/>
        <w:autoSpaceDN/>
        <w:bidi w:val="0"/>
        <w:adjustRightInd w:val="0"/>
        <w:snapToGrid w:val="0"/>
        <w:spacing w:line="360" w:lineRule="auto"/>
        <w:ind w:left="0" w:firstLine="560" w:firstLineChars="200"/>
        <w:textAlignment w:val="baseline"/>
        <w:outlineLvl w:val="3"/>
        <w:rPr>
          <w:rFonts w:hint="default" w:ascii="仿宋" w:hAnsi="仿宋" w:eastAsia="仿宋" w:cs="仿宋"/>
          <w:b w:val="0"/>
          <w:bCs w:val="0"/>
          <w:snapToGrid w:val="0"/>
          <w:color w:val="000000"/>
          <w:spacing w:val="0"/>
          <w:kern w:val="0"/>
          <w:sz w:val="28"/>
          <w:szCs w:val="28"/>
          <w:lang w:val="en-US" w:eastAsia="zh-CN" w:bidi="ar-SA"/>
        </w:rPr>
      </w:pPr>
      <w:r>
        <w:rPr>
          <w:rFonts w:hint="default" w:ascii="仿宋" w:hAnsi="仿宋" w:eastAsia="仿宋" w:cs="仿宋"/>
          <w:b w:val="0"/>
          <w:bCs w:val="0"/>
          <w:snapToGrid w:val="0"/>
          <w:color w:val="000000"/>
          <w:spacing w:val="0"/>
          <w:kern w:val="0"/>
          <w:sz w:val="28"/>
          <w:szCs w:val="28"/>
          <w:lang w:val="en-US" w:eastAsia="zh-CN" w:bidi="ar-SA"/>
        </w:rPr>
        <w:t xml:space="preserve">签约地点：娄底市娄星区      签约时间：  </w:t>
      </w:r>
      <w:r>
        <w:rPr>
          <w:rFonts w:hint="eastAsia" w:ascii="仿宋" w:hAnsi="仿宋" w:eastAsia="仿宋" w:cs="仿宋"/>
          <w:b w:val="0"/>
          <w:bCs w:val="0"/>
          <w:snapToGrid w:val="0"/>
          <w:color w:val="000000"/>
          <w:spacing w:val="0"/>
          <w:kern w:val="0"/>
          <w:sz w:val="28"/>
          <w:szCs w:val="28"/>
          <w:lang w:val="en-US" w:eastAsia="zh-CN" w:bidi="ar-SA"/>
        </w:rPr>
        <w:t xml:space="preserve">  </w:t>
      </w:r>
      <w:r>
        <w:rPr>
          <w:rFonts w:hint="default" w:ascii="仿宋" w:hAnsi="仿宋" w:eastAsia="仿宋" w:cs="仿宋"/>
          <w:b w:val="0"/>
          <w:bCs w:val="0"/>
          <w:snapToGrid w:val="0"/>
          <w:color w:val="000000"/>
          <w:spacing w:val="0"/>
          <w:kern w:val="0"/>
          <w:sz w:val="28"/>
          <w:szCs w:val="28"/>
          <w:lang w:val="en-US" w:eastAsia="zh-CN" w:bidi="ar-SA"/>
        </w:rPr>
        <w:t>年  月  日</w:t>
      </w:r>
    </w:p>
    <w:p w14:paraId="58C0ABC2">
      <w:pPr>
        <w:pStyle w:val="8"/>
        <w:keepNext w:val="0"/>
        <w:keepLines w:val="0"/>
        <w:pageBreakBefore w:val="0"/>
        <w:widowControl w:val="0"/>
        <w:kinsoku w:val="0"/>
        <w:wordWrap/>
        <w:overflowPunct/>
        <w:topLinePunct w:val="0"/>
        <w:autoSpaceDE w:val="0"/>
        <w:autoSpaceDN w:val="0"/>
        <w:bidi w:val="0"/>
        <w:adjustRightInd w:val="0"/>
        <w:snapToGrid w:val="0"/>
        <w:spacing w:line="360" w:lineRule="auto"/>
        <w:ind w:firstLine="624" w:firstLineChars="200"/>
        <w:jc w:val="both"/>
        <w:textAlignment w:val="baseline"/>
        <w:outlineLvl w:val="3"/>
        <w:rPr>
          <w:rFonts w:hint="default" w:cs="仿宋"/>
          <w:snapToGrid w:val="0"/>
          <w:color w:val="000000"/>
          <w:spacing w:val="16"/>
          <w:kern w:val="0"/>
          <w:sz w:val="28"/>
          <w:szCs w:val="28"/>
          <w:u w:val="none"/>
          <w:lang w:val="en-US" w:eastAsia="zh-CN" w:bidi="ar-SA"/>
        </w:rPr>
      </w:pPr>
    </w:p>
    <w:p w14:paraId="58712078"/>
    <w:p w14:paraId="44FB4EE6">
      <w:pPr>
        <w:rPr>
          <w:rFonts w:ascii="宋体" w:hAnsi="宋体"/>
          <w:color w:val="auto"/>
          <w:kern w:val="0"/>
          <w:szCs w:val="21"/>
        </w:rPr>
      </w:pPr>
    </w:p>
    <w:sectPr>
      <w:footerReference r:id="rId8" w:type="first"/>
      <w:footerReference r:id="rId7" w:type="default"/>
      <w:pgSz w:w="11906" w:h="16838"/>
      <w:pgMar w:top="1077" w:right="1418" w:bottom="1077" w:left="1418" w:header="851" w:footer="992" w:gutter="0"/>
      <w:pgBorders>
        <w:top w:val="none" w:sz="0" w:space="0"/>
        <w:left w:val="none" w:sz="0" w:space="0"/>
        <w:bottom w:val="none" w:sz="0" w:space="0"/>
        <w:right w:val="none" w:sz="0" w:space="0"/>
      </w:pgBorders>
      <w:pgNumType w:fmt="decimal" w:start="1"/>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Noto Sans">
    <w:altName w:val="Segoe UI Light"/>
    <w:panose1 w:val="020B0502040504020204"/>
    <w:charset w:val="00"/>
    <w:family w:val="auto"/>
    <w:pitch w:val="default"/>
    <w:sig w:usb0="00000000" w:usb1="00000000" w:usb2="00000000" w:usb3="00000000" w:csb0="2000019F" w:csb1="DFD70000"/>
  </w:font>
  <w:font w:name="Segoe UI Light">
    <w:panose1 w:val="020B0502040204020203"/>
    <w:charset w:val="00"/>
    <w:family w:val="auto"/>
    <w:pitch w:val="default"/>
    <w:sig w:usb0="E4002EFF" w:usb1="C000E47F"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BB8FD">
    <w:pPr>
      <w:pStyle w:val="16"/>
      <w:jc w:val="center"/>
    </w:pPr>
    <w:r>
      <w:fldChar w:fldCharType="begin"/>
    </w:r>
    <w:r>
      <w:instrText xml:space="preserve"> PAGE   \* MERGEFORMAT </w:instrText>
    </w:r>
    <w:r>
      <w:fldChar w:fldCharType="separate"/>
    </w:r>
    <w:r>
      <w:rPr>
        <w:lang w:val="zh-CN"/>
      </w:rPr>
      <w:t>7</w:t>
    </w:r>
    <w:r>
      <w:rPr>
        <w:lang w:val="zh-CN"/>
      </w:rPr>
      <w:fldChar w:fldCharType="end"/>
    </w:r>
  </w:p>
  <w:p w14:paraId="164E7047">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6FF3B">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7C24F">
    <w:pPr>
      <w:pStyle w:val="1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0AC97D">
                          <w:pPr>
                            <w:pStyle w:val="16"/>
                            <w:jc w:val="center"/>
                          </w:pPr>
                          <w:r>
                            <w:fldChar w:fldCharType="begin"/>
                          </w:r>
                          <w:r>
                            <w:instrText xml:space="preserve"> PAGE   \* MERGEFORMAT </w:instrText>
                          </w:r>
                          <w:r>
                            <w:fldChar w:fldCharType="separate"/>
                          </w:r>
                          <w:r>
                            <w:rPr>
                              <w:lang w:val="zh-CN"/>
                            </w:rPr>
                            <w:t>7</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30AC97D">
                    <w:pPr>
                      <w:pStyle w:val="16"/>
                      <w:jc w:val="center"/>
                    </w:pPr>
                    <w:r>
                      <w:fldChar w:fldCharType="begin"/>
                    </w:r>
                    <w:r>
                      <w:instrText xml:space="preserve"> PAGE   \* MERGEFORMAT </w:instrText>
                    </w:r>
                    <w:r>
                      <w:fldChar w:fldCharType="separate"/>
                    </w:r>
                    <w:r>
                      <w:rPr>
                        <w:lang w:val="zh-CN"/>
                      </w:rPr>
                      <w:t>7</w:t>
                    </w:r>
                    <w:r>
                      <w:rPr>
                        <w:lang w:val="zh-CN"/>
                      </w:rPr>
                      <w:fldChar w:fldCharType="end"/>
                    </w:r>
                  </w:p>
                </w:txbxContent>
              </v:textbox>
            </v:shape>
          </w:pict>
        </mc:Fallback>
      </mc:AlternateContent>
    </w:r>
  </w:p>
  <w:p w14:paraId="05490567">
    <w:pPr>
      <w:pStyle w:val="1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F2421">
    <w:pPr>
      <w:pStyle w:val="1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F80008">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CF80008">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5E0EFC">
    <w:pPr>
      <w:pStyle w:val="1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7D958">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8081B0"/>
    <w:multiLevelType w:val="singleLevel"/>
    <w:tmpl w:val="8A8081B0"/>
    <w:lvl w:ilvl="0" w:tentative="0">
      <w:start w:val="1"/>
      <w:numFmt w:val="decimal"/>
      <w:lvlText w:val="%1."/>
      <w:lvlJc w:val="left"/>
      <w:pPr>
        <w:tabs>
          <w:tab w:val="left" w:pos="312"/>
        </w:tabs>
      </w:pPr>
    </w:lvl>
  </w:abstractNum>
  <w:abstractNum w:abstractNumId="1">
    <w:nsid w:val="A6AEE71D"/>
    <w:multiLevelType w:val="singleLevel"/>
    <w:tmpl w:val="A6AEE71D"/>
    <w:lvl w:ilvl="0" w:tentative="0">
      <w:start w:val="15"/>
      <w:numFmt w:val="chineseCounting"/>
      <w:suff w:val="nothing"/>
      <w:lvlText w:val="（%1）"/>
      <w:lvlJc w:val="left"/>
      <w:rPr>
        <w:rFonts w:hint="eastAsia"/>
      </w:rPr>
    </w:lvl>
  </w:abstractNum>
  <w:abstractNum w:abstractNumId="2">
    <w:nsid w:val="B2BF9352"/>
    <w:multiLevelType w:val="singleLevel"/>
    <w:tmpl w:val="B2BF9352"/>
    <w:lvl w:ilvl="0" w:tentative="0">
      <w:start w:val="1"/>
      <w:numFmt w:val="chineseCounting"/>
      <w:suff w:val="space"/>
      <w:lvlText w:val="第%1章"/>
      <w:lvlJc w:val="left"/>
      <w:rPr>
        <w:rFonts w:hint="eastAsia"/>
      </w:rPr>
    </w:lvl>
  </w:abstractNum>
  <w:abstractNum w:abstractNumId="3">
    <w:nsid w:val="B2D79D48"/>
    <w:multiLevelType w:val="singleLevel"/>
    <w:tmpl w:val="B2D79D48"/>
    <w:lvl w:ilvl="0" w:tentative="0">
      <w:start w:val="1"/>
      <w:numFmt w:val="decimal"/>
      <w:suff w:val="nothing"/>
      <w:lvlText w:val="%1．"/>
      <w:lvlJc w:val="left"/>
      <w:pPr>
        <w:ind w:left="0" w:firstLine="400"/>
      </w:pPr>
      <w:rPr>
        <w:rFonts w:hint="default"/>
      </w:rPr>
    </w:lvl>
  </w:abstractNum>
  <w:abstractNum w:abstractNumId="4">
    <w:nsid w:val="B3793AC8"/>
    <w:multiLevelType w:val="singleLevel"/>
    <w:tmpl w:val="B3793AC8"/>
    <w:lvl w:ilvl="0" w:tentative="0">
      <w:start w:val="1"/>
      <w:numFmt w:val="decimal"/>
      <w:suff w:val="nothing"/>
      <w:lvlText w:val="%1．"/>
      <w:lvlJc w:val="left"/>
      <w:pPr>
        <w:ind w:left="0" w:firstLine="400"/>
      </w:pPr>
      <w:rPr>
        <w:rFonts w:hint="default"/>
      </w:rPr>
    </w:lvl>
  </w:abstractNum>
  <w:abstractNum w:abstractNumId="5">
    <w:nsid w:val="BE3B31F0"/>
    <w:multiLevelType w:val="singleLevel"/>
    <w:tmpl w:val="BE3B31F0"/>
    <w:lvl w:ilvl="0" w:tentative="0">
      <w:start w:val="1"/>
      <w:numFmt w:val="decimal"/>
      <w:suff w:val="nothing"/>
      <w:lvlText w:val="%1．"/>
      <w:lvlJc w:val="left"/>
      <w:pPr>
        <w:ind w:left="0" w:firstLine="400"/>
      </w:pPr>
      <w:rPr>
        <w:rFonts w:hint="default"/>
        <w:sz w:val="24"/>
        <w:szCs w:val="24"/>
      </w:rPr>
    </w:lvl>
  </w:abstractNum>
  <w:abstractNum w:abstractNumId="6">
    <w:nsid w:val="F0A2BBF0"/>
    <w:multiLevelType w:val="singleLevel"/>
    <w:tmpl w:val="F0A2BBF0"/>
    <w:lvl w:ilvl="0" w:tentative="0">
      <w:start w:val="1"/>
      <w:numFmt w:val="decimal"/>
      <w:suff w:val="nothing"/>
      <w:lvlText w:val="%1．"/>
      <w:lvlJc w:val="left"/>
      <w:pPr>
        <w:ind w:left="0" w:firstLine="400"/>
      </w:pPr>
      <w:rPr>
        <w:rFonts w:hint="default"/>
      </w:rPr>
    </w:lvl>
  </w:abstractNum>
  <w:abstractNum w:abstractNumId="7">
    <w:nsid w:val="0796D92E"/>
    <w:multiLevelType w:val="singleLevel"/>
    <w:tmpl w:val="0796D92E"/>
    <w:lvl w:ilvl="0" w:tentative="0">
      <w:start w:val="1"/>
      <w:numFmt w:val="decimal"/>
      <w:suff w:val="nothing"/>
      <w:lvlText w:val="%1、"/>
      <w:lvlJc w:val="left"/>
    </w:lvl>
  </w:abstractNum>
  <w:abstractNum w:abstractNumId="8">
    <w:nsid w:val="1496DAD9"/>
    <w:multiLevelType w:val="singleLevel"/>
    <w:tmpl w:val="1496DAD9"/>
    <w:lvl w:ilvl="0" w:tentative="0">
      <w:start w:val="1"/>
      <w:numFmt w:val="decimal"/>
      <w:suff w:val="nothing"/>
      <w:lvlText w:val="%1．"/>
      <w:lvlJc w:val="left"/>
      <w:pPr>
        <w:ind w:left="0" w:firstLine="400"/>
      </w:pPr>
      <w:rPr>
        <w:rFonts w:hint="default"/>
      </w:rPr>
    </w:lvl>
  </w:abstractNum>
  <w:abstractNum w:abstractNumId="9">
    <w:nsid w:val="3319AFCB"/>
    <w:multiLevelType w:val="singleLevel"/>
    <w:tmpl w:val="3319AFCB"/>
    <w:lvl w:ilvl="0" w:tentative="0">
      <w:start w:val="1"/>
      <w:numFmt w:val="decimal"/>
      <w:suff w:val="nothing"/>
      <w:lvlText w:val="%1．"/>
      <w:lvlJc w:val="left"/>
      <w:pPr>
        <w:ind w:left="0" w:firstLine="400"/>
      </w:pPr>
      <w:rPr>
        <w:rFonts w:hint="default"/>
      </w:rPr>
    </w:lvl>
  </w:abstractNum>
  <w:abstractNum w:abstractNumId="10">
    <w:nsid w:val="40CF091B"/>
    <w:multiLevelType w:val="singleLevel"/>
    <w:tmpl w:val="40CF091B"/>
    <w:lvl w:ilvl="0" w:tentative="0">
      <w:start w:val="1"/>
      <w:numFmt w:val="decimal"/>
      <w:suff w:val="nothing"/>
      <w:lvlText w:val="%1．"/>
      <w:lvlJc w:val="left"/>
      <w:pPr>
        <w:ind w:left="0" w:firstLine="400"/>
      </w:pPr>
      <w:rPr>
        <w:rFonts w:hint="default"/>
      </w:rPr>
    </w:lvl>
  </w:abstractNum>
  <w:abstractNum w:abstractNumId="11">
    <w:nsid w:val="45AED4F9"/>
    <w:multiLevelType w:val="singleLevel"/>
    <w:tmpl w:val="45AED4F9"/>
    <w:lvl w:ilvl="0" w:tentative="0">
      <w:start w:val="1"/>
      <w:numFmt w:val="decimal"/>
      <w:suff w:val="nothing"/>
      <w:lvlText w:val="%1．"/>
      <w:lvlJc w:val="left"/>
      <w:pPr>
        <w:ind w:left="0" w:firstLine="400"/>
      </w:pPr>
      <w:rPr>
        <w:rFonts w:hint="default"/>
      </w:rPr>
    </w:lvl>
  </w:abstractNum>
  <w:num w:numId="1">
    <w:abstractNumId w:val="2"/>
  </w:num>
  <w:num w:numId="2">
    <w:abstractNumId w:val="4"/>
  </w:num>
  <w:num w:numId="3">
    <w:abstractNumId w:val="10"/>
  </w:num>
  <w:num w:numId="4">
    <w:abstractNumId w:val="0"/>
  </w:num>
  <w:num w:numId="5">
    <w:abstractNumId w:val="1"/>
  </w:num>
  <w:num w:numId="6">
    <w:abstractNumId w:val="9"/>
  </w:num>
  <w:num w:numId="7">
    <w:abstractNumId w:val="3"/>
  </w:num>
  <w:num w:numId="8">
    <w:abstractNumId w:val="6"/>
  </w:num>
  <w:num w:numId="9">
    <w:abstractNumId w:val="8"/>
  </w:num>
  <w:num w:numId="10">
    <w:abstractNumId w:val="11"/>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yMjdmNTBkNzVjYWU0MGJkZjdhYjkzM2YwMDhmYWEifQ=="/>
  </w:docVars>
  <w:rsids>
    <w:rsidRoot w:val="00471396"/>
    <w:rsid w:val="00000C2F"/>
    <w:rsid w:val="0001273E"/>
    <w:rsid w:val="00012CB0"/>
    <w:rsid w:val="0001408A"/>
    <w:rsid w:val="00022C77"/>
    <w:rsid w:val="0005704F"/>
    <w:rsid w:val="000729E7"/>
    <w:rsid w:val="00073F91"/>
    <w:rsid w:val="0008604A"/>
    <w:rsid w:val="000A059C"/>
    <w:rsid w:val="000B056C"/>
    <w:rsid w:val="000B1E6F"/>
    <w:rsid w:val="000C2785"/>
    <w:rsid w:val="000C46C3"/>
    <w:rsid w:val="000E090E"/>
    <w:rsid w:val="000E6B11"/>
    <w:rsid w:val="0012622E"/>
    <w:rsid w:val="00145740"/>
    <w:rsid w:val="00180C67"/>
    <w:rsid w:val="00192848"/>
    <w:rsid w:val="001A5FC8"/>
    <w:rsid w:val="001B3CED"/>
    <w:rsid w:val="001C0F2D"/>
    <w:rsid w:val="001C309F"/>
    <w:rsid w:val="001D55FD"/>
    <w:rsid w:val="001E2005"/>
    <w:rsid w:val="001E6B5B"/>
    <w:rsid w:val="001F0048"/>
    <w:rsid w:val="00203BDE"/>
    <w:rsid w:val="00224065"/>
    <w:rsid w:val="0023682F"/>
    <w:rsid w:val="00240EB9"/>
    <w:rsid w:val="002567EC"/>
    <w:rsid w:val="002604C2"/>
    <w:rsid w:val="00273FC6"/>
    <w:rsid w:val="00280B51"/>
    <w:rsid w:val="00296A3D"/>
    <w:rsid w:val="00296E0D"/>
    <w:rsid w:val="002B47D3"/>
    <w:rsid w:val="002B51E9"/>
    <w:rsid w:val="002E52FB"/>
    <w:rsid w:val="002E756E"/>
    <w:rsid w:val="00320616"/>
    <w:rsid w:val="003452D2"/>
    <w:rsid w:val="00354AD4"/>
    <w:rsid w:val="0038791C"/>
    <w:rsid w:val="00390460"/>
    <w:rsid w:val="003915F9"/>
    <w:rsid w:val="003A2AAF"/>
    <w:rsid w:val="003B5D23"/>
    <w:rsid w:val="003C6699"/>
    <w:rsid w:val="003E3F8C"/>
    <w:rsid w:val="003F2267"/>
    <w:rsid w:val="003F3D0B"/>
    <w:rsid w:val="004010F3"/>
    <w:rsid w:val="00403D74"/>
    <w:rsid w:val="00414C0E"/>
    <w:rsid w:val="00433BCF"/>
    <w:rsid w:val="004349D5"/>
    <w:rsid w:val="004577DB"/>
    <w:rsid w:val="00470560"/>
    <w:rsid w:val="00471396"/>
    <w:rsid w:val="00477A4B"/>
    <w:rsid w:val="00493388"/>
    <w:rsid w:val="004B17CA"/>
    <w:rsid w:val="004B7ADE"/>
    <w:rsid w:val="004C12C7"/>
    <w:rsid w:val="004C66E5"/>
    <w:rsid w:val="00522733"/>
    <w:rsid w:val="00525F43"/>
    <w:rsid w:val="00530311"/>
    <w:rsid w:val="00550A30"/>
    <w:rsid w:val="00553854"/>
    <w:rsid w:val="00556EE6"/>
    <w:rsid w:val="00587E5A"/>
    <w:rsid w:val="005A48EA"/>
    <w:rsid w:val="005A4911"/>
    <w:rsid w:val="005A6748"/>
    <w:rsid w:val="005B4E25"/>
    <w:rsid w:val="005B6923"/>
    <w:rsid w:val="005C118B"/>
    <w:rsid w:val="005E6C03"/>
    <w:rsid w:val="005F0EEF"/>
    <w:rsid w:val="005F56B4"/>
    <w:rsid w:val="00600B42"/>
    <w:rsid w:val="00601BBF"/>
    <w:rsid w:val="00614F40"/>
    <w:rsid w:val="0062113E"/>
    <w:rsid w:val="00623AB0"/>
    <w:rsid w:val="0064521A"/>
    <w:rsid w:val="00662D22"/>
    <w:rsid w:val="00684A98"/>
    <w:rsid w:val="00684E3D"/>
    <w:rsid w:val="00684E82"/>
    <w:rsid w:val="006957A0"/>
    <w:rsid w:val="006979DD"/>
    <w:rsid w:val="006B1A10"/>
    <w:rsid w:val="006B603F"/>
    <w:rsid w:val="006C01A0"/>
    <w:rsid w:val="006C629E"/>
    <w:rsid w:val="006D3659"/>
    <w:rsid w:val="006E44F9"/>
    <w:rsid w:val="006E7175"/>
    <w:rsid w:val="00702DCE"/>
    <w:rsid w:val="00732C75"/>
    <w:rsid w:val="007519E5"/>
    <w:rsid w:val="007624B2"/>
    <w:rsid w:val="007726E6"/>
    <w:rsid w:val="00774F90"/>
    <w:rsid w:val="007770F8"/>
    <w:rsid w:val="0078797C"/>
    <w:rsid w:val="00793389"/>
    <w:rsid w:val="00793E1A"/>
    <w:rsid w:val="007957C4"/>
    <w:rsid w:val="007D5135"/>
    <w:rsid w:val="007D6A1D"/>
    <w:rsid w:val="007F1293"/>
    <w:rsid w:val="007F6966"/>
    <w:rsid w:val="00801A5E"/>
    <w:rsid w:val="008039AD"/>
    <w:rsid w:val="00810D9A"/>
    <w:rsid w:val="00825027"/>
    <w:rsid w:val="00826A37"/>
    <w:rsid w:val="00833120"/>
    <w:rsid w:val="00842631"/>
    <w:rsid w:val="00844F66"/>
    <w:rsid w:val="0087434D"/>
    <w:rsid w:val="00877376"/>
    <w:rsid w:val="00881ED7"/>
    <w:rsid w:val="00892058"/>
    <w:rsid w:val="008B50BF"/>
    <w:rsid w:val="008D211E"/>
    <w:rsid w:val="008D2AE0"/>
    <w:rsid w:val="008E3BCE"/>
    <w:rsid w:val="008E7653"/>
    <w:rsid w:val="008F5AFD"/>
    <w:rsid w:val="0090212F"/>
    <w:rsid w:val="00902212"/>
    <w:rsid w:val="00921F8C"/>
    <w:rsid w:val="00926C9E"/>
    <w:rsid w:val="009428B1"/>
    <w:rsid w:val="00943708"/>
    <w:rsid w:val="0095767C"/>
    <w:rsid w:val="00960068"/>
    <w:rsid w:val="009631A5"/>
    <w:rsid w:val="00972650"/>
    <w:rsid w:val="009865D1"/>
    <w:rsid w:val="00994A03"/>
    <w:rsid w:val="00995BF1"/>
    <w:rsid w:val="009B3CE6"/>
    <w:rsid w:val="009B7AA9"/>
    <w:rsid w:val="009E1AE5"/>
    <w:rsid w:val="009E1D66"/>
    <w:rsid w:val="009E504E"/>
    <w:rsid w:val="00A357DD"/>
    <w:rsid w:val="00A740D5"/>
    <w:rsid w:val="00A757F2"/>
    <w:rsid w:val="00A913BA"/>
    <w:rsid w:val="00A92141"/>
    <w:rsid w:val="00AA065A"/>
    <w:rsid w:val="00AA2E92"/>
    <w:rsid w:val="00AC7545"/>
    <w:rsid w:val="00AC7AC7"/>
    <w:rsid w:val="00AC7F30"/>
    <w:rsid w:val="00AF16B4"/>
    <w:rsid w:val="00B15037"/>
    <w:rsid w:val="00B16789"/>
    <w:rsid w:val="00B20310"/>
    <w:rsid w:val="00B248B8"/>
    <w:rsid w:val="00B33CB4"/>
    <w:rsid w:val="00B45BE6"/>
    <w:rsid w:val="00B56A7F"/>
    <w:rsid w:val="00B573A8"/>
    <w:rsid w:val="00B63594"/>
    <w:rsid w:val="00B638F6"/>
    <w:rsid w:val="00B67909"/>
    <w:rsid w:val="00B726A5"/>
    <w:rsid w:val="00BB5C1E"/>
    <w:rsid w:val="00BD5970"/>
    <w:rsid w:val="00C144F6"/>
    <w:rsid w:val="00C21C95"/>
    <w:rsid w:val="00C32740"/>
    <w:rsid w:val="00C35798"/>
    <w:rsid w:val="00C50B26"/>
    <w:rsid w:val="00C50F27"/>
    <w:rsid w:val="00C53435"/>
    <w:rsid w:val="00C56135"/>
    <w:rsid w:val="00C57747"/>
    <w:rsid w:val="00C61F8D"/>
    <w:rsid w:val="00CB415E"/>
    <w:rsid w:val="00CB4EFD"/>
    <w:rsid w:val="00CC7433"/>
    <w:rsid w:val="00CC789E"/>
    <w:rsid w:val="00CD4425"/>
    <w:rsid w:val="00CF084E"/>
    <w:rsid w:val="00D060B0"/>
    <w:rsid w:val="00D13121"/>
    <w:rsid w:val="00D133A5"/>
    <w:rsid w:val="00D21ED0"/>
    <w:rsid w:val="00D23BC0"/>
    <w:rsid w:val="00D32E45"/>
    <w:rsid w:val="00D6044B"/>
    <w:rsid w:val="00D72E5F"/>
    <w:rsid w:val="00D87592"/>
    <w:rsid w:val="00D96CED"/>
    <w:rsid w:val="00DA2044"/>
    <w:rsid w:val="00DA2363"/>
    <w:rsid w:val="00DC1B34"/>
    <w:rsid w:val="00DC38D0"/>
    <w:rsid w:val="00DC4A7D"/>
    <w:rsid w:val="00DD32B2"/>
    <w:rsid w:val="00DE2CB6"/>
    <w:rsid w:val="00DF375D"/>
    <w:rsid w:val="00E0102C"/>
    <w:rsid w:val="00E26C0D"/>
    <w:rsid w:val="00E3038F"/>
    <w:rsid w:val="00E330B6"/>
    <w:rsid w:val="00E63B18"/>
    <w:rsid w:val="00E73C78"/>
    <w:rsid w:val="00EA28BA"/>
    <w:rsid w:val="00EA3FCE"/>
    <w:rsid w:val="00EC2878"/>
    <w:rsid w:val="00ED1AAF"/>
    <w:rsid w:val="00ED797B"/>
    <w:rsid w:val="00EE4A60"/>
    <w:rsid w:val="00F16905"/>
    <w:rsid w:val="00F443EA"/>
    <w:rsid w:val="00F572A7"/>
    <w:rsid w:val="00F77039"/>
    <w:rsid w:val="00F8364F"/>
    <w:rsid w:val="00FB1A6B"/>
    <w:rsid w:val="00FB4CC1"/>
    <w:rsid w:val="00FC7E95"/>
    <w:rsid w:val="00FD25F6"/>
    <w:rsid w:val="015A390A"/>
    <w:rsid w:val="01682250"/>
    <w:rsid w:val="019C7A7E"/>
    <w:rsid w:val="02301FCF"/>
    <w:rsid w:val="028F31D5"/>
    <w:rsid w:val="02AB408B"/>
    <w:rsid w:val="031F053B"/>
    <w:rsid w:val="03F851F9"/>
    <w:rsid w:val="047A5783"/>
    <w:rsid w:val="050463C4"/>
    <w:rsid w:val="056E1197"/>
    <w:rsid w:val="05F530BF"/>
    <w:rsid w:val="062568CE"/>
    <w:rsid w:val="0730108D"/>
    <w:rsid w:val="07FF6152"/>
    <w:rsid w:val="0815209C"/>
    <w:rsid w:val="08793E21"/>
    <w:rsid w:val="08AB3BAE"/>
    <w:rsid w:val="08D4468A"/>
    <w:rsid w:val="08E73603"/>
    <w:rsid w:val="08E80AF4"/>
    <w:rsid w:val="097048E5"/>
    <w:rsid w:val="097B0545"/>
    <w:rsid w:val="098D4F59"/>
    <w:rsid w:val="09DC7F62"/>
    <w:rsid w:val="0A165F4E"/>
    <w:rsid w:val="0A330BFA"/>
    <w:rsid w:val="0A4630A2"/>
    <w:rsid w:val="0A6011C5"/>
    <w:rsid w:val="0A840B51"/>
    <w:rsid w:val="0C752ECD"/>
    <w:rsid w:val="0CA315BF"/>
    <w:rsid w:val="0D8D30DA"/>
    <w:rsid w:val="0E05267C"/>
    <w:rsid w:val="0E943FF9"/>
    <w:rsid w:val="0F2C405D"/>
    <w:rsid w:val="0FC64674"/>
    <w:rsid w:val="105D213F"/>
    <w:rsid w:val="106900AD"/>
    <w:rsid w:val="107C7264"/>
    <w:rsid w:val="11991213"/>
    <w:rsid w:val="11C02A7F"/>
    <w:rsid w:val="12281BA5"/>
    <w:rsid w:val="12504EBA"/>
    <w:rsid w:val="12E86732"/>
    <w:rsid w:val="1352385D"/>
    <w:rsid w:val="13880342"/>
    <w:rsid w:val="13B84A3F"/>
    <w:rsid w:val="14AF4558"/>
    <w:rsid w:val="1519592D"/>
    <w:rsid w:val="15936953"/>
    <w:rsid w:val="15A563D8"/>
    <w:rsid w:val="16A45893"/>
    <w:rsid w:val="16B70AB9"/>
    <w:rsid w:val="172016ED"/>
    <w:rsid w:val="1781554E"/>
    <w:rsid w:val="17DD615F"/>
    <w:rsid w:val="185250BA"/>
    <w:rsid w:val="199944A6"/>
    <w:rsid w:val="19C11A1E"/>
    <w:rsid w:val="19DE2F3F"/>
    <w:rsid w:val="1A501C87"/>
    <w:rsid w:val="1A954C6D"/>
    <w:rsid w:val="1AC9069A"/>
    <w:rsid w:val="1B241F80"/>
    <w:rsid w:val="1B9FC16A"/>
    <w:rsid w:val="1BC40FF1"/>
    <w:rsid w:val="1BFB6677"/>
    <w:rsid w:val="1C493F61"/>
    <w:rsid w:val="1CB83BB9"/>
    <w:rsid w:val="1CEB6DC6"/>
    <w:rsid w:val="1D2B5162"/>
    <w:rsid w:val="1D9751A0"/>
    <w:rsid w:val="1DBA74AD"/>
    <w:rsid w:val="1E107C03"/>
    <w:rsid w:val="1E4C6376"/>
    <w:rsid w:val="1EA86164"/>
    <w:rsid w:val="1F236E2F"/>
    <w:rsid w:val="1F6C6D96"/>
    <w:rsid w:val="1F6D6B78"/>
    <w:rsid w:val="1FD2588D"/>
    <w:rsid w:val="1FF20808"/>
    <w:rsid w:val="20263055"/>
    <w:rsid w:val="202645B9"/>
    <w:rsid w:val="20287860"/>
    <w:rsid w:val="20492625"/>
    <w:rsid w:val="22115896"/>
    <w:rsid w:val="22B01493"/>
    <w:rsid w:val="22ED46CC"/>
    <w:rsid w:val="235A5E54"/>
    <w:rsid w:val="239161EE"/>
    <w:rsid w:val="24031B8A"/>
    <w:rsid w:val="24543AB0"/>
    <w:rsid w:val="246A51C8"/>
    <w:rsid w:val="247471A9"/>
    <w:rsid w:val="24A74D9D"/>
    <w:rsid w:val="24B40106"/>
    <w:rsid w:val="24E762A9"/>
    <w:rsid w:val="24F5353F"/>
    <w:rsid w:val="25C40F7D"/>
    <w:rsid w:val="25E87235"/>
    <w:rsid w:val="277C68B7"/>
    <w:rsid w:val="27A04C51"/>
    <w:rsid w:val="286C5EC7"/>
    <w:rsid w:val="287C4005"/>
    <w:rsid w:val="28A075FF"/>
    <w:rsid w:val="28BF1B8A"/>
    <w:rsid w:val="292175E4"/>
    <w:rsid w:val="2A5E84C7"/>
    <w:rsid w:val="2A80674D"/>
    <w:rsid w:val="2A831E1E"/>
    <w:rsid w:val="2AC450FA"/>
    <w:rsid w:val="2ACA6CDE"/>
    <w:rsid w:val="2B5E554F"/>
    <w:rsid w:val="2BB83811"/>
    <w:rsid w:val="2BCB18BB"/>
    <w:rsid w:val="2C13732B"/>
    <w:rsid w:val="2C1856FE"/>
    <w:rsid w:val="2C2C6036"/>
    <w:rsid w:val="2D1839CC"/>
    <w:rsid w:val="2E0E3854"/>
    <w:rsid w:val="2EB94082"/>
    <w:rsid w:val="2EEF3631"/>
    <w:rsid w:val="2F0A06B1"/>
    <w:rsid w:val="2F13458E"/>
    <w:rsid w:val="2F3D58ED"/>
    <w:rsid w:val="2F9B5833"/>
    <w:rsid w:val="2FE467C6"/>
    <w:rsid w:val="300202DE"/>
    <w:rsid w:val="307F7AFA"/>
    <w:rsid w:val="310C1521"/>
    <w:rsid w:val="310D6A91"/>
    <w:rsid w:val="310F3F4F"/>
    <w:rsid w:val="31310656"/>
    <w:rsid w:val="32AD175A"/>
    <w:rsid w:val="34B8321F"/>
    <w:rsid w:val="34D43F1E"/>
    <w:rsid w:val="351C625F"/>
    <w:rsid w:val="358A69F0"/>
    <w:rsid w:val="359466ED"/>
    <w:rsid w:val="35F92264"/>
    <w:rsid w:val="365E39FE"/>
    <w:rsid w:val="37BE7DCD"/>
    <w:rsid w:val="37F304FA"/>
    <w:rsid w:val="37F44EB7"/>
    <w:rsid w:val="38CE730F"/>
    <w:rsid w:val="391A4EC5"/>
    <w:rsid w:val="399620C4"/>
    <w:rsid w:val="399B34CA"/>
    <w:rsid w:val="39EE5CF0"/>
    <w:rsid w:val="3B236659"/>
    <w:rsid w:val="3B4C31A0"/>
    <w:rsid w:val="3B711272"/>
    <w:rsid w:val="3C4271FA"/>
    <w:rsid w:val="3C4876A7"/>
    <w:rsid w:val="3CFD5A3D"/>
    <w:rsid w:val="3DEA33A6"/>
    <w:rsid w:val="3E4D56DB"/>
    <w:rsid w:val="3E6B22A3"/>
    <w:rsid w:val="3E8D1649"/>
    <w:rsid w:val="3F363DC7"/>
    <w:rsid w:val="3F495677"/>
    <w:rsid w:val="3F800E1D"/>
    <w:rsid w:val="3F9C0E9E"/>
    <w:rsid w:val="3FF06607"/>
    <w:rsid w:val="406B1907"/>
    <w:rsid w:val="40712094"/>
    <w:rsid w:val="40BC0654"/>
    <w:rsid w:val="41135CAC"/>
    <w:rsid w:val="415807A3"/>
    <w:rsid w:val="417F25A7"/>
    <w:rsid w:val="42B411D8"/>
    <w:rsid w:val="438B1A38"/>
    <w:rsid w:val="441B3429"/>
    <w:rsid w:val="469E253A"/>
    <w:rsid w:val="47845197"/>
    <w:rsid w:val="47862654"/>
    <w:rsid w:val="47A53E92"/>
    <w:rsid w:val="482F1EF9"/>
    <w:rsid w:val="485A5713"/>
    <w:rsid w:val="48951D5E"/>
    <w:rsid w:val="48CA21B9"/>
    <w:rsid w:val="48D969DF"/>
    <w:rsid w:val="48E11046"/>
    <w:rsid w:val="490873A5"/>
    <w:rsid w:val="492158AB"/>
    <w:rsid w:val="4990131C"/>
    <w:rsid w:val="49933DED"/>
    <w:rsid w:val="49DE7B2F"/>
    <w:rsid w:val="49ED3B99"/>
    <w:rsid w:val="4A556B11"/>
    <w:rsid w:val="4A842484"/>
    <w:rsid w:val="4A8D4944"/>
    <w:rsid w:val="4A8E6E5F"/>
    <w:rsid w:val="4A9138C5"/>
    <w:rsid w:val="4ACC648F"/>
    <w:rsid w:val="4B013AD5"/>
    <w:rsid w:val="4B030815"/>
    <w:rsid w:val="4B1436E1"/>
    <w:rsid w:val="4B412EDD"/>
    <w:rsid w:val="4B46773A"/>
    <w:rsid w:val="4B6E57B5"/>
    <w:rsid w:val="4BA11667"/>
    <w:rsid w:val="4BBC369E"/>
    <w:rsid w:val="4BD57020"/>
    <w:rsid w:val="4C3C5B7B"/>
    <w:rsid w:val="4CA233A5"/>
    <w:rsid w:val="4CAD3633"/>
    <w:rsid w:val="4E914C57"/>
    <w:rsid w:val="4EF4164F"/>
    <w:rsid w:val="4F7D0AC4"/>
    <w:rsid w:val="4FA02E3A"/>
    <w:rsid w:val="4FA669F9"/>
    <w:rsid w:val="4FAA7FE7"/>
    <w:rsid w:val="4FF059E1"/>
    <w:rsid w:val="50864C6E"/>
    <w:rsid w:val="51685DEE"/>
    <w:rsid w:val="519B42AD"/>
    <w:rsid w:val="51D32E50"/>
    <w:rsid w:val="51E037AD"/>
    <w:rsid w:val="52CA1262"/>
    <w:rsid w:val="52D25D57"/>
    <w:rsid w:val="53005BE0"/>
    <w:rsid w:val="53575126"/>
    <w:rsid w:val="53664FAA"/>
    <w:rsid w:val="53C930E4"/>
    <w:rsid w:val="549748BF"/>
    <w:rsid w:val="54DA0EF3"/>
    <w:rsid w:val="550D522F"/>
    <w:rsid w:val="567A0BDF"/>
    <w:rsid w:val="56902666"/>
    <w:rsid w:val="56CA17BA"/>
    <w:rsid w:val="56D77906"/>
    <w:rsid w:val="57193476"/>
    <w:rsid w:val="57A71560"/>
    <w:rsid w:val="59026C99"/>
    <w:rsid w:val="594021F5"/>
    <w:rsid w:val="5B5B46DE"/>
    <w:rsid w:val="5B933965"/>
    <w:rsid w:val="5D197AB6"/>
    <w:rsid w:val="5DC310BE"/>
    <w:rsid w:val="5DDB6F0D"/>
    <w:rsid w:val="5E27468F"/>
    <w:rsid w:val="5EDAD8C4"/>
    <w:rsid w:val="5FBA3FD4"/>
    <w:rsid w:val="5FE93FEA"/>
    <w:rsid w:val="60DB4B4A"/>
    <w:rsid w:val="6138134F"/>
    <w:rsid w:val="61505D6B"/>
    <w:rsid w:val="616E7593"/>
    <w:rsid w:val="625D6AE1"/>
    <w:rsid w:val="62EC0999"/>
    <w:rsid w:val="63652E30"/>
    <w:rsid w:val="640C36CE"/>
    <w:rsid w:val="64265E0C"/>
    <w:rsid w:val="64466571"/>
    <w:rsid w:val="64CD45D0"/>
    <w:rsid w:val="651641C9"/>
    <w:rsid w:val="655C6080"/>
    <w:rsid w:val="65E813FC"/>
    <w:rsid w:val="667F60B7"/>
    <w:rsid w:val="669C344C"/>
    <w:rsid w:val="66EF6A80"/>
    <w:rsid w:val="67154518"/>
    <w:rsid w:val="672901E4"/>
    <w:rsid w:val="678B1E3E"/>
    <w:rsid w:val="679F4D18"/>
    <w:rsid w:val="67A77ED6"/>
    <w:rsid w:val="67D46EF3"/>
    <w:rsid w:val="6823604A"/>
    <w:rsid w:val="68833155"/>
    <w:rsid w:val="68955405"/>
    <w:rsid w:val="68A87581"/>
    <w:rsid w:val="69FD14B4"/>
    <w:rsid w:val="6A156170"/>
    <w:rsid w:val="6A3A6208"/>
    <w:rsid w:val="6A547692"/>
    <w:rsid w:val="6A9817D2"/>
    <w:rsid w:val="6B9B492A"/>
    <w:rsid w:val="6C5654DC"/>
    <w:rsid w:val="6D140FEE"/>
    <w:rsid w:val="6EF26508"/>
    <w:rsid w:val="6F165FAF"/>
    <w:rsid w:val="6F8C20EA"/>
    <w:rsid w:val="6FCA4284"/>
    <w:rsid w:val="700A66D9"/>
    <w:rsid w:val="701051AB"/>
    <w:rsid w:val="70E6589E"/>
    <w:rsid w:val="710462B9"/>
    <w:rsid w:val="71242A59"/>
    <w:rsid w:val="71ED62B2"/>
    <w:rsid w:val="72A630E1"/>
    <w:rsid w:val="72BF41FF"/>
    <w:rsid w:val="738B2C77"/>
    <w:rsid w:val="739C0C33"/>
    <w:rsid w:val="74343D24"/>
    <w:rsid w:val="745E125D"/>
    <w:rsid w:val="74CA4688"/>
    <w:rsid w:val="751D7BD0"/>
    <w:rsid w:val="75ED3EF0"/>
    <w:rsid w:val="763C5112"/>
    <w:rsid w:val="76431DCC"/>
    <w:rsid w:val="765F7C98"/>
    <w:rsid w:val="76C253B6"/>
    <w:rsid w:val="76DB784B"/>
    <w:rsid w:val="771309E8"/>
    <w:rsid w:val="7746695F"/>
    <w:rsid w:val="77AA262D"/>
    <w:rsid w:val="77AF4370"/>
    <w:rsid w:val="77DE5F9F"/>
    <w:rsid w:val="77E73ECD"/>
    <w:rsid w:val="785E1994"/>
    <w:rsid w:val="787768D5"/>
    <w:rsid w:val="78C52FA6"/>
    <w:rsid w:val="78E178D3"/>
    <w:rsid w:val="7919576A"/>
    <w:rsid w:val="792103F5"/>
    <w:rsid w:val="793A7A86"/>
    <w:rsid w:val="795D3716"/>
    <w:rsid w:val="79F50735"/>
    <w:rsid w:val="7A0F3269"/>
    <w:rsid w:val="7A295235"/>
    <w:rsid w:val="7A324CF4"/>
    <w:rsid w:val="7A4A0CD6"/>
    <w:rsid w:val="7AEF60F1"/>
    <w:rsid w:val="7B7D6ACF"/>
    <w:rsid w:val="7BAE0860"/>
    <w:rsid w:val="7C52444F"/>
    <w:rsid w:val="7CC01A49"/>
    <w:rsid w:val="7CFD654B"/>
    <w:rsid w:val="7E894F96"/>
    <w:rsid w:val="7EA85A3A"/>
    <w:rsid w:val="7F243A58"/>
    <w:rsid w:val="7F5524F8"/>
    <w:rsid w:val="7FAD49E8"/>
    <w:rsid w:val="7FC37A86"/>
    <w:rsid w:val="7FEE56CF"/>
    <w:rsid w:val="AF7BFA8A"/>
    <w:rsid w:val="B4DF85C2"/>
    <w:rsid w:val="BB8EE331"/>
    <w:rsid w:val="CD371C9E"/>
    <w:rsid w:val="FDFD09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line="360" w:lineRule="auto"/>
      <w:outlineLvl w:val="1"/>
    </w:pPr>
    <w:rPr>
      <w:rFonts w:ascii="Arial" w:hAnsi="Arial"/>
      <w:b/>
      <w:bCs/>
      <w:sz w:val="24"/>
      <w:szCs w:val="32"/>
    </w:rPr>
  </w:style>
  <w:style w:type="paragraph" w:styleId="3">
    <w:name w:val="heading 3"/>
    <w:basedOn w:val="1"/>
    <w:next w:val="1"/>
    <w:link w:val="26"/>
    <w:qFormat/>
    <w:uiPriority w:val="0"/>
    <w:pPr>
      <w:keepNext/>
      <w:keepLines/>
      <w:spacing w:before="260" w:after="260" w:line="416" w:lineRule="auto"/>
      <w:outlineLvl w:val="2"/>
    </w:pPr>
    <w:rPr>
      <w:b/>
      <w:bCs/>
      <w:sz w:val="32"/>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4">
    <w:name w:val="table of authorities"/>
    <w:basedOn w:val="1"/>
    <w:next w:val="1"/>
    <w:qFormat/>
    <w:uiPriority w:val="99"/>
    <w:pPr>
      <w:ind w:left="420" w:leftChars="200"/>
    </w:p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qFormat/>
    <w:uiPriority w:val="0"/>
    <w:pPr>
      <w:autoSpaceDE w:val="0"/>
      <w:autoSpaceDN w:val="0"/>
      <w:adjustRightInd w:val="0"/>
    </w:pPr>
    <w:rPr>
      <w:rFonts w:ascii="微软雅黑" w:hAnsi="Times New Roman" w:eastAsia="微软雅黑" w:cs="微软雅黑"/>
      <w:color w:val="000000"/>
      <w:sz w:val="24"/>
      <w:szCs w:val="24"/>
      <w:lang w:val="en-US" w:eastAsia="zh-CN" w:bidi="ar-SA"/>
    </w:rPr>
  </w:style>
  <w:style w:type="paragraph" w:styleId="7">
    <w:name w:val="annotation text"/>
    <w:basedOn w:val="1"/>
    <w:semiHidden/>
    <w:qFormat/>
    <w:uiPriority w:val="0"/>
    <w:pPr>
      <w:jc w:val="left"/>
    </w:pPr>
  </w:style>
  <w:style w:type="paragraph" w:styleId="8">
    <w:name w:val="Body Text"/>
    <w:basedOn w:val="1"/>
    <w:next w:val="9"/>
    <w:link w:val="27"/>
    <w:qFormat/>
    <w:uiPriority w:val="0"/>
    <w:pPr>
      <w:spacing w:after="120"/>
    </w:pPr>
  </w:style>
  <w:style w:type="paragraph" w:styleId="9">
    <w:name w:val="List Continue"/>
    <w:basedOn w:val="1"/>
    <w:next w:val="10"/>
    <w:qFormat/>
    <w:uiPriority w:val="0"/>
    <w:pPr>
      <w:spacing w:after="120" w:line="360" w:lineRule="auto"/>
      <w:ind w:left="420" w:leftChars="200" w:firstLine="480" w:firstLineChars="200"/>
    </w:pPr>
    <w:rPr>
      <w:sz w:val="24"/>
      <w:szCs w:val="20"/>
      <w:lang w:val="zh-CN"/>
    </w:rPr>
  </w:style>
  <w:style w:type="paragraph" w:styleId="10">
    <w:name w:val="toc 1"/>
    <w:basedOn w:val="1"/>
    <w:next w:val="1"/>
    <w:qFormat/>
    <w:uiPriority w:val="39"/>
    <w:pPr>
      <w:tabs>
        <w:tab w:val="right" w:leader="dot" w:pos="9231"/>
      </w:tabs>
      <w:spacing w:line="360" w:lineRule="auto"/>
    </w:pPr>
  </w:style>
  <w:style w:type="paragraph" w:styleId="11">
    <w:name w:val="Body Text Indent"/>
    <w:basedOn w:val="1"/>
    <w:next w:val="12"/>
    <w:qFormat/>
    <w:uiPriority w:val="0"/>
    <w:pPr>
      <w:spacing w:after="120"/>
      <w:ind w:left="420" w:leftChars="200"/>
    </w:pPr>
  </w:style>
  <w:style w:type="paragraph" w:styleId="12">
    <w:name w:val="annotation subject"/>
    <w:basedOn w:val="7"/>
    <w:next w:val="1"/>
    <w:qFormat/>
    <w:uiPriority w:val="0"/>
    <w:rPr>
      <w:b/>
      <w:bCs/>
    </w:rPr>
  </w:style>
  <w:style w:type="paragraph" w:styleId="13">
    <w:name w:val="toc 3"/>
    <w:basedOn w:val="1"/>
    <w:next w:val="1"/>
    <w:qFormat/>
    <w:uiPriority w:val="39"/>
    <w:pPr>
      <w:ind w:left="840" w:leftChars="400"/>
    </w:pPr>
  </w:style>
  <w:style w:type="paragraph" w:styleId="14">
    <w:name w:val="Plain Text"/>
    <w:basedOn w:val="1"/>
    <w:link w:val="28"/>
    <w:qFormat/>
    <w:uiPriority w:val="0"/>
    <w:rPr>
      <w:rFonts w:ascii="宋体" w:hAnsi="Courier New"/>
      <w:kern w:val="0"/>
      <w:sz w:val="20"/>
      <w:szCs w:val="21"/>
    </w:rPr>
  </w:style>
  <w:style w:type="paragraph" w:styleId="15">
    <w:name w:val="Balloon Text"/>
    <w:basedOn w:val="1"/>
    <w:link w:val="29"/>
    <w:unhideWhenUsed/>
    <w:qFormat/>
    <w:uiPriority w:val="99"/>
    <w:rPr>
      <w:kern w:val="0"/>
      <w:sz w:val="18"/>
      <w:szCs w:val="18"/>
    </w:rPr>
  </w:style>
  <w:style w:type="paragraph" w:styleId="16">
    <w:name w:val="footer"/>
    <w:basedOn w:val="1"/>
    <w:link w:val="30"/>
    <w:qFormat/>
    <w:uiPriority w:val="99"/>
    <w:pPr>
      <w:tabs>
        <w:tab w:val="center" w:pos="4153"/>
        <w:tab w:val="right" w:pos="8306"/>
      </w:tabs>
      <w:snapToGrid w:val="0"/>
      <w:jc w:val="left"/>
    </w:pPr>
    <w:rPr>
      <w:kern w:val="0"/>
      <w:sz w:val="18"/>
      <w:szCs w:val="18"/>
    </w:rPr>
  </w:style>
  <w:style w:type="paragraph" w:styleId="17">
    <w:name w:val="header"/>
    <w:basedOn w:val="1"/>
    <w:link w:val="31"/>
    <w:qFormat/>
    <w:uiPriority w:val="99"/>
    <w:pPr>
      <w:pBdr>
        <w:bottom w:val="single" w:color="auto" w:sz="6" w:space="1"/>
      </w:pBdr>
      <w:tabs>
        <w:tab w:val="center" w:pos="4153"/>
        <w:tab w:val="right" w:pos="8306"/>
      </w:tabs>
      <w:snapToGrid w:val="0"/>
      <w:jc w:val="center"/>
    </w:pPr>
    <w:rPr>
      <w:kern w:val="0"/>
      <w:sz w:val="18"/>
      <w:szCs w:val="18"/>
    </w:rPr>
  </w:style>
  <w:style w:type="paragraph" w:styleId="18">
    <w:name w:val="Body Text Indent 3"/>
    <w:basedOn w:val="1"/>
    <w:qFormat/>
    <w:uiPriority w:val="0"/>
    <w:pPr>
      <w:ind w:firstLine="560" w:firstLineChars="200"/>
    </w:pPr>
    <w:rPr>
      <w:rFonts w:ascii="宋体" w:hAnsi="宋体"/>
      <w:sz w:val="28"/>
    </w:rPr>
  </w:style>
  <w:style w:type="paragraph" w:styleId="19">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0">
    <w:name w:val="Body Text First Indent 2"/>
    <w:basedOn w:val="11"/>
    <w:next w:val="5"/>
    <w:qFormat/>
    <w:uiPriority w:val="99"/>
    <w:pPr>
      <w:ind w:firstLine="420" w:firstLineChars="200"/>
    </w:p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basedOn w:val="23"/>
    <w:qFormat/>
    <w:uiPriority w:val="0"/>
  </w:style>
  <w:style w:type="character" w:styleId="25">
    <w:name w:val="Hyperlink"/>
    <w:unhideWhenUsed/>
    <w:qFormat/>
    <w:uiPriority w:val="99"/>
    <w:rPr>
      <w:color w:val="0000FF"/>
      <w:u w:val="single"/>
    </w:rPr>
  </w:style>
  <w:style w:type="character" w:customStyle="1" w:styleId="26">
    <w:name w:val="标题 3 Char"/>
    <w:link w:val="3"/>
    <w:qFormat/>
    <w:uiPriority w:val="0"/>
    <w:rPr>
      <w:b/>
      <w:bCs/>
      <w:kern w:val="2"/>
      <w:sz w:val="32"/>
      <w:szCs w:val="32"/>
    </w:rPr>
  </w:style>
  <w:style w:type="character" w:customStyle="1" w:styleId="27">
    <w:name w:val="正文文本 Char"/>
    <w:link w:val="8"/>
    <w:qFormat/>
    <w:uiPriority w:val="0"/>
    <w:rPr>
      <w:kern w:val="2"/>
      <w:sz w:val="21"/>
      <w:szCs w:val="24"/>
    </w:rPr>
  </w:style>
  <w:style w:type="character" w:customStyle="1" w:styleId="28">
    <w:name w:val="纯文本 Char"/>
    <w:link w:val="14"/>
    <w:qFormat/>
    <w:uiPriority w:val="0"/>
    <w:rPr>
      <w:rFonts w:ascii="宋体" w:hAnsi="Courier New" w:cs="Courier New"/>
      <w:szCs w:val="21"/>
    </w:rPr>
  </w:style>
  <w:style w:type="character" w:customStyle="1" w:styleId="29">
    <w:name w:val="批注框文本 Char"/>
    <w:link w:val="15"/>
    <w:semiHidden/>
    <w:qFormat/>
    <w:uiPriority w:val="99"/>
    <w:rPr>
      <w:rFonts w:ascii="Times New Roman" w:hAnsi="Times New Roman" w:eastAsia="宋体" w:cs="Times New Roman"/>
      <w:sz w:val="18"/>
      <w:szCs w:val="18"/>
    </w:rPr>
  </w:style>
  <w:style w:type="character" w:customStyle="1" w:styleId="30">
    <w:name w:val="页脚 Char"/>
    <w:link w:val="16"/>
    <w:qFormat/>
    <w:uiPriority w:val="99"/>
    <w:rPr>
      <w:sz w:val="18"/>
      <w:szCs w:val="18"/>
    </w:rPr>
  </w:style>
  <w:style w:type="character" w:customStyle="1" w:styleId="31">
    <w:name w:val="页眉 Char"/>
    <w:link w:val="17"/>
    <w:qFormat/>
    <w:uiPriority w:val="99"/>
    <w:rPr>
      <w:sz w:val="18"/>
      <w:szCs w:val="18"/>
    </w:rPr>
  </w:style>
  <w:style w:type="character" w:customStyle="1" w:styleId="32">
    <w:name w:val="表格正文 字符"/>
    <w:link w:val="33"/>
    <w:qFormat/>
    <w:uiPriority w:val="0"/>
    <w:rPr>
      <w:rFonts w:ascii="微软雅黑" w:hAnsi="宋体" w:eastAsia="微软雅黑"/>
      <w:bCs/>
      <w:kern w:val="2"/>
      <w:sz w:val="21"/>
      <w:szCs w:val="22"/>
    </w:rPr>
  </w:style>
  <w:style w:type="paragraph" w:customStyle="1" w:styleId="33">
    <w:name w:val="表格正文"/>
    <w:basedOn w:val="1"/>
    <w:link w:val="32"/>
    <w:qFormat/>
    <w:uiPriority w:val="0"/>
    <w:pPr>
      <w:tabs>
        <w:tab w:val="left" w:pos="1988"/>
      </w:tabs>
      <w:adjustRightInd w:val="0"/>
      <w:snapToGrid w:val="0"/>
      <w:jc w:val="center"/>
    </w:pPr>
    <w:rPr>
      <w:rFonts w:ascii="微软雅黑" w:hAnsi="宋体" w:eastAsia="微软雅黑"/>
      <w:bCs/>
      <w:szCs w:val="22"/>
    </w:rPr>
  </w:style>
  <w:style w:type="character" w:customStyle="1" w:styleId="34">
    <w:name w:val="页眉 Char1"/>
    <w:semiHidden/>
    <w:qFormat/>
    <w:uiPriority w:val="99"/>
    <w:rPr>
      <w:rFonts w:ascii="Times New Roman" w:hAnsi="Times New Roman" w:eastAsia="宋体" w:cs="Times New Roman"/>
      <w:sz w:val="18"/>
      <w:szCs w:val="18"/>
    </w:rPr>
  </w:style>
  <w:style w:type="character" w:customStyle="1" w:styleId="35">
    <w:name w:val="页脚 Char1"/>
    <w:semiHidden/>
    <w:qFormat/>
    <w:uiPriority w:val="99"/>
    <w:rPr>
      <w:rFonts w:ascii="Times New Roman" w:hAnsi="Times New Roman" w:eastAsia="宋体" w:cs="Times New Roman"/>
      <w:sz w:val="18"/>
      <w:szCs w:val="18"/>
    </w:rPr>
  </w:style>
  <w:style w:type="character" w:customStyle="1" w:styleId="36">
    <w:name w:val="纯文本 Char1"/>
    <w:semiHidden/>
    <w:qFormat/>
    <w:uiPriority w:val="99"/>
    <w:rPr>
      <w:rFonts w:ascii="宋体" w:hAnsi="Courier New" w:eastAsia="宋体" w:cs="Courier New"/>
      <w:szCs w:val="21"/>
    </w:rPr>
  </w:style>
  <w:style w:type="character" w:customStyle="1" w:styleId="37">
    <w:name w:val="正文文本 Char1"/>
    <w:semiHidden/>
    <w:qFormat/>
    <w:uiPriority w:val="99"/>
    <w:rPr>
      <w:kern w:val="2"/>
      <w:sz w:val="21"/>
      <w:szCs w:val="24"/>
    </w:rPr>
  </w:style>
  <w:style w:type="paragraph" w:styleId="38">
    <w:name w:val="List Paragraph"/>
    <w:basedOn w:val="1"/>
    <w:qFormat/>
    <w:uiPriority w:val="34"/>
    <w:pPr>
      <w:ind w:firstLine="420" w:firstLineChars="200"/>
    </w:pPr>
  </w:style>
  <w:style w:type="paragraph" w:customStyle="1" w:styleId="39">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
    <w:name w:val="列出段落1"/>
    <w:basedOn w:val="1"/>
    <w:qFormat/>
    <w:uiPriority w:val="34"/>
    <w:pPr>
      <w:ind w:firstLine="420" w:firstLineChars="200"/>
    </w:pPr>
  </w:style>
  <w:style w:type="paragraph" w:customStyle="1" w:styleId="41">
    <w:name w:val="BodyText"/>
    <w:basedOn w:val="1"/>
    <w:qFormat/>
    <w:uiPriority w:val="0"/>
    <w:pPr>
      <w:spacing w:after="120"/>
    </w:pPr>
    <w:rPr>
      <w:kern w:val="0"/>
      <w:sz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31</Pages>
  <Words>16980</Words>
  <Characters>17651</Characters>
  <Lines>108</Lines>
  <Paragraphs>30</Paragraphs>
  <TotalTime>5</TotalTime>
  <ScaleCrop>false</ScaleCrop>
  <LinksUpToDate>false</LinksUpToDate>
  <CharactersWithSpaces>17917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2021-02-23T08:30:00Z</dcterms:created>
  <dc:creator>李才</dc:creator>
  <cp:lastModifiedBy>Administrator</cp:lastModifiedBy>
  <cp:lastPrinted>2025-09-04T03:25:00Z</cp:lastPrinted>
  <dcterms:modified xsi:type="dcterms:W3CDTF">2025-12-16T03:41:47Z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C1610BB315984BC5B74D94832BDE5146_13</vt:lpwstr>
  </property>
  <property fmtid="{D5CDD505-2E9C-101B-9397-08002B2CF9AE}" pid="4" name="KSOTemplateDocerSaveRecord">
    <vt:lpwstr>eyJoZGlkIjoiOWU3YmMxNGQ0NDE0NTRiYjQ3MWFkZjk1MWM2MTc2NWEifQ==</vt:lpwstr>
  </property>
</Properties>
</file>