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7AA82C">
      <w:pPr>
        <w:pStyle w:val="11"/>
        <w:snapToGrid w:val="0"/>
        <w:jc w:val="center"/>
        <w:rPr>
          <w:rFonts w:hint="eastAsia" w:ascii="Arial" w:hAnsi="Arial" w:eastAsia="方正小标宋简体" w:cs="Arial"/>
          <w:color w:val="auto"/>
          <w:sz w:val="72"/>
          <w:szCs w:val="72"/>
          <w:lang w:eastAsia="zh-CN"/>
        </w:rPr>
      </w:pPr>
      <w:bookmarkStart w:id="0" w:name="_Toc16523570"/>
    </w:p>
    <w:p w14:paraId="0668E363">
      <w:pPr>
        <w:pStyle w:val="11"/>
        <w:tabs>
          <w:tab w:val="left" w:pos="312"/>
        </w:tabs>
        <w:snapToGrid w:val="0"/>
        <w:spacing w:line="288" w:lineRule="auto"/>
        <w:jc w:val="center"/>
        <w:rPr>
          <w:rFonts w:ascii="Arial" w:hAnsi="Arial" w:eastAsia="方正小标宋简体" w:cs="Arial"/>
          <w:color w:val="auto"/>
          <w:sz w:val="72"/>
          <w:szCs w:val="72"/>
        </w:rPr>
      </w:pPr>
      <w:r>
        <w:rPr>
          <w:rFonts w:hint="eastAsia" w:ascii="Arial" w:hAnsi="Arial" w:eastAsia="方正小标宋简体" w:cs="Arial"/>
          <w:color w:val="auto"/>
          <w:sz w:val="72"/>
          <w:szCs w:val="72"/>
        </w:rPr>
        <w:t>娄底市中心医院院内</w:t>
      </w:r>
    </w:p>
    <w:p w14:paraId="75293AE3">
      <w:pPr>
        <w:pStyle w:val="11"/>
        <w:snapToGrid w:val="0"/>
        <w:jc w:val="center"/>
        <w:rPr>
          <w:rFonts w:ascii="Arial" w:hAnsi="Arial" w:eastAsia="方正小标宋简体" w:cs="Arial"/>
          <w:color w:val="auto"/>
          <w:sz w:val="72"/>
          <w:szCs w:val="72"/>
        </w:rPr>
      </w:pPr>
    </w:p>
    <w:p w14:paraId="7A4A9D78">
      <w:pPr>
        <w:pStyle w:val="11"/>
        <w:snapToGrid w:val="0"/>
        <w:jc w:val="center"/>
        <w:rPr>
          <w:rFonts w:ascii="Arial" w:hAnsi="Arial" w:eastAsia="方正小标宋简体" w:cs="Arial"/>
          <w:color w:val="auto"/>
          <w:sz w:val="72"/>
          <w:szCs w:val="72"/>
        </w:rPr>
      </w:pPr>
      <w:r>
        <w:rPr>
          <w:rFonts w:hint="eastAsia" w:ascii="Arial" w:hAnsi="Arial" w:eastAsia="方正小标宋简体" w:cs="Arial"/>
          <w:color w:val="auto"/>
          <w:sz w:val="72"/>
          <w:szCs w:val="72"/>
        </w:rPr>
        <w:t>招</w:t>
      </w:r>
    </w:p>
    <w:p w14:paraId="68ADF1C6">
      <w:pPr>
        <w:pStyle w:val="11"/>
        <w:snapToGrid w:val="0"/>
        <w:jc w:val="center"/>
        <w:rPr>
          <w:rFonts w:ascii="Arial" w:hAnsi="Arial" w:eastAsia="方正小标宋简体" w:cs="Arial"/>
          <w:color w:val="auto"/>
          <w:sz w:val="72"/>
          <w:szCs w:val="72"/>
        </w:rPr>
      </w:pPr>
    </w:p>
    <w:p w14:paraId="6B19A57A">
      <w:pPr>
        <w:pStyle w:val="11"/>
        <w:snapToGrid w:val="0"/>
        <w:jc w:val="center"/>
        <w:rPr>
          <w:rFonts w:ascii="Arial" w:hAnsi="Arial" w:eastAsia="方正小标宋简体" w:cs="Arial"/>
          <w:color w:val="auto"/>
          <w:sz w:val="72"/>
          <w:szCs w:val="72"/>
        </w:rPr>
      </w:pPr>
      <w:r>
        <w:rPr>
          <w:rFonts w:ascii="Arial" w:hAnsi="Arial" w:eastAsia="方正小标宋简体" w:cs="Arial"/>
          <w:color w:val="auto"/>
          <w:sz w:val="72"/>
          <w:szCs w:val="72"/>
        </w:rPr>
        <w:t>标</w:t>
      </w:r>
    </w:p>
    <w:p w14:paraId="574591F7">
      <w:pPr>
        <w:pStyle w:val="11"/>
        <w:snapToGrid w:val="0"/>
        <w:jc w:val="center"/>
        <w:rPr>
          <w:rFonts w:ascii="Arial" w:hAnsi="Arial" w:eastAsia="方正小标宋简体" w:cs="Arial"/>
          <w:color w:val="auto"/>
          <w:sz w:val="72"/>
          <w:szCs w:val="72"/>
        </w:rPr>
      </w:pPr>
    </w:p>
    <w:p w14:paraId="71C742D0">
      <w:pPr>
        <w:pStyle w:val="11"/>
        <w:snapToGrid w:val="0"/>
        <w:jc w:val="center"/>
        <w:rPr>
          <w:rFonts w:ascii="Arial" w:hAnsi="Arial" w:eastAsia="方正小标宋简体" w:cs="Arial"/>
          <w:color w:val="auto"/>
          <w:sz w:val="72"/>
          <w:szCs w:val="72"/>
        </w:rPr>
      </w:pPr>
      <w:r>
        <w:rPr>
          <w:rFonts w:ascii="Arial" w:hAnsi="Arial" w:eastAsia="方正小标宋简体" w:cs="Arial"/>
          <w:color w:val="auto"/>
          <w:sz w:val="72"/>
          <w:szCs w:val="72"/>
        </w:rPr>
        <w:t>文</w:t>
      </w:r>
    </w:p>
    <w:p w14:paraId="18BE369B">
      <w:pPr>
        <w:pStyle w:val="11"/>
        <w:snapToGrid w:val="0"/>
        <w:jc w:val="center"/>
        <w:rPr>
          <w:rFonts w:ascii="Arial" w:hAnsi="Arial" w:eastAsia="方正小标宋简体" w:cs="Arial"/>
          <w:color w:val="auto"/>
          <w:sz w:val="72"/>
          <w:szCs w:val="72"/>
        </w:rPr>
      </w:pPr>
    </w:p>
    <w:p w14:paraId="175D2234">
      <w:pPr>
        <w:pStyle w:val="11"/>
        <w:snapToGrid w:val="0"/>
        <w:jc w:val="center"/>
        <w:rPr>
          <w:rFonts w:ascii="Arial" w:hAnsi="Arial" w:eastAsia="方正小标宋简体" w:cs="Arial"/>
          <w:color w:val="auto"/>
          <w:sz w:val="36"/>
          <w:szCs w:val="36"/>
        </w:rPr>
      </w:pPr>
      <w:r>
        <w:rPr>
          <w:rFonts w:ascii="Arial" w:hAnsi="Arial" w:eastAsia="方正小标宋简体" w:cs="Arial"/>
          <w:color w:val="auto"/>
          <w:sz w:val="72"/>
          <w:szCs w:val="72"/>
        </w:rPr>
        <w:t>件</w:t>
      </w:r>
    </w:p>
    <w:p w14:paraId="7714E9FC">
      <w:pPr>
        <w:pStyle w:val="11"/>
        <w:snapToGrid w:val="0"/>
        <w:jc w:val="center"/>
        <w:rPr>
          <w:rFonts w:ascii="Arial" w:hAnsi="Arial" w:cs="Arial"/>
          <w:color w:val="auto"/>
          <w:sz w:val="32"/>
          <w:szCs w:val="32"/>
        </w:rPr>
      </w:pPr>
    </w:p>
    <w:p w14:paraId="6BDB84BC">
      <w:pPr>
        <w:pStyle w:val="11"/>
        <w:snapToGrid w:val="0"/>
        <w:jc w:val="center"/>
        <w:rPr>
          <w:rFonts w:ascii="Arial" w:hAnsi="Arial" w:cs="Arial"/>
          <w:color w:val="auto"/>
          <w:sz w:val="32"/>
          <w:szCs w:val="32"/>
        </w:rPr>
      </w:pPr>
    </w:p>
    <w:p w14:paraId="45537E0A">
      <w:pPr>
        <w:pStyle w:val="11"/>
        <w:snapToGrid w:val="0"/>
        <w:jc w:val="center"/>
        <w:rPr>
          <w:rFonts w:ascii="Arial" w:hAnsi="Arial" w:cs="Arial"/>
          <w:color w:val="auto"/>
          <w:sz w:val="32"/>
          <w:szCs w:val="32"/>
        </w:rPr>
      </w:pPr>
    </w:p>
    <w:p w14:paraId="7D14067D">
      <w:pPr>
        <w:spacing w:line="360" w:lineRule="auto"/>
        <w:rPr>
          <w:rFonts w:hint="eastAsia"/>
          <w:bCs/>
          <w:color w:val="auto"/>
          <w:sz w:val="32"/>
          <w:szCs w:val="32"/>
        </w:rPr>
      </w:pPr>
    </w:p>
    <w:p w14:paraId="552F56E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color w:val="auto"/>
          <w:sz w:val="32"/>
          <w:szCs w:val="32"/>
        </w:rPr>
      </w:pPr>
      <w:r>
        <w:rPr>
          <w:rFonts w:hint="eastAsia"/>
          <w:bCs/>
          <w:color w:val="auto"/>
          <w:sz w:val="32"/>
          <w:szCs w:val="32"/>
        </w:rPr>
        <w:t>项目名称：</w:t>
      </w:r>
      <w:r>
        <w:rPr>
          <w:rFonts w:hint="eastAsia"/>
          <w:bCs/>
          <w:color w:val="auto"/>
          <w:sz w:val="32"/>
          <w:szCs w:val="32"/>
          <w:lang w:val="en-US" w:eastAsia="zh-CN"/>
        </w:rPr>
        <w:t>娄底市中心医院多维终端安全管理平台（第二次）项目招标文件</w:t>
      </w:r>
    </w:p>
    <w:p w14:paraId="67D89F09">
      <w:pPr>
        <w:spacing w:line="320" w:lineRule="exact"/>
        <w:jc w:val="left"/>
        <w:rPr>
          <w:color w:val="auto"/>
          <w:sz w:val="24"/>
        </w:rPr>
      </w:pPr>
    </w:p>
    <w:p w14:paraId="3115AF61">
      <w:pPr>
        <w:spacing w:line="320" w:lineRule="exact"/>
        <w:jc w:val="center"/>
        <w:rPr>
          <w:rFonts w:hint="eastAsia" w:ascii="宋体" w:hAnsi="宋体" w:cs="宋体"/>
          <w:bCs/>
          <w:color w:val="auto"/>
          <w:sz w:val="32"/>
          <w:szCs w:val="32"/>
        </w:rPr>
      </w:pPr>
      <w:r>
        <w:rPr>
          <w:rFonts w:hint="eastAsia" w:ascii="宋体" w:hAnsi="宋体" w:cs="宋体"/>
          <w:bCs/>
          <w:color w:val="auto"/>
          <w:sz w:val="32"/>
          <w:szCs w:val="32"/>
        </w:rPr>
        <w:t>二〇二</w:t>
      </w:r>
      <w:r>
        <w:rPr>
          <w:rFonts w:hint="eastAsia" w:ascii="宋体" w:hAnsi="宋体" w:cs="宋体"/>
          <w:bCs/>
          <w:color w:val="auto"/>
          <w:sz w:val="32"/>
          <w:szCs w:val="32"/>
          <w:lang w:val="en-US" w:eastAsia="zh-CN"/>
        </w:rPr>
        <w:t>五</w:t>
      </w:r>
      <w:r>
        <w:rPr>
          <w:rFonts w:hint="eastAsia" w:ascii="宋体" w:hAnsi="宋体" w:cs="宋体"/>
          <w:bCs/>
          <w:color w:val="auto"/>
          <w:sz w:val="32"/>
          <w:szCs w:val="32"/>
        </w:rPr>
        <w:t>年</w:t>
      </w:r>
      <w:r>
        <w:rPr>
          <w:rFonts w:hint="eastAsia" w:ascii="宋体" w:hAnsi="宋体" w:cs="宋体"/>
          <w:bCs/>
          <w:color w:val="auto"/>
          <w:sz w:val="32"/>
          <w:szCs w:val="32"/>
          <w:lang w:val="en-US" w:eastAsia="zh-CN"/>
        </w:rPr>
        <w:t>十二</w:t>
      </w:r>
      <w:r>
        <w:rPr>
          <w:rFonts w:hint="eastAsia" w:ascii="宋体" w:hAnsi="宋体" w:cs="宋体"/>
          <w:bCs/>
          <w:color w:val="auto"/>
          <w:sz w:val="32"/>
          <w:szCs w:val="32"/>
        </w:rPr>
        <w:t>月</w:t>
      </w:r>
    </w:p>
    <w:p w14:paraId="199D2F58">
      <w:pPr>
        <w:rPr>
          <w:rFonts w:hint="eastAsia" w:ascii="宋体" w:hAnsi="宋体" w:cs="宋体"/>
          <w:bCs/>
          <w:color w:val="auto"/>
          <w:sz w:val="32"/>
          <w:szCs w:val="32"/>
        </w:rPr>
      </w:pPr>
      <w:r>
        <w:rPr>
          <w:rFonts w:hint="eastAsia" w:ascii="宋体" w:hAnsi="宋体" w:cs="宋体"/>
          <w:bCs/>
          <w:color w:val="auto"/>
          <w:sz w:val="32"/>
          <w:szCs w:val="32"/>
        </w:rPr>
        <w:br w:type="page"/>
      </w:r>
    </w:p>
    <w:p w14:paraId="24633C77">
      <w:pPr>
        <w:spacing w:line="320" w:lineRule="exact"/>
        <w:jc w:val="center"/>
        <w:rPr>
          <w:rFonts w:hint="eastAsia" w:ascii="宋体" w:hAnsi="宋体" w:cs="宋体"/>
          <w:bCs/>
          <w:color w:val="auto"/>
          <w:sz w:val="32"/>
          <w:szCs w:val="32"/>
        </w:rPr>
      </w:pPr>
    </w:p>
    <w:p w14:paraId="78D7FB35">
      <w:pPr>
        <w:pStyle w:val="3"/>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6ED546D8">
      <w:pPr>
        <w:pStyle w:val="11"/>
        <w:numPr>
          <w:ilvl w:val="0"/>
          <w:numId w:val="0"/>
        </w:numPr>
        <w:tabs>
          <w:tab w:val="left" w:pos="312"/>
        </w:tabs>
        <w:snapToGrid w:val="0"/>
        <w:spacing w:line="480" w:lineRule="auto"/>
        <w:ind w:firstLine="480" w:firstLineChars="200"/>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u w:val="single"/>
          <w:lang w:val="en-US" w:eastAsia="zh-CN"/>
        </w:rPr>
        <w:t>多维终端安全管理平台（第二次）</w:t>
      </w:r>
      <w:r>
        <w:rPr>
          <w:rFonts w:hint="eastAsia" w:ascii="仿宋" w:hAnsi="仿宋" w:eastAsia="仿宋" w:cs="仿宋"/>
          <w:bCs/>
          <w:color w:val="auto"/>
          <w:sz w:val="24"/>
          <w:szCs w:val="24"/>
          <w:lang w:val="en-US" w:eastAsia="zh-CN"/>
        </w:rPr>
        <w:t>项目进行院内挂网招标，将招标事项公告如下：</w:t>
      </w:r>
    </w:p>
    <w:p w14:paraId="3697D011">
      <w:pPr>
        <w:pStyle w:val="11"/>
        <w:numPr>
          <w:ilvl w:val="0"/>
          <w:numId w:val="0"/>
        </w:numPr>
        <w:tabs>
          <w:tab w:val="left" w:pos="312"/>
        </w:tabs>
        <w:snapToGrid w:val="0"/>
        <w:spacing w:line="480" w:lineRule="auto"/>
        <w:ind w:firstLine="480" w:firstLineChars="200"/>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一、项目信息</w:t>
      </w:r>
    </w:p>
    <w:p w14:paraId="4CC3A9FB">
      <w:pPr>
        <w:pStyle w:val="11"/>
        <w:numPr>
          <w:ilvl w:val="0"/>
          <w:numId w:val="0"/>
        </w:numPr>
        <w:tabs>
          <w:tab w:val="left" w:pos="312"/>
        </w:tabs>
        <w:snapToGrid w:val="0"/>
        <w:spacing w:line="480" w:lineRule="auto"/>
        <w:ind w:firstLine="480" w:firstLineChars="200"/>
        <w:rPr>
          <w:rFonts w:hint="eastAsia" w:ascii="仿宋" w:hAnsi="仿宋" w:eastAsia="仿宋" w:cs="仿宋"/>
          <w:b w:val="0"/>
          <w:bCs/>
          <w:color w:val="auto"/>
          <w:sz w:val="24"/>
          <w:szCs w:val="24"/>
          <w:lang w:val="en-US" w:eastAsia="zh-CN"/>
        </w:rPr>
      </w:pPr>
      <w:r>
        <w:rPr>
          <w:rFonts w:hint="eastAsia" w:ascii="仿宋" w:hAnsi="仿宋" w:eastAsia="仿宋" w:cs="仿宋"/>
          <w:b w:val="0"/>
          <w:bCs/>
          <w:color w:val="auto"/>
          <w:sz w:val="24"/>
          <w:szCs w:val="24"/>
          <w:lang w:val="en-US" w:eastAsia="zh-CN"/>
        </w:rPr>
        <w:t>项目名称：</w:t>
      </w:r>
      <w:r>
        <w:rPr>
          <w:rFonts w:hint="eastAsia" w:ascii="仿宋" w:hAnsi="仿宋" w:eastAsia="仿宋" w:cs="仿宋"/>
          <w:bCs/>
          <w:color w:val="auto"/>
          <w:sz w:val="24"/>
          <w:szCs w:val="24"/>
          <w:u w:val="single"/>
          <w:lang w:val="en-US" w:eastAsia="zh-CN"/>
        </w:rPr>
        <w:t>多维终端安全管理平台（第二次）</w:t>
      </w:r>
      <w:r>
        <w:rPr>
          <w:rFonts w:hint="eastAsia" w:ascii="仿宋" w:hAnsi="仿宋" w:eastAsia="仿宋" w:cs="仿宋"/>
          <w:b w:val="0"/>
          <w:bCs/>
          <w:color w:val="auto"/>
          <w:sz w:val="24"/>
          <w:szCs w:val="24"/>
          <w:lang w:val="en-US" w:eastAsia="zh-CN"/>
        </w:rPr>
        <w:t>项目</w:t>
      </w:r>
    </w:p>
    <w:p w14:paraId="008C2037">
      <w:pPr>
        <w:pStyle w:val="11"/>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采购方式</w:t>
      </w:r>
    </w:p>
    <w:p w14:paraId="01DA3E7E">
      <w:pPr>
        <w:pStyle w:val="11"/>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bidi="ar-SA"/>
        </w:rPr>
        <w:t>1、医院</w:t>
      </w:r>
      <w:r>
        <w:rPr>
          <w:rFonts w:hint="eastAsia" w:ascii="仿宋" w:hAnsi="仿宋" w:eastAsia="仿宋" w:cs="仿宋"/>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14:paraId="0BAFC7C0">
      <w:pPr>
        <w:pStyle w:val="11"/>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三、投标人资格要求</w:t>
      </w:r>
    </w:p>
    <w:p w14:paraId="28799B12">
      <w:pPr>
        <w:pStyle w:val="11"/>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1、投标人的基本资格条件：投标人必须是在中华人民共和国境内注册登记的法人、其他组织或者自然人，且应当符合《政府采购法》第二十二条第一款的规定即：</w:t>
      </w:r>
    </w:p>
    <w:p w14:paraId="109724B4">
      <w:pPr>
        <w:pStyle w:val="11"/>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（1）具有独立承担民事责任的能力；</w:t>
      </w:r>
    </w:p>
    <w:p w14:paraId="6178AEC2">
      <w:pPr>
        <w:pStyle w:val="11"/>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（2）具有良好的商业信誉和健全的财务会计制度；</w:t>
      </w:r>
    </w:p>
    <w:p w14:paraId="14CE2F27">
      <w:pPr>
        <w:pStyle w:val="11"/>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（3）具有履行合同所必需的设备和专业技术能力；</w:t>
      </w:r>
    </w:p>
    <w:p w14:paraId="7B053FD4">
      <w:pPr>
        <w:pStyle w:val="11"/>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（4）有依法缴纳税收的良好记录；</w:t>
      </w:r>
    </w:p>
    <w:p w14:paraId="06BB8C59">
      <w:pPr>
        <w:pStyle w:val="11"/>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（5）参加政府采购活动前三年内，在经营活动中没有重大违法记录；</w:t>
      </w:r>
    </w:p>
    <w:p w14:paraId="7EF08A6C">
      <w:pPr>
        <w:pStyle w:val="11"/>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 xml:space="preserve">（6）法律、行政法规规定的其他条件。 </w:t>
      </w:r>
    </w:p>
    <w:p w14:paraId="0332D184">
      <w:pPr>
        <w:pStyle w:val="11"/>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2、参加政府采购活动近3年内，在经营活动中没有重大违法记录；</w:t>
      </w:r>
    </w:p>
    <w:p w14:paraId="2D54D14E">
      <w:pPr>
        <w:pStyle w:val="11"/>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3、投标人未列入经营异常名录和未列入严重违法失信企业名单（黑名单），投标人企业法人代表未被列入失信被执行人名单；</w:t>
      </w:r>
    </w:p>
    <w:p w14:paraId="54AE8C12">
      <w:pPr>
        <w:pStyle w:val="11"/>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D2CD872">
      <w:pPr>
        <w:pStyle w:val="11"/>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4、本项目不接受联合体投标，不得分包、转包；</w:t>
      </w:r>
    </w:p>
    <w:p w14:paraId="68173486">
      <w:pPr>
        <w:pStyle w:val="11"/>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5、单位负责人为同一人或者存在直接控股、管理关系的不同投标人，不得参加本次采购活动。</w:t>
      </w:r>
    </w:p>
    <w:p w14:paraId="6BD7B6BD">
      <w:pPr>
        <w:pStyle w:val="11"/>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四、投标截止时间、开标时间及地点：</w:t>
      </w:r>
    </w:p>
    <w:p w14:paraId="226F4BE4">
      <w:pPr>
        <w:pStyle w:val="11"/>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1、开标时间：</w:t>
      </w:r>
      <w:bookmarkStart w:id="5" w:name="_GoBack"/>
      <w:r>
        <w:rPr>
          <w:rFonts w:hint="eastAsia" w:ascii="仿宋" w:hAnsi="仿宋" w:eastAsia="仿宋" w:cs="仿宋"/>
          <w:bCs/>
          <w:color w:val="auto"/>
          <w:sz w:val="24"/>
          <w:szCs w:val="24"/>
          <w:lang w:val="en-US" w:eastAsia="zh-CN"/>
        </w:rPr>
        <w:t>2025年12月10日10：00；</w:t>
      </w:r>
      <w:bookmarkEnd w:id="5"/>
    </w:p>
    <w:p w14:paraId="521D3901">
      <w:pPr>
        <w:pStyle w:val="11"/>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2、开标地点;娄底市中心医院综合楼420室</w:t>
      </w:r>
    </w:p>
    <w:p w14:paraId="104F4386">
      <w:pPr>
        <w:pStyle w:val="11"/>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五、招标人地址和联系方法及报名方式：</w:t>
      </w:r>
    </w:p>
    <w:p w14:paraId="4DFE7EEA">
      <w:pPr>
        <w:pStyle w:val="11"/>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1、招标人名称：娄底市中心医院</w:t>
      </w:r>
    </w:p>
    <w:p w14:paraId="4705E256">
      <w:pPr>
        <w:pStyle w:val="11"/>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2、联系人及联系方式：廖海星 15873871616</w:t>
      </w:r>
    </w:p>
    <w:p w14:paraId="06EA57CB">
      <w:pPr>
        <w:pStyle w:val="11"/>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3、招标人地址：娄底市长青中街51号</w:t>
      </w:r>
    </w:p>
    <w:p w14:paraId="69F4E78D">
      <w:pPr>
        <w:pStyle w:val="11"/>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4、报名方式：请将报名信息以电子邮件形式发送至28693680@QQ.COM，报名信息包含但不限于以下内容：参与项目名称、报名公司名称、联系人、联系电话，公司营业执照等。</w:t>
      </w:r>
    </w:p>
    <w:p w14:paraId="376A01D2">
      <w:pPr>
        <w:pStyle w:val="11"/>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六、投标须知</w:t>
      </w:r>
    </w:p>
    <w:p w14:paraId="2256C154">
      <w:pPr>
        <w:pStyle w:val="11"/>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1、否决投标的情形：</w:t>
      </w:r>
    </w:p>
    <w:p w14:paraId="00C887C9">
      <w:pPr>
        <w:pStyle w:val="11"/>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1.1、投标人以他人名义投标、串通投标、以行贿手段谋取中标的；</w:t>
      </w:r>
    </w:p>
    <w:p w14:paraId="32666238">
      <w:pPr>
        <w:pStyle w:val="11"/>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1.2、资格评审时，投标人资格条件不符合国家有关规定或者招标文件要求的，或者拒不按照要求对投标文件进行澄清、说明或补正，或者其说明补正无法证明其为合格投标人的；</w:t>
      </w:r>
    </w:p>
    <w:p w14:paraId="02DB57C6">
      <w:pPr>
        <w:pStyle w:val="11"/>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1.3、评标委员会认定投标人以低于成本报价竞标的；</w:t>
      </w:r>
    </w:p>
    <w:p w14:paraId="12A7472B">
      <w:pPr>
        <w:pStyle w:val="11"/>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1.4、投标人未按照要求出席开标会的；</w:t>
      </w:r>
    </w:p>
    <w:p w14:paraId="43B3A0F6">
      <w:pPr>
        <w:pStyle w:val="11"/>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1.5、投标报价有错误的，评标委员会将要求投标人作出书面澄清说明和确认，投标人拒不作出澄清说明和确认的；</w:t>
      </w:r>
    </w:p>
    <w:p w14:paraId="322FAE91">
      <w:pPr>
        <w:pStyle w:val="11"/>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1.6、投标文件存在弄虚作假或者隐瞒事实，或者未按照招标文件要求如实提供有关情况和文件，以及证明资料且对投标人有利的，应当否决其投标。被列为中标候选人的，应当取消其中标候选人资格。</w:t>
      </w:r>
    </w:p>
    <w:p w14:paraId="357C7207">
      <w:pPr>
        <w:pStyle w:val="11"/>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2、有下列情形之一的，招标人将重新招标：</w:t>
      </w:r>
    </w:p>
    <w:p w14:paraId="58B98DEA">
      <w:pPr>
        <w:pStyle w:val="11"/>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2.1、投标截止时间止，投标人少于3家的；</w:t>
      </w:r>
    </w:p>
    <w:p w14:paraId="71BCFD3A">
      <w:pPr>
        <w:pStyle w:val="11"/>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2.2、经评标委员会评审后，符合资格审查的投标人少于3家的。</w:t>
      </w:r>
    </w:p>
    <w:p w14:paraId="3FB7FD44">
      <w:pPr>
        <w:pStyle w:val="11"/>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3、投标单位必须提供纸质投标文件及电子版投标文件（PDF格式签字盖章版本）</w:t>
      </w:r>
    </w:p>
    <w:p w14:paraId="08255FA8">
      <w:pPr>
        <w:rPr>
          <w:rFonts w:hint="eastAsia" w:ascii="仿宋" w:hAnsi="仿宋" w:eastAsia="仿宋" w:cs="仿宋"/>
          <w:color w:val="auto"/>
          <w:sz w:val="24"/>
          <w:szCs w:val="24"/>
          <w:lang w:val="en-US" w:eastAsia="zh-CN"/>
        </w:rPr>
      </w:pPr>
    </w:p>
    <w:p w14:paraId="535D4EEE">
      <w:pPr>
        <w:pStyle w:val="11"/>
        <w:numPr>
          <w:ilvl w:val="0"/>
          <w:numId w:val="0"/>
        </w:numPr>
        <w:tabs>
          <w:tab w:val="left" w:pos="312"/>
        </w:tabs>
        <w:snapToGrid w:val="0"/>
        <w:spacing w:line="480" w:lineRule="auto"/>
        <w:jc w:val="center"/>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第二章采购需求</w:t>
      </w:r>
    </w:p>
    <w:p w14:paraId="0F5F3519">
      <w:pPr>
        <w:spacing w:line="360" w:lineRule="auto"/>
        <w:ind w:firstLine="480" w:firstLineChars="200"/>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一、采购清单、采购项目交付或者实施的时间和地点</w:t>
      </w:r>
    </w:p>
    <w:p w14:paraId="72EE0D2D">
      <w:pPr>
        <w:spacing w:line="360" w:lineRule="auto"/>
        <w:ind w:firstLine="480" w:firstLineChars="200"/>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1.采购项目</w:t>
      </w:r>
    </w:p>
    <w:tbl>
      <w:tblPr>
        <w:tblStyle w:val="9"/>
        <w:tblW w:w="8187"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3956"/>
        <w:gridCol w:w="2775"/>
        <w:gridCol w:w="1456"/>
      </w:tblGrid>
      <w:tr w14:paraId="4B30461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690" w:hRule="atLeast"/>
          <w:jc w:val="center"/>
        </w:trPr>
        <w:tc>
          <w:tcPr>
            <w:tcW w:w="395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5412541">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default"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rPr>
              <w:t>项目名称</w:t>
            </w:r>
          </w:p>
        </w:tc>
        <w:tc>
          <w:tcPr>
            <w:tcW w:w="277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EFF8D76">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rPr>
              <w:t>预算</w:t>
            </w:r>
            <w:r>
              <w:rPr>
                <w:rFonts w:hint="eastAsia" w:ascii="仿宋" w:hAnsi="仿宋" w:eastAsia="仿宋" w:cs="仿宋"/>
                <w:color w:val="auto"/>
                <w:kern w:val="2"/>
                <w:sz w:val="24"/>
                <w:szCs w:val="24"/>
                <w:lang w:eastAsia="zh-CN"/>
              </w:rPr>
              <w:t>总</w:t>
            </w:r>
            <w:r>
              <w:rPr>
                <w:rFonts w:hint="eastAsia" w:ascii="仿宋" w:hAnsi="仿宋" w:eastAsia="仿宋" w:cs="仿宋"/>
                <w:color w:val="auto"/>
                <w:kern w:val="2"/>
                <w:sz w:val="24"/>
                <w:szCs w:val="24"/>
              </w:rPr>
              <w:t>价（元）</w:t>
            </w:r>
          </w:p>
        </w:tc>
        <w:tc>
          <w:tcPr>
            <w:tcW w:w="145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CC84C2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备注</w:t>
            </w:r>
          </w:p>
        </w:tc>
      </w:tr>
      <w:tr w14:paraId="3CA3BD2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620" w:hRule="atLeast"/>
          <w:jc w:val="center"/>
        </w:trPr>
        <w:tc>
          <w:tcPr>
            <w:tcW w:w="395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6F13EF2">
            <w:pPr>
              <w:keepNext w:val="0"/>
              <w:keepLines w:val="0"/>
              <w:widowControl/>
              <w:suppressLineNumbers w:val="0"/>
              <w:jc w:val="center"/>
              <w:textAlignment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多维终端安全管理平台（第二次）</w:t>
            </w:r>
          </w:p>
        </w:tc>
        <w:tc>
          <w:tcPr>
            <w:tcW w:w="277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0A9C7C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28.5</w:t>
            </w:r>
          </w:p>
        </w:tc>
        <w:tc>
          <w:tcPr>
            <w:tcW w:w="145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57F5C2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auto"/>
                <w:kern w:val="2"/>
                <w:sz w:val="24"/>
                <w:szCs w:val="24"/>
                <w:lang w:val="en-US" w:eastAsia="zh-CN" w:bidi="ar-SA"/>
              </w:rPr>
            </w:pPr>
          </w:p>
        </w:tc>
      </w:tr>
    </w:tbl>
    <w:p w14:paraId="0CA7683B">
      <w:pPr>
        <w:spacing w:line="360" w:lineRule="auto"/>
        <w:ind w:firstLine="480" w:firstLineChars="200"/>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2、服务时间：双方签订合同时具体约定。</w:t>
      </w:r>
    </w:p>
    <w:p w14:paraId="20193AC1">
      <w:pPr>
        <w:ind w:firstLine="480" w:firstLineChars="200"/>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3、服务地点：娄底市中心医院。</w:t>
      </w:r>
    </w:p>
    <w:p w14:paraId="3D057826">
      <w:pPr>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二、项目内容及要求，（以下内容必须全部响应，否则视为无效投标）</w:t>
      </w:r>
    </w:p>
    <w:p w14:paraId="385350B3">
      <w:pPr>
        <w:numPr>
          <w:ilvl w:val="0"/>
          <w:numId w:val="0"/>
        </w:numPr>
        <w:spacing w:line="360" w:lineRule="auto"/>
        <w:jc w:val="both"/>
        <w:rPr>
          <w:rFonts w:hint="default" w:ascii="宋体" w:hAnsi="宋体" w:cs="宋体"/>
          <w:b/>
          <w:bCs w:val="0"/>
          <w:sz w:val="24"/>
          <w:szCs w:val="24"/>
          <w:lang w:val="en-US" w:eastAsia="zh-CN"/>
        </w:rPr>
      </w:pPr>
      <w:r>
        <w:rPr>
          <w:rFonts w:hint="eastAsia" w:ascii="宋体" w:hAnsi="宋体" w:cs="宋体"/>
          <w:b/>
          <w:bCs w:val="0"/>
          <w:sz w:val="24"/>
          <w:szCs w:val="24"/>
          <w:lang w:val="en-US" w:eastAsia="zh-CN"/>
        </w:rPr>
        <w:t>1、技术参数</w:t>
      </w:r>
    </w:p>
    <w:tbl>
      <w:tblPr>
        <w:tblStyle w:val="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3"/>
        <w:gridCol w:w="1968"/>
        <w:gridCol w:w="6835"/>
      </w:tblGrid>
      <w:tr w14:paraId="5996C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23" w:type="pct"/>
            <w:vAlign w:val="center"/>
          </w:tcPr>
          <w:p w14:paraId="44E9161D">
            <w:pPr>
              <w:spacing w:line="360" w:lineRule="auto"/>
              <w:jc w:val="center"/>
              <w:rPr>
                <w:rFonts w:hint="eastAsia" w:ascii="宋体" w:hAnsi="宋体" w:cs="宋体"/>
                <w:szCs w:val="21"/>
              </w:rPr>
            </w:pPr>
          </w:p>
        </w:tc>
        <w:tc>
          <w:tcPr>
            <w:tcW w:w="1023" w:type="pct"/>
            <w:vAlign w:val="center"/>
          </w:tcPr>
          <w:p w14:paraId="39D0B10A">
            <w:pPr>
              <w:spacing w:line="360" w:lineRule="auto"/>
              <w:jc w:val="center"/>
              <w:rPr>
                <w:rFonts w:ascii="宋体" w:hAnsi="宋体" w:cs="宋体"/>
                <w:szCs w:val="21"/>
              </w:rPr>
            </w:pPr>
            <w:r>
              <w:rPr>
                <w:rFonts w:hint="eastAsia" w:ascii="宋体" w:hAnsi="宋体" w:cs="宋体"/>
                <w:szCs w:val="21"/>
              </w:rPr>
              <w:t>指标项</w:t>
            </w:r>
          </w:p>
        </w:tc>
        <w:tc>
          <w:tcPr>
            <w:tcW w:w="3553" w:type="pct"/>
            <w:vAlign w:val="center"/>
          </w:tcPr>
          <w:p w14:paraId="5F42E2F1">
            <w:pPr>
              <w:spacing w:line="360" w:lineRule="auto"/>
              <w:jc w:val="center"/>
              <w:rPr>
                <w:rFonts w:ascii="宋体" w:hAnsi="宋体" w:cs="宋体"/>
                <w:szCs w:val="21"/>
              </w:rPr>
            </w:pPr>
            <w:r>
              <w:rPr>
                <w:rFonts w:hint="eastAsia" w:ascii="宋体" w:hAnsi="宋体" w:cs="宋体"/>
                <w:szCs w:val="21"/>
              </w:rPr>
              <w:t>技术规格要求</w:t>
            </w:r>
          </w:p>
        </w:tc>
      </w:tr>
      <w:tr w14:paraId="0B66F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23" w:type="pct"/>
            <w:vAlign w:val="center"/>
          </w:tcPr>
          <w:p w14:paraId="7976876B">
            <w:pPr>
              <w:pStyle w:val="13"/>
              <w:numPr>
                <w:ilvl w:val="0"/>
                <w:numId w:val="2"/>
              </w:numPr>
              <w:spacing w:line="360" w:lineRule="auto"/>
              <w:ind w:firstLineChars="0"/>
              <w:jc w:val="center"/>
              <w:rPr>
                <w:rFonts w:ascii="宋体" w:hAnsi="宋体" w:eastAsia="宋体" w:cs="宋体"/>
                <w:szCs w:val="21"/>
              </w:rPr>
            </w:pPr>
          </w:p>
        </w:tc>
        <w:tc>
          <w:tcPr>
            <w:tcW w:w="1023" w:type="pct"/>
            <w:vAlign w:val="center"/>
          </w:tcPr>
          <w:p w14:paraId="2E703348">
            <w:pPr>
              <w:spacing w:line="360" w:lineRule="auto"/>
              <w:jc w:val="center"/>
              <w:rPr>
                <w:rFonts w:ascii="宋体" w:hAnsi="宋体" w:cs="宋体"/>
                <w:szCs w:val="21"/>
              </w:rPr>
            </w:pPr>
            <w:r>
              <w:rPr>
                <w:rFonts w:hint="eastAsia" w:ascii="宋体" w:hAnsi="宋体" w:cs="宋体"/>
                <w:szCs w:val="21"/>
              </w:rPr>
              <w:t>基础要求</w:t>
            </w:r>
          </w:p>
        </w:tc>
        <w:tc>
          <w:tcPr>
            <w:tcW w:w="3553" w:type="pct"/>
            <w:vAlign w:val="center"/>
          </w:tcPr>
          <w:p w14:paraId="51C34E2B">
            <w:pPr>
              <w:spacing w:line="360" w:lineRule="auto"/>
              <w:rPr>
                <w:rFonts w:ascii="宋体" w:hAnsi="宋体" w:cs="宋体"/>
                <w:szCs w:val="21"/>
              </w:rPr>
            </w:pPr>
            <w:r>
              <w:rPr>
                <w:rFonts w:hint="eastAsia" w:ascii="宋体" w:hAnsi="宋体" w:cs="宋体"/>
                <w:szCs w:val="21"/>
              </w:rPr>
              <w:t>基于linux开发的嵌入式专用系统，支持软硬件一体或虚拟化部署。</w:t>
            </w:r>
          </w:p>
        </w:tc>
      </w:tr>
      <w:tr w14:paraId="3EAE7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23" w:type="pct"/>
            <w:vAlign w:val="center"/>
          </w:tcPr>
          <w:p w14:paraId="5758DC9C">
            <w:pPr>
              <w:pStyle w:val="13"/>
              <w:numPr>
                <w:ilvl w:val="0"/>
                <w:numId w:val="2"/>
              </w:numPr>
              <w:spacing w:line="360" w:lineRule="auto"/>
              <w:ind w:firstLineChars="0"/>
              <w:jc w:val="center"/>
              <w:rPr>
                <w:rFonts w:ascii="宋体" w:hAnsi="宋体" w:eastAsia="宋体" w:cs="宋体"/>
                <w:szCs w:val="21"/>
              </w:rPr>
            </w:pPr>
          </w:p>
        </w:tc>
        <w:tc>
          <w:tcPr>
            <w:tcW w:w="1023" w:type="pct"/>
            <w:vAlign w:val="center"/>
          </w:tcPr>
          <w:p w14:paraId="16C96A36">
            <w:pPr>
              <w:spacing w:line="360" w:lineRule="auto"/>
              <w:jc w:val="center"/>
              <w:rPr>
                <w:rFonts w:ascii="宋体" w:hAnsi="宋体" w:cs="宋体"/>
                <w:szCs w:val="21"/>
              </w:rPr>
            </w:pPr>
            <w:r>
              <w:rPr>
                <w:rFonts w:hint="eastAsia" w:ascii="宋体" w:hAnsi="宋体" w:cs="宋体"/>
                <w:szCs w:val="21"/>
              </w:rPr>
              <w:t>硬件指标</w:t>
            </w:r>
          </w:p>
        </w:tc>
        <w:tc>
          <w:tcPr>
            <w:tcW w:w="3553" w:type="pct"/>
            <w:vAlign w:val="center"/>
          </w:tcPr>
          <w:p w14:paraId="03298537">
            <w:pPr>
              <w:spacing w:line="360" w:lineRule="auto"/>
              <w:rPr>
                <w:rFonts w:ascii="宋体" w:hAnsi="宋体" w:cs="宋体"/>
                <w:color w:val="333333"/>
                <w:szCs w:val="21"/>
                <w:shd w:val="clear" w:color="auto" w:fill="FFFFFF"/>
              </w:rPr>
            </w:pPr>
            <w:r>
              <w:rPr>
                <w:rFonts w:hint="eastAsia" w:ascii="宋体" w:hAnsi="宋体" w:cs="宋体"/>
                <w:color w:val="333333"/>
                <w:szCs w:val="21"/>
                <w:shd w:val="clear" w:color="auto" w:fill="FFFFFF"/>
              </w:rPr>
              <w:t>1U 机架结构;</w:t>
            </w:r>
            <w:r>
              <w:rPr>
                <w:rFonts w:hint="eastAsia" w:ascii="宋体" w:hAnsi="宋体" w:cs="宋体"/>
                <w:color w:val="333333"/>
                <w:szCs w:val="21"/>
                <w:shd w:val="clear" w:color="auto" w:fill="FFFFFF"/>
                <w:lang w:val="en-US" w:eastAsia="zh-CN"/>
              </w:rPr>
              <w:t>双</w:t>
            </w:r>
            <w:r>
              <w:rPr>
                <w:rFonts w:hint="eastAsia" w:ascii="宋体" w:hAnsi="宋体" w:cs="宋体"/>
                <w:color w:val="333333"/>
                <w:szCs w:val="21"/>
                <w:shd w:val="clear" w:color="auto" w:fill="FFFFFF"/>
              </w:rPr>
              <w:t>电源;标准配置6个1000MBASE-T接口,可配置1个接口卡;每秒事务数(TPS)：≥5000(次/秒)，最大吞吐量:≥2Gbps，最大并发连接数:4000(条)；本次项目提供</w:t>
            </w:r>
            <w:r>
              <w:rPr>
                <w:rFonts w:hint="eastAsia" w:ascii="宋体" w:hAnsi="宋体" w:cs="宋体"/>
                <w:color w:val="333333"/>
                <w:szCs w:val="21"/>
                <w:shd w:val="clear" w:color="auto" w:fill="FFFFFF"/>
                <w:lang w:val="en-US" w:eastAsia="zh-CN"/>
              </w:rPr>
              <w:t>20</w:t>
            </w:r>
            <w:r>
              <w:rPr>
                <w:rFonts w:hint="eastAsia" w:ascii="宋体" w:hAnsi="宋体" w:cs="宋体"/>
                <w:color w:val="333333"/>
                <w:szCs w:val="21"/>
                <w:shd w:val="clear" w:color="auto" w:fill="FFFFFF"/>
              </w:rPr>
              <w:t>00点终端接入授权</w:t>
            </w:r>
          </w:p>
        </w:tc>
      </w:tr>
      <w:tr w14:paraId="52158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23" w:type="pct"/>
            <w:vAlign w:val="center"/>
          </w:tcPr>
          <w:p w14:paraId="2F2D553C">
            <w:pPr>
              <w:pStyle w:val="13"/>
              <w:numPr>
                <w:ilvl w:val="0"/>
                <w:numId w:val="2"/>
              </w:numPr>
              <w:spacing w:line="360" w:lineRule="auto"/>
              <w:ind w:firstLineChars="0"/>
              <w:jc w:val="center"/>
              <w:rPr>
                <w:rFonts w:ascii="宋体" w:hAnsi="宋体" w:eastAsia="宋体" w:cs="宋体"/>
                <w:szCs w:val="21"/>
              </w:rPr>
            </w:pPr>
          </w:p>
        </w:tc>
        <w:tc>
          <w:tcPr>
            <w:tcW w:w="1023" w:type="pct"/>
            <w:vAlign w:val="center"/>
          </w:tcPr>
          <w:p w14:paraId="28F79A10">
            <w:pPr>
              <w:spacing w:line="360" w:lineRule="auto"/>
              <w:jc w:val="center"/>
              <w:rPr>
                <w:rFonts w:ascii="宋体" w:hAnsi="宋体" w:cs="宋体"/>
                <w:szCs w:val="21"/>
              </w:rPr>
            </w:pPr>
            <w:r>
              <w:rPr>
                <w:rFonts w:hint="eastAsia" w:ascii="宋体" w:hAnsi="宋体" w:cs="宋体"/>
                <w:szCs w:val="21"/>
              </w:rPr>
              <w:t>安全登录</w:t>
            </w:r>
          </w:p>
        </w:tc>
        <w:tc>
          <w:tcPr>
            <w:tcW w:w="3553" w:type="pct"/>
            <w:vAlign w:val="center"/>
          </w:tcPr>
          <w:p w14:paraId="5495B03F">
            <w:pPr>
              <w:spacing w:line="360" w:lineRule="auto"/>
              <w:rPr>
                <w:rFonts w:ascii="宋体" w:hAnsi="宋体" w:cs="宋体"/>
                <w:color w:val="333333"/>
                <w:szCs w:val="21"/>
                <w:shd w:val="clear" w:color="auto" w:fill="FFFFFF"/>
              </w:rPr>
            </w:pPr>
            <w:r>
              <w:rPr>
                <w:rFonts w:hint="eastAsia" w:ascii="宋体" w:hAnsi="宋体" w:cs="宋体"/>
                <w:color w:val="333333"/>
                <w:szCs w:val="21"/>
                <w:shd w:val="clear" w:color="auto" w:fill="FFFFFF"/>
              </w:rPr>
              <w:t>使用安全登录组建替代域控账户控制，安全登录功能扩展了Windows系统原有的帐号+口令的登录方式，使之支持Ukey、智能卡、平台自建帐号、邮箱帐号、LDAP、Radius、动态验证码等各种方式认证并登录Windows系统</w:t>
            </w:r>
            <w:r>
              <w:rPr>
                <w:rFonts w:hint="eastAsia" w:ascii="宋体" w:hAnsi="宋体" w:cs="宋体"/>
                <w:color w:val="333333"/>
                <w:szCs w:val="21"/>
                <w:shd w:val="clear" w:color="auto" w:fill="FFFFFF"/>
                <w:lang w:eastAsia="zh-CN"/>
              </w:rPr>
              <w:t>，</w:t>
            </w:r>
            <w:r>
              <w:rPr>
                <w:rFonts w:hint="eastAsia" w:ascii="宋体" w:hAnsi="宋体" w:cs="宋体"/>
                <w:color w:val="333333"/>
                <w:szCs w:val="21"/>
                <w:shd w:val="clear" w:color="auto" w:fill="FFFFFF"/>
                <w:lang w:val="en-US" w:eastAsia="zh-CN"/>
              </w:rPr>
              <w:t>同时支持linux系统</w:t>
            </w:r>
            <w:r>
              <w:rPr>
                <w:rFonts w:hint="eastAsia" w:ascii="宋体" w:hAnsi="宋体" w:cs="宋体"/>
                <w:color w:val="333333"/>
                <w:szCs w:val="21"/>
                <w:shd w:val="clear" w:color="auto" w:fill="FFFFFF"/>
              </w:rPr>
              <w:t>。</w:t>
            </w:r>
            <w:r>
              <w:rPr>
                <w:rFonts w:hint="eastAsia"/>
                <w:szCs w:val="21"/>
              </w:rPr>
              <w:t>提供产品功能截图并加盖原厂商公章）</w:t>
            </w:r>
          </w:p>
        </w:tc>
      </w:tr>
      <w:tr w14:paraId="5C6C1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23" w:type="pct"/>
            <w:vAlign w:val="center"/>
          </w:tcPr>
          <w:p w14:paraId="7C1F997A">
            <w:pPr>
              <w:pStyle w:val="13"/>
              <w:numPr>
                <w:ilvl w:val="0"/>
                <w:numId w:val="2"/>
              </w:numPr>
              <w:spacing w:line="360" w:lineRule="auto"/>
              <w:ind w:firstLineChars="0"/>
              <w:jc w:val="center"/>
              <w:rPr>
                <w:rFonts w:ascii="宋体" w:hAnsi="宋体" w:eastAsia="宋体" w:cs="宋体"/>
                <w:szCs w:val="21"/>
              </w:rPr>
            </w:pPr>
          </w:p>
        </w:tc>
        <w:tc>
          <w:tcPr>
            <w:tcW w:w="1023" w:type="pct"/>
            <w:vMerge w:val="restart"/>
            <w:vAlign w:val="center"/>
          </w:tcPr>
          <w:p w14:paraId="5B12655F">
            <w:pPr>
              <w:spacing w:line="360" w:lineRule="auto"/>
              <w:jc w:val="center"/>
              <w:rPr>
                <w:rFonts w:ascii="宋体" w:hAnsi="宋体" w:cs="宋体"/>
                <w:szCs w:val="21"/>
              </w:rPr>
            </w:pPr>
            <w:r>
              <w:rPr>
                <w:rFonts w:hint="eastAsia" w:ascii="宋体" w:hAnsi="宋体" w:cs="宋体"/>
                <w:szCs w:val="21"/>
              </w:rPr>
              <w:t>终端故障检测</w:t>
            </w:r>
          </w:p>
        </w:tc>
        <w:tc>
          <w:tcPr>
            <w:tcW w:w="3553" w:type="pct"/>
            <w:vAlign w:val="center"/>
          </w:tcPr>
          <w:p w14:paraId="5C11C681">
            <w:pPr>
              <w:spacing w:line="360" w:lineRule="auto"/>
              <w:rPr>
                <w:rFonts w:ascii="宋体" w:hAnsi="宋体" w:cs="宋体"/>
                <w:color w:val="333333"/>
                <w:szCs w:val="21"/>
                <w:shd w:val="clear" w:color="auto" w:fill="FFFFFF"/>
              </w:rPr>
            </w:pPr>
            <w:r>
              <w:rPr>
                <w:rFonts w:hint="eastAsia" w:ascii="宋体" w:hAnsi="宋体" w:cs="宋体"/>
                <w:szCs w:val="21"/>
              </w:rPr>
              <w:t>支持对终端cpu使用率过高、内存使用率过高、磁盘占用率过高等硬件性能故障进行智能监测，并提供自动修复方式；</w:t>
            </w:r>
          </w:p>
        </w:tc>
      </w:tr>
      <w:tr w14:paraId="40512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23" w:type="pct"/>
            <w:vAlign w:val="center"/>
          </w:tcPr>
          <w:p w14:paraId="4D3808FA">
            <w:pPr>
              <w:pStyle w:val="13"/>
              <w:numPr>
                <w:ilvl w:val="0"/>
                <w:numId w:val="2"/>
              </w:numPr>
              <w:spacing w:line="360" w:lineRule="auto"/>
              <w:ind w:firstLineChars="0"/>
              <w:jc w:val="center"/>
              <w:rPr>
                <w:rFonts w:ascii="宋体" w:hAnsi="宋体" w:eastAsia="宋体" w:cs="宋体"/>
                <w:szCs w:val="21"/>
              </w:rPr>
            </w:pPr>
          </w:p>
        </w:tc>
        <w:tc>
          <w:tcPr>
            <w:tcW w:w="1023" w:type="pct"/>
            <w:vMerge w:val="continue"/>
            <w:vAlign w:val="center"/>
          </w:tcPr>
          <w:p w14:paraId="548C9AA7">
            <w:pPr>
              <w:spacing w:line="360" w:lineRule="auto"/>
              <w:jc w:val="center"/>
              <w:rPr>
                <w:rFonts w:ascii="宋体" w:hAnsi="宋体" w:cs="宋体"/>
                <w:szCs w:val="21"/>
              </w:rPr>
            </w:pPr>
          </w:p>
        </w:tc>
        <w:tc>
          <w:tcPr>
            <w:tcW w:w="3553" w:type="pct"/>
            <w:vAlign w:val="center"/>
          </w:tcPr>
          <w:p w14:paraId="3A906E66">
            <w:pPr>
              <w:spacing w:line="360" w:lineRule="auto"/>
              <w:rPr>
                <w:rFonts w:ascii="宋体" w:hAnsi="宋体" w:cs="宋体"/>
                <w:color w:val="333333"/>
                <w:szCs w:val="21"/>
                <w:shd w:val="clear" w:color="auto" w:fill="FFFFFF"/>
              </w:rPr>
            </w:pPr>
            <w:r>
              <w:rPr>
                <w:rFonts w:hint="eastAsia" w:ascii="宋体" w:hAnsi="宋体" w:cs="宋体"/>
                <w:szCs w:val="21"/>
              </w:rPr>
              <w:t>支持对终端网络连接异常、IP地址配置错误、网络连接质量差等网络故障进行智能监测，并提供自动修复的方式；</w:t>
            </w:r>
            <w:r>
              <w:rPr>
                <w:rFonts w:hint="eastAsia" w:ascii="宋体" w:hAnsi="宋体" w:cs="宋体"/>
                <w:color w:val="333333"/>
                <w:szCs w:val="21"/>
                <w:shd w:val="clear" w:color="auto" w:fill="FFFFFF"/>
              </w:rPr>
              <w:t>（</w:t>
            </w:r>
            <w:r>
              <w:rPr>
                <w:rFonts w:hint="eastAsia"/>
                <w:szCs w:val="21"/>
              </w:rPr>
              <w:t>提供产品功能截图并加盖原厂商公章）</w:t>
            </w:r>
          </w:p>
        </w:tc>
      </w:tr>
      <w:tr w14:paraId="55343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23" w:type="pct"/>
            <w:vAlign w:val="center"/>
          </w:tcPr>
          <w:p w14:paraId="461825FD">
            <w:pPr>
              <w:pStyle w:val="13"/>
              <w:numPr>
                <w:ilvl w:val="0"/>
                <w:numId w:val="2"/>
              </w:numPr>
              <w:spacing w:line="360" w:lineRule="auto"/>
              <w:ind w:firstLineChars="0"/>
              <w:jc w:val="center"/>
              <w:rPr>
                <w:rFonts w:ascii="宋体" w:hAnsi="宋体" w:eastAsia="宋体" w:cs="宋体"/>
                <w:szCs w:val="21"/>
              </w:rPr>
            </w:pPr>
          </w:p>
        </w:tc>
        <w:tc>
          <w:tcPr>
            <w:tcW w:w="1023" w:type="pct"/>
            <w:vMerge w:val="continue"/>
            <w:vAlign w:val="center"/>
          </w:tcPr>
          <w:p w14:paraId="02192E24">
            <w:pPr>
              <w:spacing w:line="360" w:lineRule="auto"/>
              <w:jc w:val="center"/>
              <w:rPr>
                <w:rFonts w:ascii="宋体" w:hAnsi="宋体" w:cs="宋体"/>
                <w:szCs w:val="21"/>
              </w:rPr>
            </w:pPr>
          </w:p>
        </w:tc>
        <w:tc>
          <w:tcPr>
            <w:tcW w:w="3553" w:type="pct"/>
            <w:vAlign w:val="center"/>
          </w:tcPr>
          <w:p w14:paraId="0CDEA54A">
            <w:pPr>
              <w:spacing w:line="360" w:lineRule="auto"/>
              <w:rPr>
                <w:rFonts w:ascii="宋体" w:hAnsi="宋体" w:cs="宋体"/>
                <w:color w:val="333333"/>
                <w:szCs w:val="21"/>
                <w:shd w:val="clear" w:color="auto" w:fill="FFFFFF"/>
              </w:rPr>
            </w:pPr>
            <w:r>
              <w:rPr>
                <w:rFonts w:hint="eastAsia" w:ascii="宋体" w:hAnsi="宋体" w:cs="宋体"/>
                <w:szCs w:val="21"/>
              </w:rPr>
              <w:t>支持对终端超时长运行、异常进程、杀毒软件冲突等操作系统故障进行智能监测，并提供自动修复的方式；</w:t>
            </w:r>
            <w:r>
              <w:rPr>
                <w:rFonts w:hint="eastAsia" w:ascii="宋体" w:hAnsi="宋体" w:cs="宋体"/>
                <w:color w:val="333333"/>
                <w:szCs w:val="21"/>
                <w:shd w:val="clear" w:color="auto" w:fill="FFFFFF"/>
              </w:rPr>
              <w:t>（</w:t>
            </w:r>
            <w:r>
              <w:rPr>
                <w:rFonts w:hint="eastAsia"/>
                <w:szCs w:val="21"/>
              </w:rPr>
              <w:t>提供产品功能截图并加盖原厂商公章）</w:t>
            </w:r>
          </w:p>
        </w:tc>
      </w:tr>
      <w:tr w14:paraId="156C2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23" w:type="pct"/>
            <w:vAlign w:val="center"/>
          </w:tcPr>
          <w:p w14:paraId="0DF49531">
            <w:pPr>
              <w:pStyle w:val="13"/>
              <w:numPr>
                <w:ilvl w:val="0"/>
                <w:numId w:val="2"/>
              </w:numPr>
              <w:spacing w:line="360" w:lineRule="auto"/>
              <w:ind w:firstLineChars="0"/>
              <w:jc w:val="center"/>
              <w:rPr>
                <w:rFonts w:ascii="宋体" w:hAnsi="宋体" w:eastAsia="宋体" w:cs="宋体"/>
                <w:szCs w:val="21"/>
              </w:rPr>
            </w:pPr>
          </w:p>
        </w:tc>
        <w:tc>
          <w:tcPr>
            <w:tcW w:w="1023" w:type="pct"/>
            <w:vMerge w:val="continue"/>
            <w:vAlign w:val="center"/>
          </w:tcPr>
          <w:p w14:paraId="5FFF1C2E">
            <w:pPr>
              <w:spacing w:line="360" w:lineRule="auto"/>
              <w:jc w:val="center"/>
              <w:rPr>
                <w:rFonts w:ascii="宋体" w:hAnsi="宋体" w:cs="宋体"/>
                <w:szCs w:val="21"/>
              </w:rPr>
            </w:pPr>
          </w:p>
        </w:tc>
        <w:tc>
          <w:tcPr>
            <w:tcW w:w="3553" w:type="pct"/>
            <w:vAlign w:val="center"/>
          </w:tcPr>
          <w:p w14:paraId="611F0536">
            <w:pPr>
              <w:spacing w:line="360" w:lineRule="auto"/>
              <w:rPr>
                <w:rFonts w:ascii="宋体" w:hAnsi="宋体" w:cs="宋体"/>
                <w:color w:val="333333"/>
                <w:szCs w:val="21"/>
                <w:shd w:val="clear" w:color="auto" w:fill="FFFFFF"/>
              </w:rPr>
            </w:pPr>
            <w:r>
              <w:rPr>
                <w:rFonts w:hint="eastAsia" w:ascii="宋体" w:hAnsi="宋体" w:cs="宋体"/>
                <w:szCs w:val="21"/>
              </w:rPr>
              <w:t>支持对终端打印机连接异常、打印服务未启用、打印队列阻塞等打印故障进行智能监测，并提供自动修复的方式；</w:t>
            </w:r>
            <w:r>
              <w:rPr>
                <w:rFonts w:hint="eastAsia" w:ascii="宋体" w:hAnsi="宋体" w:cs="宋体"/>
                <w:color w:val="333333"/>
                <w:szCs w:val="21"/>
                <w:shd w:val="clear" w:color="auto" w:fill="FFFFFF"/>
              </w:rPr>
              <w:t>（</w:t>
            </w:r>
            <w:r>
              <w:rPr>
                <w:rFonts w:hint="eastAsia"/>
                <w:szCs w:val="21"/>
              </w:rPr>
              <w:t>提供产品功能截图并加盖原厂商公章）</w:t>
            </w:r>
          </w:p>
        </w:tc>
      </w:tr>
      <w:tr w14:paraId="13A5F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23" w:type="pct"/>
            <w:vAlign w:val="center"/>
          </w:tcPr>
          <w:p w14:paraId="769EEA32">
            <w:pPr>
              <w:pStyle w:val="13"/>
              <w:numPr>
                <w:ilvl w:val="0"/>
                <w:numId w:val="2"/>
              </w:numPr>
              <w:spacing w:line="360" w:lineRule="auto"/>
              <w:ind w:firstLineChars="0"/>
              <w:jc w:val="center"/>
              <w:rPr>
                <w:rFonts w:ascii="宋体" w:hAnsi="宋体" w:eastAsia="宋体" w:cs="宋体"/>
                <w:szCs w:val="21"/>
              </w:rPr>
            </w:pPr>
          </w:p>
        </w:tc>
        <w:tc>
          <w:tcPr>
            <w:tcW w:w="1023" w:type="pct"/>
            <w:vMerge w:val="continue"/>
            <w:vAlign w:val="center"/>
          </w:tcPr>
          <w:p w14:paraId="2451A1EF">
            <w:pPr>
              <w:spacing w:line="360" w:lineRule="auto"/>
              <w:jc w:val="center"/>
              <w:rPr>
                <w:rFonts w:ascii="宋体" w:hAnsi="宋体" w:cs="宋体"/>
                <w:szCs w:val="21"/>
              </w:rPr>
            </w:pPr>
          </w:p>
        </w:tc>
        <w:tc>
          <w:tcPr>
            <w:tcW w:w="3553" w:type="pct"/>
            <w:vAlign w:val="center"/>
          </w:tcPr>
          <w:p w14:paraId="1C2DC7B6">
            <w:pPr>
              <w:spacing w:line="360" w:lineRule="auto"/>
              <w:rPr>
                <w:rFonts w:ascii="宋体" w:hAnsi="宋体" w:cs="宋体"/>
                <w:color w:val="333333"/>
                <w:szCs w:val="21"/>
                <w:shd w:val="clear" w:color="auto" w:fill="FFFFFF"/>
              </w:rPr>
            </w:pPr>
            <w:r>
              <w:rPr>
                <w:rFonts w:hint="eastAsia" w:ascii="宋体" w:hAnsi="宋体" w:cs="宋体"/>
                <w:szCs w:val="21"/>
              </w:rPr>
              <w:t>支持一键故障诊断，在客户端侧支持对本机进行一键故障诊断；在管理后台，管理员可对指定终端进行远程一键故障诊断。</w:t>
            </w:r>
          </w:p>
        </w:tc>
      </w:tr>
      <w:tr w14:paraId="2F1B7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6" w:hRule="atLeast"/>
          <w:jc w:val="center"/>
        </w:trPr>
        <w:tc>
          <w:tcPr>
            <w:tcW w:w="423" w:type="pct"/>
            <w:vAlign w:val="center"/>
          </w:tcPr>
          <w:p w14:paraId="41BE063B">
            <w:pPr>
              <w:pStyle w:val="13"/>
              <w:numPr>
                <w:ilvl w:val="0"/>
                <w:numId w:val="2"/>
              </w:numPr>
              <w:spacing w:line="360" w:lineRule="auto"/>
              <w:ind w:firstLineChars="0"/>
              <w:jc w:val="center"/>
              <w:rPr>
                <w:rFonts w:ascii="宋体" w:hAnsi="宋体" w:eastAsia="宋体" w:cs="宋体"/>
                <w:szCs w:val="21"/>
              </w:rPr>
            </w:pPr>
          </w:p>
        </w:tc>
        <w:tc>
          <w:tcPr>
            <w:tcW w:w="1023" w:type="pct"/>
            <w:vMerge w:val="restart"/>
            <w:vAlign w:val="center"/>
          </w:tcPr>
          <w:p w14:paraId="512610EA">
            <w:pPr>
              <w:spacing w:line="360" w:lineRule="auto"/>
              <w:jc w:val="center"/>
              <w:rPr>
                <w:rFonts w:ascii="宋体" w:hAnsi="宋体" w:cs="宋体"/>
                <w:szCs w:val="21"/>
              </w:rPr>
            </w:pPr>
            <w:r>
              <w:rPr>
                <w:rFonts w:hint="eastAsia" w:ascii="宋体" w:hAnsi="宋体" w:cs="宋体"/>
                <w:szCs w:val="21"/>
              </w:rPr>
              <w:t>运维工作台</w:t>
            </w:r>
          </w:p>
        </w:tc>
        <w:tc>
          <w:tcPr>
            <w:tcW w:w="3553" w:type="pct"/>
            <w:vAlign w:val="center"/>
          </w:tcPr>
          <w:p w14:paraId="2763C0E2">
            <w:pPr>
              <w:spacing w:line="360" w:lineRule="auto"/>
              <w:rPr>
                <w:rFonts w:ascii="宋体" w:hAnsi="宋体" w:cs="宋体"/>
                <w:color w:val="333333"/>
                <w:szCs w:val="21"/>
                <w:shd w:val="clear" w:color="auto" w:fill="FFFFFF"/>
              </w:rPr>
            </w:pPr>
            <w:r>
              <w:rPr>
                <w:rFonts w:hint="eastAsia" w:ascii="宋体" w:hAnsi="宋体" w:cs="宋体"/>
                <w:color w:val="333333"/>
                <w:szCs w:val="21"/>
                <w:shd w:val="clear" w:color="auto" w:fill="FFFFFF"/>
              </w:rPr>
              <w:t>支持以卡片形式对终端进行远程控制、IP地址更改、计算机名更改等操作；同时支持重启、关机、卸载客户端等批量操作（</w:t>
            </w:r>
            <w:r>
              <w:rPr>
                <w:rFonts w:hint="eastAsia"/>
                <w:szCs w:val="21"/>
              </w:rPr>
              <w:t>提供产品功能截图并加盖原厂商公章）</w:t>
            </w:r>
          </w:p>
        </w:tc>
      </w:tr>
      <w:tr w14:paraId="491A5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23" w:type="pct"/>
            <w:vAlign w:val="center"/>
          </w:tcPr>
          <w:p w14:paraId="26AFD0E0">
            <w:pPr>
              <w:pStyle w:val="13"/>
              <w:numPr>
                <w:ilvl w:val="0"/>
                <w:numId w:val="2"/>
              </w:numPr>
              <w:spacing w:line="360" w:lineRule="auto"/>
              <w:ind w:firstLineChars="0"/>
              <w:jc w:val="center"/>
              <w:rPr>
                <w:rFonts w:ascii="宋体" w:hAnsi="宋体" w:eastAsia="宋体" w:cs="宋体"/>
                <w:szCs w:val="21"/>
              </w:rPr>
            </w:pPr>
          </w:p>
        </w:tc>
        <w:tc>
          <w:tcPr>
            <w:tcW w:w="1023" w:type="pct"/>
            <w:vAlign w:val="center"/>
          </w:tcPr>
          <w:p w14:paraId="455A532C">
            <w:pPr>
              <w:spacing w:line="360" w:lineRule="auto"/>
              <w:jc w:val="center"/>
              <w:rPr>
                <w:rFonts w:ascii="宋体" w:hAnsi="宋体" w:cs="宋体"/>
                <w:color w:val="333333"/>
                <w:szCs w:val="21"/>
                <w:shd w:val="clear" w:color="auto" w:fill="FFFFFF"/>
              </w:rPr>
            </w:pPr>
            <w:r>
              <w:rPr>
                <w:rFonts w:hint="eastAsia" w:ascii="宋体" w:hAnsi="宋体" w:cs="宋体"/>
                <w:color w:val="333333"/>
                <w:szCs w:val="21"/>
                <w:shd w:val="clear" w:color="auto" w:fill="FFFFFF"/>
              </w:rPr>
              <w:t>水印管理</w:t>
            </w:r>
          </w:p>
        </w:tc>
        <w:tc>
          <w:tcPr>
            <w:tcW w:w="3553" w:type="pct"/>
            <w:vAlign w:val="center"/>
          </w:tcPr>
          <w:p w14:paraId="33B1548D">
            <w:pPr>
              <w:spacing w:line="360" w:lineRule="auto"/>
              <w:rPr>
                <w:rFonts w:ascii="宋体" w:hAnsi="宋体" w:cs="宋体"/>
                <w:szCs w:val="21"/>
              </w:rPr>
            </w:pPr>
            <w:r>
              <w:rPr>
                <w:rFonts w:hint="eastAsia" w:ascii="宋体" w:hAnsi="宋体" w:cs="宋体"/>
                <w:szCs w:val="21"/>
              </w:rPr>
              <w:t xml:space="preserve">支持自定义配置水印类型、水印信息内容、大小、位置及应用范围等； </w:t>
            </w:r>
          </w:p>
          <w:p w14:paraId="46457ACA">
            <w:pPr>
              <w:spacing w:line="360" w:lineRule="auto"/>
              <w:rPr>
                <w:rFonts w:ascii="宋体" w:hAnsi="宋体" w:cs="宋体"/>
                <w:szCs w:val="21"/>
              </w:rPr>
            </w:pPr>
            <w:r>
              <w:rPr>
                <w:rFonts w:hint="eastAsia" w:ascii="宋体" w:hAnsi="宋体" w:cs="宋体"/>
                <w:szCs w:val="21"/>
              </w:rPr>
              <w:t>水印内容支持标签管理，可以自定义IP、MAC、计算机账户等内容，不同的用户终端可以看到不同的水印信息；</w:t>
            </w:r>
          </w:p>
          <w:p w14:paraId="0B1D7ED6">
            <w:pPr>
              <w:spacing w:line="360" w:lineRule="auto"/>
              <w:rPr>
                <w:rFonts w:ascii="宋体" w:hAnsi="宋体" w:cs="宋体"/>
                <w:szCs w:val="21"/>
              </w:rPr>
            </w:pPr>
            <w:r>
              <w:rPr>
                <w:rFonts w:hint="eastAsia" w:ascii="宋体" w:hAnsi="宋体" w:cs="宋体"/>
                <w:szCs w:val="21"/>
              </w:rPr>
              <w:t>支持基于进程、窗口等方式触发水印</w:t>
            </w:r>
          </w:p>
          <w:p w14:paraId="7C489EA5">
            <w:pPr>
              <w:spacing w:line="360" w:lineRule="auto"/>
              <w:rPr>
                <w:rFonts w:ascii="宋体" w:hAnsi="宋体" w:cs="宋体"/>
                <w:color w:val="333333"/>
                <w:szCs w:val="21"/>
                <w:shd w:val="clear" w:color="auto" w:fill="FFFFFF"/>
              </w:rPr>
            </w:pPr>
            <w:r>
              <w:rPr>
                <w:rFonts w:hint="eastAsia" w:ascii="宋体" w:hAnsi="宋体" w:cs="宋体"/>
                <w:szCs w:val="21"/>
              </w:rPr>
              <w:t>支持矢量水印技术，可以将水印信息编码为矢量点阵水印；</w:t>
            </w:r>
          </w:p>
        </w:tc>
      </w:tr>
      <w:tr w14:paraId="54989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23" w:type="pct"/>
            <w:vAlign w:val="center"/>
          </w:tcPr>
          <w:p w14:paraId="025B36E9">
            <w:pPr>
              <w:pStyle w:val="13"/>
              <w:numPr>
                <w:ilvl w:val="0"/>
                <w:numId w:val="2"/>
              </w:numPr>
              <w:spacing w:line="360" w:lineRule="auto"/>
              <w:ind w:firstLineChars="0"/>
              <w:jc w:val="center"/>
              <w:rPr>
                <w:rFonts w:ascii="宋体" w:hAnsi="宋体" w:eastAsia="宋体" w:cs="宋体"/>
                <w:szCs w:val="21"/>
              </w:rPr>
            </w:pPr>
          </w:p>
        </w:tc>
        <w:tc>
          <w:tcPr>
            <w:tcW w:w="1023" w:type="pct"/>
            <w:vMerge w:val="restart"/>
            <w:vAlign w:val="center"/>
          </w:tcPr>
          <w:p w14:paraId="24235DFB">
            <w:pPr>
              <w:spacing w:line="360" w:lineRule="auto"/>
              <w:jc w:val="center"/>
              <w:rPr>
                <w:rFonts w:ascii="宋体" w:hAnsi="宋体" w:cs="宋体"/>
                <w:color w:val="333333"/>
                <w:szCs w:val="21"/>
                <w:shd w:val="clear" w:color="auto" w:fill="FFFFFF"/>
              </w:rPr>
            </w:pPr>
            <w:r>
              <w:rPr>
                <w:rFonts w:hint="eastAsia" w:ascii="宋体" w:hAnsi="宋体" w:cs="宋体"/>
                <w:color w:val="333333"/>
                <w:szCs w:val="21"/>
                <w:shd w:val="clear" w:color="auto" w:fill="FFFFFF"/>
              </w:rPr>
              <w:t>远程协助方式</w:t>
            </w:r>
          </w:p>
        </w:tc>
        <w:tc>
          <w:tcPr>
            <w:tcW w:w="3553" w:type="pct"/>
            <w:vAlign w:val="center"/>
          </w:tcPr>
          <w:p w14:paraId="69EF974D">
            <w:pPr>
              <w:spacing w:line="360" w:lineRule="auto"/>
              <w:rPr>
                <w:rFonts w:ascii="宋体" w:hAnsi="宋体" w:cs="宋体"/>
                <w:color w:val="333333"/>
                <w:szCs w:val="21"/>
                <w:shd w:val="clear" w:color="auto" w:fill="FFFFFF"/>
              </w:rPr>
            </w:pPr>
            <w:r>
              <w:rPr>
                <w:rFonts w:hint="eastAsia" w:ascii="宋体" w:hAnsi="宋体" w:cs="宋体"/>
                <w:color w:val="333333"/>
                <w:szCs w:val="21"/>
                <w:shd w:val="clear" w:color="auto" w:fill="FFFFFF"/>
              </w:rPr>
              <w:t>管理员可通过web后台和客户端方式进行一键远程控制；</w:t>
            </w:r>
          </w:p>
          <w:p w14:paraId="59F29237">
            <w:pPr>
              <w:spacing w:line="360" w:lineRule="auto"/>
              <w:rPr>
                <w:rFonts w:ascii="宋体" w:hAnsi="宋体" w:cs="宋体"/>
                <w:color w:val="333333"/>
                <w:szCs w:val="21"/>
                <w:shd w:val="clear" w:color="auto" w:fill="FFFFFF"/>
              </w:rPr>
            </w:pPr>
            <w:r>
              <w:rPr>
                <w:rFonts w:hint="eastAsia" w:ascii="宋体" w:hAnsi="宋体" w:cs="宋体"/>
                <w:color w:val="333333"/>
                <w:szCs w:val="21"/>
                <w:shd w:val="clear" w:color="auto" w:fill="FFFFFF"/>
              </w:rPr>
              <w:t>客户端侧支持使用系统管理员账号登录后才能远程控制，便于事后远程操作记录和审计；</w:t>
            </w:r>
          </w:p>
        </w:tc>
      </w:tr>
      <w:tr w14:paraId="27EBA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23" w:type="pct"/>
            <w:vAlign w:val="center"/>
          </w:tcPr>
          <w:p w14:paraId="7C51A4B8">
            <w:pPr>
              <w:pStyle w:val="13"/>
              <w:numPr>
                <w:ilvl w:val="0"/>
                <w:numId w:val="2"/>
              </w:numPr>
              <w:spacing w:line="360" w:lineRule="auto"/>
              <w:ind w:firstLineChars="0"/>
              <w:jc w:val="center"/>
              <w:rPr>
                <w:rFonts w:ascii="宋体" w:hAnsi="宋体" w:eastAsia="宋体" w:cs="宋体"/>
                <w:szCs w:val="21"/>
              </w:rPr>
            </w:pPr>
          </w:p>
        </w:tc>
        <w:tc>
          <w:tcPr>
            <w:tcW w:w="1023" w:type="pct"/>
            <w:vMerge w:val="continue"/>
            <w:vAlign w:val="center"/>
          </w:tcPr>
          <w:p w14:paraId="1E9EFCE0">
            <w:pPr>
              <w:spacing w:line="360" w:lineRule="auto"/>
              <w:jc w:val="center"/>
              <w:rPr>
                <w:rFonts w:ascii="宋体" w:hAnsi="宋体" w:cs="宋体"/>
                <w:color w:val="333333"/>
                <w:szCs w:val="21"/>
                <w:shd w:val="clear" w:color="auto" w:fill="FFFFFF"/>
              </w:rPr>
            </w:pPr>
          </w:p>
        </w:tc>
        <w:tc>
          <w:tcPr>
            <w:tcW w:w="3553" w:type="pct"/>
            <w:vAlign w:val="center"/>
          </w:tcPr>
          <w:p w14:paraId="5C08AB4C">
            <w:pPr>
              <w:spacing w:line="360" w:lineRule="auto"/>
              <w:rPr>
                <w:rFonts w:ascii="宋体" w:hAnsi="宋体" w:cs="宋体"/>
                <w:color w:val="333333"/>
                <w:szCs w:val="21"/>
                <w:shd w:val="clear" w:color="auto" w:fill="FFFFFF"/>
              </w:rPr>
            </w:pPr>
            <w:r>
              <w:rPr>
                <w:rFonts w:hint="eastAsia" w:ascii="宋体" w:hAnsi="宋体" w:cs="宋体"/>
                <w:szCs w:val="21"/>
              </w:rPr>
              <w:t>管理员计算机与被管理计算机采用专用tcp端口进行直接连接，远程协助时不占用服务器端口资源。远程协助支持双向穿透NAT或VPN的远程屏幕控制。</w:t>
            </w:r>
          </w:p>
        </w:tc>
      </w:tr>
      <w:tr w14:paraId="0D8C6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423" w:type="pct"/>
            <w:vAlign w:val="center"/>
          </w:tcPr>
          <w:p w14:paraId="2EAAF993">
            <w:pPr>
              <w:pStyle w:val="13"/>
              <w:numPr>
                <w:ilvl w:val="0"/>
                <w:numId w:val="2"/>
              </w:numPr>
              <w:spacing w:line="360" w:lineRule="auto"/>
              <w:ind w:firstLineChars="0"/>
              <w:jc w:val="center"/>
              <w:rPr>
                <w:rFonts w:ascii="宋体" w:hAnsi="宋体" w:eastAsia="宋体" w:cs="宋体"/>
                <w:szCs w:val="21"/>
              </w:rPr>
            </w:pPr>
          </w:p>
        </w:tc>
        <w:tc>
          <w:tcPr>
            <w:tcW w:w="1023" w:type="pct"/>
            <w:vMerge w:val="continue"/>
            <w:vAlign w:val="center"/>
          </w:tcPr>
          <w:p w14:paraId="746F6E83">
            <w:pPr>
              <w:spacing w:line="360" w:lineRule="auto"/>
              <w:jc w:val="center"/>
              <w:rPr>
                <w:rFonts w:ascii="宋体" w:hAnsi="宋体" w:cs="宋体"/>
                <w:szCs w:val="21"/>
              </w:rPr>
            </w:pPr>
          </w:p>
        </w:tc>
        <w:tc>
          <w:tcPr>
            <w:tcW w:w="3553" w:type="pct"/>
            <w:vAlign w:val="center"/>
          </w:tcPr>
          <w:p w14:paraId="48D42CBF">
            <w:pPr>
              <w:spacing w:line="360" w:lineRule="auto"/>
              <w:rPr>
                <w:rFonts w:ascii="宋体" w:hAnsi="宋体" w:cs="宋体"/>
                <w:color w:val="333333"/>
                <w:szCs w:val="21"/>
                <w:shd w:val="clear" w:color="auto" w:fill="FFFFFF"/>
              </w:rPr>
            </w:pPr>
            <w:r>
              <w:rPr>
                <w:rFonts w:hint="eastAsia" w:ascii="宋体" w:hAnsi="宋体" w:cs="宋体"/>
                <w:szCs w:val="21"/>
              </w:rPr>
              <w:t>远程查看、远程控制可以根据管理需要和网络状况，选择、配置适合管理员的窗口分辨率、显示比例、色彩、鼠标按键、光标等。</w:t>
            </w:r>
          </w:p>
        </w:tc>
      </w:tr>
      <w:tr w14:paraId="62EA7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23" w:type="pct"/>
            <w:vAlign w:val="center"/>
          </w:tcPr>
          <w:p w14:paraId="3397EEA0">
            <w:pPr>
              <w:pStyle w:val="13"/>
              <w:numPr>
                <w:ilvl w:val="0"/>
                <w:numId w:val="2"/>
              </w:numPr>
              <w:spacing w:line="360" w:lineRule="auto"/>
              <w:ind w:firstLineChars="0"/>
              <w:jc w:val="center"/>
              <w:rPr>
                <w:rFonts w:ascii="宋体" w:hAnsi="宋体" w:eastAsia="宋体" w:cs="宋体"/>
                <w:szCs w:val="21"/>
              </w:rPr>
            </w:pPr>
          </w:p>
        </w:tc>
        <w:tc>
          <w:tcPr>
            <w:tcW w:w="1023" w:type="pct"/>
            <w:vMerge w:val="continue"/>
            <w:vAlign w:val="center"/>
          </w:tcPr>
          <w:p w14:paraId="7A173F98">
            <w:pPr>
              <w:spacing w:line="360" w:lineRule="auto"/>
              <w:jc w:val="center"/>
              <w:rPr>
                <w:rFonts w:ascii="宋体" w:hAnsi="宋体" w:cs="宋体"/>
                <w:szCs w:val="21"/>
              </w:rPr>
            </w:pPr>
          </w:p>
        </w:tc>
        <w:tc>
          <w:tcPr>
            <w:tcW w:w="3553" w:type="pct"/>
            <w:vAlign w:val="center"/>
          </w:tcPr>
          <w:p w14:paraId="0F4484A8">
            <w:pPr>
              <w:spacing w:line="360" w:lineRule="auto"/>
              <w:rPr>
                <w:rFonts w:ascii="宋体" w:hAnsi="宋体" w:cs="宋体"/>
                <w:color w:val="333333"/>
                <w:szCs w:val="21"/>
                <w:shd w:val="clear" w:color="auto" w:fill="FFFFFF"/>
              </w:rPr>
            </w:pPr>
            <w:r>
              <w:rPr>
                <w:rFonts w:hint="eastAsia" w:ascii="宋体" w:hAnsi="宋体" w:cs="宋体"/>
                <w:szCs w:val="21"/>
              </w:rPr>
              <w:t>权限管理员支持限制操作管理员远程控制的权限，是否允许强制查看、控制和文件传输，允许指定必须申请管理的终端列表。</w:t>
            </w:r>
          </w:p>
        </w:tc>
      </w:tr>
      <w:tr w14:paraId="052BA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23" w:type="pct"/>
            <w:vAlign w:val="center"/>
          </w:tcPr>
          <w:p w14:paraId="739671BF">
            <w:pPr>
              <w:pStyle w:val="13"/>
              <w:numPr>
                <w:ilvl w:val="0"/>
                <w:numId w:val="2"/>
              </w:numPr>
              <w:spacing w:line="360" w:lineRule="auto"/>
              <w:ind w:firstLineChars="0"/>
              <w:jc w:val="center"/>
              <w:rPr>
                <w:rFonts w:ascii="宋体" w:hAnsi="宋体" w:eastAsia="宋体" w:cs="宋体"/>
                <w:szCs w:val="21"/>
              </w:rPr>
            </w:pPr>
          </w:p>
        </w:tc>
        <w:tc>
          <w:tcPr>
            <w:tcW w:w="1023" w:type="pct"/>
            <w:vMerge w:val="continue"/>
            <w:vAlign w:val="center"/>
          </w:tcPr>
          <w:p w14:paraId="3E51FD05">
            <w:pPr>
              <w:spacing w:line="360" w:lineRule="auto"/>
              <w:jc w:val="center"/>
              <w:rPr>
                <w:rFonts w:ascii="宋体" w:hAnsi="宋体" w:cs="宋体"/>
                <w:szCs w:val="21"/>
              </w:rPr>
            </w:pPr>
          </w:p>
        </w:tc>
        <w:tc>
          <w:tcPr>
            <w:tcW w:w="3553" w:type="pct"/>
            <w:vAlign w:val="center"/>
          </w:tcPr>
          <w:p w14:paraId="3365C351">
            <w:pPr>
              <w:spacing w:line="360" w:lineRule="auto"/>
              <w:rPr>
                <w:rFonts w:ascii="宋体" w:hAnsi="宋体" w:cs="宋体"/>
                <w:color w:val="333333"/>
                <w:szCs w:val="21"/>
                <w:shd w:val="clear" w:color="auto" w:fill="FFFFFF"/>
              </w:rPr>
            </w:pPr>
            <w:r>
              <w:rPr>
                <w:rFonts w:hint="eastAsia" w:ascii="宋体" w:hAnsi="宋体" w:cs="宋体"/>
                <w:color w:val="333333"/>
                <w:szCs w:val="21"/>
                <w:shd w:val="clear" w:color="auto" w:fill="FFFFFF"/>
              </w:rPr>
              <w:t>支持远程操作审计，可审计远程时间、主控端IP、被控端IP、远程时长、远程管理员等详细信息</w:t>
            </w:r>
          </w:p>
        </w:tc>
      </w:tr>
      <w:tr w14:paraId="3F588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3" w:type="pct"/>
            <w:vAlign w:val="center"/>
          </w:tcPr>
          <w:p w14:paraId="4B32BD91">
            <w:pPr>
              <w:pStyle w:val="13"/>
              <w:numPr>
                <w:ilvl w:val="0"/>
                <w:numId w:val="2"/>
              </w:numPr>
              <w:spacing w:line="360" w:lineRule="auto"/>
              <w:ind w:firstLineChars="0"/>
              <w:jc w:val="center"/>
              <w:rPr>
                <w:rFonts w:ascii="宋体" w:hAnsi="宋体" w:eastAsia="宋体" w:cs="宋体"/>
                <w:szCs w:val="21"/>
              </w:rPr>
            </w:pPr>
          </w:p>
        </w:tc>
        <w:tc>
          <w:tcPr>
            <w:tcW w:w="1023" w:type="pct"/>
            <w:vMerge w:val="restart"/>
            <w:vAlign w:val="center"/>
          </w:tcPr>
          <w:p w14:paraId="662D6518">
            <w:pPr>
              <w:spacing w:line="360" w:lineRule="auto"/>
              <w:jc w:val="center"/>
              <w:rPr>
                <w:rFonts w:ascii="宋体" w:hAnsi="宋体" w:cs="宋体"/>
                <w:szCs w:val="21"/>
              </w:rPr>
            </w:pPr>
            <w:r>
              <w:rPr>
                <w:rFonts w:hint="eastAsia" w:ascii="宋体" w:hAnsi="宋体" w:cs="宋体"/>
                <w:szCs w:val="21"/>
              </w:rPr>
              <w:t>USB接入管理</w:t>
            </w:r>
          </w:p>
        </w:tc>
        <w:tc>
          <w:tcPr>
            <w:tcW w:w="3553" w:type="pct"/>
            <w:vAlign w:val="center"/>
          </w:tcPr>
          <w:p w14:paraId="0617A234">
            <w:pPr>
              <w:spacing w:line="360" w:lineRule="auto"/>
              <w:rPr>
                <w:rFonts w:ascii="宋体" w:hAnsi="宋体" w:cs="宋体"/>
                <w:color w:val="333333"/>
                <w:szCs w:val="21"/>
                <w:shd w:val="clear" w:color="auto" w:fill="FFFFFF"/>
              </w:rPr>
            </w:pPr>
            <w:r>
              <w:rPr>
                <w:rFonts w:hint="eastAsia" w:ascii="宋体" w:hAnsi="宋体" w:cs="宋体"/>
                <w:color w:val="333333"/>
                <w:szCs w:val="21"/>
                <w:shd w:val="clear" w:color="auto" w:fill="FFFFFF"/>
              </w:rPr>
              <w:t>支持usb口禁止接入、仅准许接入非存储介质策略，实现外盘外用；</w:t>
            </w:r>
          </w:p>
        </w:tc>
      </w:tr>
      <w:tr w14:paraId="4A91F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23" w:type="pct"/>
            <w:vAlign w:val="center"/>
          </w:tcPr>
          <w:p w14:paraId="041839D4">
            <w:pPr>
              <w:pStyle w:val="13"/>
              <w:numPr>
                <w:ilvl w:val="0"/>
                <w:numId w:val="2"/>
              </w:numPr>
              <w:spacing w:line="360" w:lineRule="auto"/>
              <w:ind w:firstLineChars="0"/>
              <w:jc w:val="center"/>
              <w:rPr>
                <w:rFonts w:ascii="宋体" w:hAnsi="宋体" w:eastAsia="宋体" w:cs="宋体"/>
                <w:szCs w:val="21"/>
              </w:rPr>
            </w:pPr>
          </w:p>
        </w:tc>
        <w:tc>
          <w:tcPr>
            <w:tcW w:w="1023" w:type="pct"/>
            <w:vMerge w:val="continue"/>
            <w:vAlign w:val="center"/>
          </w:tcPr>
          <w:p w14:paraId="23A8E360">
            <w:pPr>
              <w:spacing w:line="360" w:lineRule="auto"/>
              <w:jc w:val="center"/>
              <w:rPr>
                <w:rFonts w:ascii="宋体" w:hAnsi="宋体" w:cs="宋体"/>
                <w:szCs w:val="21"/>
              </w:rPr>
            </w:pPr>
          </w:p>
        </w:tc>
        <w:tc>
          <w:tcPr>
            <w:tcW w:w="3553" w:type="pct"/>
            <w:vAlign w:val="center"/>
          </w:tcPr>
          <w:p w14:paraId="56726C23">
            <w:pPr>
              <w:spacing w:line="360" w:lineRule="auto"/>
              <w:rPr>
                <w:rFonts w:ascii="宋体" w:hAnsi="宋体" w:cs="宋体"/>
                <w:color w:val="333333"/>
                <w:szCs w:val="21"/>
                <w:shd w:val="clear" w:color="auto" w:fill="FFFFFF"/>
              </w:rPr>
            </w:pPr>
            <w:r>
              <w:rPr>
                <w:rFonts w:hint="eastAsia" w:ascii="宋体" w:hAnsi="宋体" w:cs="宋体"/>
                <w:color w:val="333333"/>
                <w:szCs w:val="21"/>
                <w:shd w:val="clear" w:color="auto" w:fill="FFFFFF"/>
              </w:rPr>
              <w:t>支持存储介质使用在线审批，终端用户在线发起申请，管理员在线审批、下发策略。策略包括但不限于强制分区、加密、读写权限限制、禁止可执行文件自运行；实现内部U盘只能在院内使用</w:t>
            </w:r>
          </w:p>
        </w:tc>
      </w:tr>
      <w:tr w14:paraId="45C68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23" w:type="pct"/>
            <w:vAlign w:val="center"/>
          </w:tcPr>
          <w:p w14:paraId="1C82FD3A">
            <w:pPr>
              <w:pStyle w:val="13"/>
              <w:numPr>
                <w:ilvl w:val="0"/>
                <w:numId w:val="2"/>
              </w:numPr>
              <w:spacing w:line="360" w:lineRule="auto"/>
              <w:ind w:firstLineChars="0"/>
              <w:jc w:val="center"/>
              <w:rPr>
                <w:rFonts w:ascii="宋体" w:hAnsi="宋体" w:eastAsia="宋体" w:cs="宋体"/>
                <w:szCs w:val="21"/>
              </w:rPr>
            </w:pPr>
          </w:p>
        </w:tc>
        <w:tc>
          <w:tcPr>
            <w:tcW w:w="1023" w:type="pct"/>
            <w:vMerge w:val="continue"/>
            <w:vAlign w:val="center"/>
          </w:tcPr>
          <w:p w14:paraId="4352E9D7">
            <w:pPr>
              <w:spacing w:line="360" w:lineRule="auto"/>
              <w:jc w:val="center"/>
              <w:rPr>
                <w:rFonts w:ascii="宋体" w:hAnsi="宋体" w:cs="宋体"/>
                <w:szCs w:val="21"/>
              </w:rPr>
            </w:pPr>
          </w:p>
        </w:tc>
        <w:tc>
          <w:tcPr>
            <w:tcW w:w="3553" w:type="pct"/>
            <w:vAlign w:val="center"/>
          </w:tcPr>
          <w:p w14:paraId="7B1BACBC">
            <w:pPr>
              <w:spacing w:line="360" w:lineRule="auto"/>
              <w:rPr>
                <w:rFonts w:ascii="宋体" w:hAnsi="宋体" w:cs="宋体"/>
                <w:color w:val="333333"/>
                <w:szCs w:val="21"/>
                <w:shd w:val="clear" w:color="auto" w:fill="FFFFFF"/>
              </w:rPr>
            </w:pPr>
            <w:r>
              <w:rPr>
                <w:rFonts w:hint="eastAsia" w:ascii="宋体" w:hAnsi="宋体" w:cs="宋体"/>
                <w:color w:val="333333"/>
                <w:szCs w:val="21"/>
                <w:shd w:val="clear" w:color="auto" w:fill="FFFFFF"/>
              </w:rPr>
              <w:t>支持指定USB使用范围，实现专盘专用；（</w:t>
            </w:r>
            <w:r>
              <w:rPr>
                <w:rFonts w:hint="eastAsia"/>
                <w:szCs w:val="21"/>
              </w:rPr>
              <w:t>提供产品功能截图并加盖原厂商公章）</w:t>
            </w:r>
          </w:p>
        </w:tc>
      </w:tr>
      <w:tr w14:paraId="5948F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23" w:type="pct"/>
            <w:vAlign w:val="center"/>
          </w:tcPr>
          <w:p w14:paraId="0D8AB1D5">
            <w:pPr>
              <w:pStyle w:val="13"/>
              <w:numPr>
                <w:ilvl w:val="0"/>
                <w:numId w:val="2"/>
              </w:numPr>
              <w:spacing w:line="360" w:lineRule="auto"/>
              <w:ind w:firstLineChars="0"/>
              <w:jc w:val="center"/>
              <w:rPr>
                <w:rFonts w:ascii="宋体" w:hAnsi="宋体" w:eastAsia="宋体" w:cs="宋体"/>
                <w:szCs w:val="21"/>
              </w:rPr>
            </w:pPr>
          </w:p>
        </w:tc>
        <w:tc>
          <w:tcPr>
            <w:tcW w:w="1023" w:type="pct"/>
            <w:vMerge w:val="continue"/>
            <w:vAlign w:val="center"/>
          </w:tcPr>
          <w:p w14:paraId="1FB02BAE">
            <w:pPr>
              <w:spacing w:line="360" w:lineRule="auto"/>
              <w:jc w:val="center"/>
              <w:rPr>
                <w:rFonts w:ascii="宋体" w:hAnsi="宋体" w:cs="宋体"/>
                <w:szCs w:val="21"/>
              </w:rPr>
            </w:pPr>
          </w:p>
        </w:tc>
        <w:tc>
          <w:tcPr>
            <w:tcW w:w="3553" w:type="pct"/>
            <w:vAlign w:val="center"/>
          </w:tcPr>
          <w:p w14:paraId="76AC7DD5">
            <w:pPr>
              <w:spacing w:line="360" w:lineRule="auto"/>
              <w:rPr>
                <w:rFonts w:ascii="宋体" w:hAnsi="宋体" w:cs="宋体"/>
                <w:color w:val="333333"/>
                <w:szCs w:val="21"/>
                <w:shd w:val="clear" w:color="auto" w:fill="FFFFFF"/>
              </w:rPr>
            </w:pPr>
            <w:r>
              <w:rPr>
                <w:rFonts w:hint="eastAsia" w:ascii="宋体" w:hAnsi="宋体" w:cs="宋体"/>
                <w:color w:val="333333"/>
                <w:szCs w:val="21"/>
                <w:shd w:val="clear" w:color="auto" w:fill="FFFFFF"/>
              </w:rPr>
              <w:t>支持对移动存储设备的读、写操作进行审计，包括文件创建、复制、删除、修改、改名等操作。移动存储介质的插入和拔出动作的详细记录，包括事件类型，移动存储介质的名称、用户、计算机IP地址和事件时间。</w:t>
            </w:r>
          </w:p>
        </w:tc>
      </w:tr>
      <w:tr w14:paraId="3A463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23" w:type="pct"/>
            <w:vMerge w:val="restart"/>
            <w:vAlign w:val="center"/>
          </w:tcPr>
          <w:p w14:paraId="53EFB2E6">
            <w:pPr>
              <w:pStyle w:val="13"/>
              <w:numPr>
                <w:ilvl w:val="0"/>
                <w:numId w:val="2"/>
              </w:numPr>
              <w:spacing w:line="360" w:lineRule="auto"/>
              <w:ind w:firstLineChars="0"/>
              <w:jc w:val="center"/>
              <w:rPr>
                <w:rFonts w:ascii="宋体" w:hAnsi="宋体" w:eastAsia="宋体" w:cs="宋体"/>
                <w:szCs w:val="21"/>
              </w:rPr>
            </w:pPr>
          </w:p>
        </w:tc>
        <w:tc>
          <w:tcPr>
            <w:tcW w:w="1023" w:type="pct"/>
            <w:vMerge w:val="restart"/>
            <w:vAlign w:val="center"/>
          </w:tcPr>
          <w:p w14:paraId="02EEC4FF">
            <w:pPr>
              <w:spacing w:line="360" w:lineRule="auto"/>
              <w:jc w:val="center"/>
              <w:rPr>
                <w:rFonts w:ascii="宋体" w:hAnsi="宋体" w:cs="宋体"/>
                <w:szCs w:val="21"/>
              </w:rPr>
            </w:pPr>
            <w:r>
              <w:rPr>
                <w:rFonts w:hint="eastAsia" w:ascii="宋体" w:hAnsi="宋体" w:cs="宋体"/>
                <w:szCs w:val="21"/>
              </w:rPr>
              <w:t>网卡绑定配置</w:t>
            </w:r>
          </w:p>
        </w:tc>
        <w:tc>
          <w:tcPr>
            <w:tcW w:w="3553" w:type="pct"/>
            <w:vAlign w:val="center"/>
          </w:tcPr>
          <w:p w14:paraId="08EF38E4">
            <w:pPr>
              <w:spacing w:line="360" w:lineRule="auto"/>
              <w:rPr>
                <w:rFonts w:ascii="宋体" w:hAnsi="宋体" w:cs="宋体"/>
                <w:color w:val="333333"/>
                <w:szCs w:val="21"/>
                <w:shd w:val="clear" w:color="auto" w:fill="FFFFFF"/>
              </w:rPr>
            </w:pPr>
            <w:r>
              <w:rPr>
                <w:rFonts w:hint="eastAsia" w:ascii="宋体" w:hAnsi="宋体" w:cs="宋体"/>
                <w:color w:val="333333"/>
                <w:szCs w:val="21"/>
                <w:shd w:val="clear" w:color="auto" w:fill="FFFFFF"/>
              </w:rPr>
              <w:t>能够实时监测终端IP地址、MAC地址、DNS配置等相关网络信息，支持对应信息的实时绑定，当IP或MAC发生改变时能够强制恢复至修改前。</w:t>
            </w:r>
          </w:p>
        </w:tc>
      </w:tr>
      <w:tr w14:paraId="6E390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23" w:type="pct"/>
            <w:vMerge w:val="continue"/>
            <w:vAlign w:val="center"/>
          </w:tcPr>
          <w:p w14:paraId="3B868804">
            <w:pPr>
              <w:pStyle w:val="13"/>
              <w:numPr>
                <w:ilvl w:val="0"/>
                <w:numId w:val="2"/>
              </w:numPr>
              <w:spacing w:line="360" w:lineRule="auto"/>
              <w:ind w:firstLineChars="0"/>
              <w:jc w:val="center"/>
              <w:rPr>
                <w:rFonts w:ascii="宋体" w:hAnsi="宋体" w:eastAsia="宋体" w:cs="宋体"/>
                <w:szCs w:val="21"/>
              </w:rPr>
            </w:pPr>
          </w:p>
        </w:tc>
        <w:tc>
          <w:tcPr>
            <w:tcW w:w="1023" w:type="pct"/>
            <w:vMerge w:val="continue"/>
            <w:vAlign w:val="center"/>
          </w:tcPr>
          <w:p w14:paraId="2D2C3521">
            <w:pPr>
              <w:spacing w:line="360" w:lineRule="auto"/>
              <w:jc w:val="center"/>
              <w:rPr>
                <w:rFonts w:ascii="宋体" w:hAnsi="宋体" w:cs="宋体"/>
                <w:szCs w:val="21"/>
              </w:rPr>
            </w:pPr>
          </w:p>
        </w:tc>
        <w:tc>
          <w:tcPr>
            <w:tcW w:w="3553" w:type="pct"/>
            <w:vAlign w:val="center"/>
          </w:tcPr>
          <w:p w14:paraId="5C0E735A">
            <w:pPr>
              <w:spacing w:line="360" w:lineRule="auto"/>
              <w:rPr>
                <w:rFonts w:ascii="宋体" w:hAnsi="宋体" w:cs="宋体"/>
                <w:color w:val="333333"/>
                <w:szCs w:val="21"/>
                <w:shd w:val="clear" w:color="auto" w:fill="FFFFFF"/>
              </w:rPr>
            </w:pPr>
            <w:r>
              <w:rPr>
                <w:rFonts w:hint="eastAsia" w:ascii="宋体" w:hAnsi="宋体" w:cs="宋体"/>
                <w:color w:val="333333"/>
                <w:szCs w:val="21"/>
                <w:shd w:val="clear" w:color="auto" w:fill="FFFFFF"/>
              </w:rPr>
              <w:t>管理员可以授权部分用户修改IP地址</w:t>
            </w:r>
          </w:p>
        </w:tc>
      </w:tr>
      <w:tr w14:paraId="68BB8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23" w:type="pct"/>
            <w:vAlign w:val="center"/>
          </w:tcPr>
          <w:p w14:paraId="040F273E">
            <w:pPr>
              <w:pStyle w:val="13"/>
              <w:numPr>
                <w:ilvl w:val="0"/>
                <w:numId w:val="2"/>
              </w:numPr>
              <w:spacing w:line="360" w:lineRule="auto"/>
              <w:ind w:firstLineChars="0"/>
              <w:jc w:val="center"/>
              <w:rPr>
                <w:rFonts w:ascii="宋体" w:hAnsi="宋体" w:eastAsia="宋体" w:cs="宋体"/>
                <w:szCs w:val="21"/>
              </w:rPr>
            </w:pPr>
          </w:p>
        </w:tc>
        <w:tc>
          <w:tcPr>
            <w:tcW w:w="1023" w:type="pct"/>
            <w:vAlign w:val="center"/>
          </w:tcPr>
          <w:p w14:paraId="5557783A">
            <w:pPr>
              <w:spacing w:line="360" w:lineRule="auto"/>
              <w:jc w:val="center"/>
              <w:rPr>
                <w:rFonts w:ascii="宋体" w:hAnsi="宋体" w:cs="宋体"/>
                <w:szCs w:val="21"/>
              </w:rPr>
            </w:pPr>
            <w:r>
              <w:rPr>
                <w:rFonts w:hint="eastAsia" w:ascii="宋体" w:hAnsi="宋体" w:cs="宋体"/>
                <w:szCs w:val="21"/>
              </w:rPr>
              <w:t>行为控制</w:t>
            </w:r>
          </w:p>
        </w:tc>
        <w:tc>
          <w:tcPr>
            <w:tcW w:w="3553" w:type="pct"/>
            <w:vAlign w:val="center"/>
          </w:tcPr>
          <w:p w14:paraId="62B95E9D">
            <w:pPr>
              <w:spacing w:line="360" w:lineRule="auto"/>
              <w:rPr>
                <w:rFonts w:ascii="宋体" w:hAnsi="宋体" w:cs="宋体"/>
                <w:color w:val="333333"/>
                <w:szCs w:val="21"/>
                <w:shd w:val="clear" w:color="auto" w:fill="FFFFFF"/>
              </w:rPr>
            </w:pPr>
            <w:r>
              <w:rPr>
                <w:rFonts w:hint="eastAsia" w:ascii="宋体" w:hAnsi="宋体" w:cs="宋体"/>
                <w:color w:val="333333"/>
                <w:szCs w:val="21"/>
                <w:shd w:val="clear" w:color="auto" w:fill="FFFFFF"/>
              </w:rPr>
              <w:t>支持对终端防火墙、外设、网站访问 、组策略、打印、文件访问等进行控制</w:t>
            </w:r>
          </w:p>
        </w:tc>
      </w:tr>
      <w:tr w14:paraId="4FA66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23" w:type="pct"/>
            <w:vAlign w:val="center"/>
          </w:tcPr>
          <w:p w14:paraId="24C41FC2">
            <w:pPr>
              <w:pStyle w:val="13"/>
              <w:numPr>
                <w:ilvl w:val="0"/>
                <w:numId w:val="2"/>
              </w:numPr>
              <w:spacing w:line="360" w:lineRule="auto"/>
              <w:ind w:firstLineChars="0"/>
              <w:jc w:val="center"/>
              <w:rPr>
                <w:rFonts w:ascii="宋体" w:hAnsi="宋体" w:eastAsia="宋体" w:cs="宋体"/>
                <w:szCs w:val="21"/>
              </w:rPr>
            </w:pPr>
          </w:p>
        </w:tc>
        <w:tc>
          <w:tcPr>
            <w:tcW w:w="1023" w:type="pct"/>
            <w:vAlign w:val="center"/>
          </w:tcPr>
          <w:p w14:paraId="3C534D46">
            <w:pPr>
              <w:spacing w:line="360" w:lineRule="auto"/>
              <w:jc w:val="center"/>
              <w:rPr>
                <w:rFonts w:ascii="宋体" w:hAnsi="宋体" w:cs="宋体"/>
                <w:szCs w:val="21"/>
              </w:rPr>
            </w:pPr>
            <w:r>
              <w:rPr>
                <w:rFonts w:hint="eastAsia" w:ascii="宋体" w:hAnsi="宋体" w:cs="宋体"/>
                <w:szCs w:val="21"/>
              </w:rPr>
              <w:t>资产管理</w:t>
            </w:r>
          </w:p>
        </w:tc>
        <w:tc>
          <w:tcPr>
            <w:tcW w:w="3553" w:type="pct"/>
            <w:vAlign w:val="center"/>
          </w:tcPr>
          <w:p w14:paraId="6DC330C1">
            <w:pPr>
              <w:spacing w:line="360" w:lineRule="auto"/>
              <w:rPr>
                <w:rFonts w:ascii="宋体" w:hAnsi="宋体" w:cs="宋体"/>
                <w:color w:val="333333"/>
                <w:szCs w:val="21"/>
                <w:shd w:val="clear" w:color="auto" w:fill="FFFFFF"/>
              </w:rPr>
            </w:pPr>
            <w:r>
              <w:rPr>
                <w:rFonts w:hint="eastAsia" w:ascii="宋体" w:hAnsi="宋体" w:cs="宋体"/>
                <w:color w:val="333333"/>
                <w:szCs w:val="21"/>
                <w:shd w:val="clear" w:color="auto" w:fill="FFFFFF"/>
              </w:rPr>
              <w:t>支持软硬件资产管理，可对软硬件资产变动提供报警</w:t>
            </w:r>
          </w:p>
        </w:tc>
      </w:tr>
      <w:tr w14:paraId="096F6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23" w:type="pct"/>
            <w:vAlign w:val="center"/>
          </w:tcPr>
          <w:p w14:paraId="7F68C919">
            <w:pPr>
              <w:pStyle w:val="13"/>
              <w:numPr>
                <w:ilvl w:val="0"/>
                <w:numId w:val="2"/>
              </w:numPr>
              <w:spacing w:line="360" w:lineRule="auto"/>
              <w:ind w:firstLineChars="0"/>
              <w:jc w:val="center"/>
              <w:rPr>
                <w:rFonts w:ascii="宋体" w:hAnsi="宋体" w:eastAsia="宋体" w:cs="宋体"/>
                <w:szCs w:val="21"/>
              </w:rPr>
            </w:pPr>
          </w:p>
        </w:tc>
        <w:tc>
          <w:tcPr>
            <w:tcW w:w="1023" w:type="pct"/>
            <w:vAlign w:val="center"/>
          </w:tcPr>
          <w:p w14:paraId="69541E62">
            <w:pPr>
              <w:spacing w:line="360" w:lineRule="auto"/>
              <w:jc w:val="center"/>
              <w:rPr>
                <w:rFonts w:ascii="宋体" w:hAnsi="宋体" w:cs="宋体"/>
                <w:szCs w:val="21"/>
              </w:rPr>
            </w:pPr>
            <w:r>
              <w:rPr>
                <w:rFonts w:hint="eastAsia" w:ascii="宋体" w:hAnsi="宋体" w:cs="宋体"/>
                <w:color w:val="333333"/>
                <w:szCs w:val="21"/>
                <w:shd w:val="clear" w:color="auto" w:fill="FFFFFF"/>
              </w:rPr>
              <w:t>终端外设管控</w:t>
            </w:r>
          </w:p>
        </w:tc>
        <w:tc>
          <w:tcPr>
            <w:tcW w:w="3553" w:type="pct"/>
            <w:vAlign w:val="center"/>
          </w:tcPr>
          <w:p w14:paraId="3ADA8E92">
            <w:pPr>
              <w:spacing w:line="360" w:lineRule="auto"/>
              <w:rPr>
                <w:rFonts w:ascii="宋体" w:hAnsi="宋体" w:cs="宋体"/>
                <w:color w:val="333333"/>
                <w:szCs w:val="21"/>
                <w:shd w:val="clear" w:color="auto" w:fill="FFFFFF"/>
              </w:rPr>
            </w:pPr>
            <w:r>
              <w:rPr>
                <w:rFonts w:hint="eastAsia" w:ascii="宋体" w:hAnsi="宋体" w:cs="宋体"/>
                <w:szCs w:val="21"/>
              </w:rPr>
              <w:t>支持对终端上正在使用的外设设备进行识别和报表展示，包括不限于名称、型号、插入时间、插入终端信息等，并支持对该外设进行一键禁用</w:t>
            </w:r>
          </w:p>
        </w:tc>
      </w:tr>
      <w:tr w14:paraId="07D2B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23" w:type="pct"/>
            <w:vAlign w:val="center"/>
          </w:tcPr>
          <w:p w14:paraId="6E830E76">
            <w:pPr>
              <w:pStyle w:val="13"/>
              <w:numPr>
                <w:ilvl w:val="0"/>
                <w:numId w:val="2"/>
              </w:numPr>
              <w:spacing w:line="360" w:lineRule="auto"/>
              <w:ind w:firstLineChars="0"/>
              <w:jc w:val="center"/>
              <w:rPr>
                <w:rFonts w:ascii="宋体" w:hAnsi="宋体" w:eastAsia="宋体" w:cs="宋体"/>
                <w:szCs w:val="21"/>
              </w:rPr>
            </w:pPr>
          </w:p>
        </w:tc>
        <w:tc>
          <w:tcPr>
            <w:tcW w:w="1023" w:type="pct"/>
            <w:vAlign w:val="center"/>
          </w:tcPr>
          <w:p w14:paraId="71C9DCDF">
            <w:pPr>
              <w:spacing w:line="360" w:lineRule="auto"/>
              <w:jc w:val="center"/>
              <w:rPr>
                <w:rFonts w:ascii="宋体" w:hAnsi="宋体" w:cs="宋体"/>
                <w:szCs w:val="21"/>
              </w:rPr>
            </w:pPr>
            <w:r>
              <w:rPr>
                <w:rFonts w:hint="eastAsia" w:ascii="宋体" w:hAnsi="宋体" w:cs="宋体"/>
                <w:szCs w:val="21"/>
              </w:rPr>
              <w:t>策略应用</w:t>
            </w:r>
          </w:p>
        </w:tc>
        <w:tc>
          <w:tcPr>
            <w:tcW w:w="3553" w:type="pct"/>
            <w:vAlign w:val="center"/>
          </w:tcPr>
          <w:p w14:paraId="35C927F8">
            <w:pPr>
              <w:spacing w:line="360" w:lineRule="auto"/>
              <w:rPr>
                <w:rFonts w:ascii="宋体" w:hAnsi="宋体" w:cs="宋体"/>
                <w:color w:val="333333"/>
                <w:szCs w:val="21"/>
                <w:shd w:val="clear" w:color="auto" w:fill="FFFFFF"/>
              </w:rPr>
            </w:pPr>
            <w:r>
              <w:rPr>
                <w:rFonts w:hint="eastAsia" w:ascii="宋体" w:hAnsi="宋体" w:cs="宋体"/>
                <w:color w:val="333333"/>
                <w:szCs w:val="21"/>
                <w:shd w:val="clear" w:color="auto" w:fill="FFFFFF"/>
              </w:rPr>
              <w:t>违规预警、安全审计、安全基线、usb接入管理、行为控制、资产管理等均支持灵活的策略应用，包括但不限于根据角色、部门、指定终端、用户、ip段、等应用。</w:t>
            </w:r>
          </w:p>
        </w:tc>
      </w:tr>
      <w:tr w14:paraId="02CFA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23" w:type="pct"/>
            <w:vAlign w:val="center"/>
          </w:tcPr>
          <w:p w14:paraId="356630E4">
            <w:pPr>
              <w:pStyle w:val="13"/>
              <w:numPr>
                <w:ilvl w:val="0"/>
                <w:numId w:val="2"/>
              </w:numPr>
              <w:spacing w:line="360" w:lineRule="auto"/>
              <w:ind w:firstLineChars="0"/>
              <w:jc w:val="center"/>
              <w:rPr>
                <w:rFonts w:ascii="宋体" w:hAnsi="宋体" w:eastAsia="宋体" w:cs="宋体"/>
                <w:szCs w:val="21"/>
              </w:rPr>
            </w:pPr>
          </w:p>
        </w:tc>
        <w:tc>
          <w:tcPr>
            <w:tcW w:w="1023" w:type="pct"/>
            <w:vAlign w:val="center"/>
          </w:tcPr>
          <w:p w14:paraId="4241990A">
            <w:pPr>
              <w:spacing w:line="360" w:lineRule="auto"/>
              <w:jc w:val="center"/>
              <w:rPr>
                <w:rFonts w:ascii="宋体" w:hAnsi="宋体" w:cs="宋体"/>
                <w:szCs w:val="21"/>
              </w:rPr>
            </w:pPr>
            <w:r>
              <w:rPr>
                <w:rFonts w:hint="eastAsia" w:ascii="宋体" w:hAnsi="宋体" w:cs="宋体"/>
                <w:szCs w:val="21"/>
              </w:rPr>
              <w:t>终端智能分组</w:t>
            </w:r>
          </w:p>
        </w:tc>
        <w:tc>
          <w:tcPr>
            <w:tcW w:w="3553" w:type="pct"/>
            <w:vAlign w:val="center"/>
          </w:tcPr>
          <w:p w14:paraId="71BC7D3F">
            <w:pPr>
              <w:spacing w:line="360" w:lineRule="auto"/>
              <w:rPr>
                <w:rFonts w:ascii="宋体" w:hAnsi="宋体" w:cs="宋体"/>
                <w:color w:val="333333"/>
                <w:szCs w:val="21"/>
                <w:shd w:val="clear" w:color="auto" w:fill="FFFFFF"/>
              </w:rPr>
            </w:pPr>
            <w:r>
              <w:rPr>
                <w:rFonts w:hint="eastAsia" w:ascii="宋体" w:hAnsi="宋体" w:cs="Segoe UI Symbol"/>
                <w:color w:val="333333"/>
                <w:szCs w:val="21"/>
                <w:shd w:val="clear" w:color="auto" w:fill="FFFFFF"/>
              </w:rPr>
              <w:t>支持基于终端行为对终端进行智能分组，实现基于终端业务属性进行分类，比如医护电脑、自助机、移动查房车、云桌面主机、老旧电脑、低配电脑等。</w:t>
            </w:r>
            <w:r>
              <w:rPr>
                <w:rFonts w:hint="eastAsia" w:ascii="宋体" w:hAnsi="宋体" w:cs="宋体"/>
                <w:color w:val="333333"/>
                <w:szCs w:val="21"/>
                <w:shd w:val="clear" w:color="auto" w:fill="FFFFFF"/>
              </w:rPr>
              <w:t>（</w:t>
            </w:r>
            <w:r>
              <w:rPr>
                <w:rFonts w:hint="eastAsia"/>
                <w:szCs w:val="21"/>
              </w:rPr>
              <w:t>提供产品功能截图并加盖原厂商公章）</w:t>
            </w:r>
          </w:p>
        </w:tc>
      </w:tr>
      <w:tr w14:paraId="55498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23" w:type="pct"/>
            <w:vAlign w:val="center"/>
          </w:tcPr>
          <w:p w14:paraId="5519D7B2">
            <w:pPr>
              <w:pStyle w:val="13"/>
              <w:numPr>
                <w:ilvl w:val="0"/>
                <w:numId w:val="2"/>
              </w:numPr>
              <w:spacing w:line="360" w:lineRule="auto"/>
              <w:ind w:firstLineChars="0"/>
              <w:jc w:val="center"/>
              <w:rPr>
                <w:rFonts w:ascii="宋体" w:hAnsi="宋体" w:eastAsia="宋体" w:cs="宋体"/>
                <w:szCs w:val="21"/>
              </w:rPr>
            </w:pPr>
          </w:p>
        </w:tc>
        <w:tc>
          <w:tcPr>
            <w:tcW w:w="1023" w:type="pct"/>
            <w:vMerge w:val="restart"/>
            <w:vAlign w:val="center"/>
          </w:tcPr>
          <w:p w14:paraId="03B80BA2">
            <w:pPr>
              <w:spacing w:line="360" w:lineRule="auto"/>
              <w:jc w:val="center"/>
              <w:rPr>
                <w:rFonts w:ascii="宋体" w:hAnsi="宋体" w:cs="宋体"/>
                <w:szCs w:val="21"/>
              </w:rPr>
            </w:pPr>
            <w:r>
              <w:rPr>
                <w:rFonts w:hint="eastAsia" w:ascii="宋体" w:hAnsi="宋体" w:cs="宋体"/>
                <w:szCs w:val="21"/>
              </w:rPr>
              <w:t>软件分发</w:t>
            </w:r>
          </w:p>
        </w:tc>
        <w:tc>
          <w:tcPr>
            <w:tcW w:w="3553" w:type="pct"/>
            <w:vAlign w:val="center"/>
          </w:tcPr>
          <w:p w14:paraId="35FC7959">
            <w:pPr>
              <w:spacing w:line="360" w:lineRule="auto"/>
              <w:rPr>
                <w:rFonts w:ascii="宋体" w:hAnsi="宋体" w:cs="宋体"/>
                <w:szCs w:val="21"/>
              </w:rPr>
            </w:pPr>
            <w:r>
              <w:rPr>
                <w:rFonts w:hint="eastAsia" w:ascii="宋体" w:hAnsi="宋体" w:cs="宋体"/>
                <w:szCs w:val="21"/>
              </w:rPr>
              <w:t>能够支持可执行程序、MSI安装包或者文档数据文件自动下发与安装</w:t>
            </w:r>
          </w:p>
        </w:tc>
      </w:tr>
      <w:tr w14:paraId="6F86F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23" w:type="pct"/>
            <w:vAlign w:val="center"/>
          </w:tcPr>
          <w:p w14:paraId="253444EB">
            <w:pPr>
              <w:pStyle w:val="13"/>
              <w:numPr>
                <w:ilvl w:val="0"/>
                <w:numId w:val="2"/>
              </w:numPr>
              <w:spacing w:line="360" w:lineRule="auto"/>
              <w:ind w:firstLineChars="0"/>
              <w:jc w:val="center"/>
              <w:rPr>
                <w:rFonts w:ascii="宋体" w:hAnsi="宋体" w:eastAsia="宋体" w:cs="宋体"/>
                <w:szCs w:val="21"/>
              </w:rPr>
            </w:pPr>
          </w:p>
        </w:tc>
        <w:tc>
          <w:tcPr>
            <w:tcW w:w="1023" w:type="pct"/>
            <w:vMerge w:val="continue"/>
            <w:vAlign w:val="center"/>
          </w:tcPr>
          <w:p w14:paraId="243093AE">
            <w:pPr>
              <w:spacing w:line="360" w:lineRule="auto"/>
              <w:jc w:val="center"/>
              <w:rPr>
                <w:rFonts w:ascii="宋体" w:hAnsi="宋体" w:cs="宋体"/>
                <w:szCs w:val="21"/>
              </w:rPr>
            </w:pPr>
          </w:p>
        </w:tc>
        <w:tc>
          <w:tcPr>
            <w:tcW w:w="3553" w:type="pct"/>
            <w:vAlign w:val="center"/>
          </w:tcPr>
          <w:p w14:paraId="2A563F2E">
            <w:pPr>
              <w:spacing w:line="360" w:lineRule="auto"/>
              <w:rPr>
                <w:rFonts w:ascii="宋体" w:hAnsi="宋体" w:cs="宋体"/>
                <w:szCs w:val="21"/>
              </w:rPr>
            </w:pPr>
            <w:r>
              <w:rPr>
                <w:rFonts w:hint="eastAsia" w:ascii="宋体" w:hAnsi="宋体" w:cs="宋体"/>
                <w:szCs w:val="21"/>
              </w:rPr>
              <w:t>能够自动统计分发成功率及软件安装成功率，支持进程、注册表、安装路径等多种参数判断方式</w:t>
            </w:r>
          </w:p>
        </w:tc>
      </w:tr>
      <w:tr w14:paraId="37C8D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23" w:type="pct"/>
            <w:vAlign w:val="center"/>
          </w:tcPr>
          <w:p w14:paraId="130AD8F0">
            <w:pPr>
              <w:pStyle w:val="13"/>
              <w:numPr>
                <w:ilvl w:val="0"/>
                <w:numId w:val="2"/>
              </w:numPr>
              <w:spacing w:line="360" w:lineRule="auto"/>
              <w:ind w:firstLineChars="0"/>
              <w:jc w:val="center"/>
              <w:rPr>
                <w:rFonts w:ascii="宋体" w:hAnsi="宋体" w:eastAsia="宋体" w:cs="宋体"/>
                <w:szCs w:val="21"/>
              </w:rPr>
            </w:pPr>
          </w:p>
        </w:tc>
        <w:tc>
          <w:tcPr>
            <w:tcW w:w="1023" w:type="pct"/>
            <w:vMerge w:val="continue"/>
            <w:vAlign w:val="center"/>
          </w:tcPr>
          <w:p w14:paraId="4526C2E9">
            <w:pPr>
              <w:spacing w:line="360" w:lineRule="auto"/>
              <w:jc w:val="center"/>
              <w:rPr>
                <w:rFonts w:ascii="宋体" w:hAnsi="宋体" w:cs="宋体"/>
                <w:szCs w:val="21"/>
              </w:rPr>
            </w:pPr>
          </w:p>
        </w:tc>
        <w:tc>
          <w:tcPr>
            <w:tcW w:w="3553" w:type="pct"/>
            <w:vAlign w:val="center"/>
          </w:tcPr>
          <w:p w14:paraId="5F82170F">
            <w:pPr>
              <w:spacing w:line="360" w:lineRule="auto"/>
              <w:rPr>
                <w:rFonts w:ascii="宋体" w:hAnsi="宋体" w:cs="宋体"/>
                <w:szCs w:val="21"/>
              </w:rPr>
            </w:pPr>
            <w:r>
              <w:rPr>
                <w:rFonts w:hint="eastAsia" w:ascii="宋体" w:hAnsi="宋体" w:cs="宋体"/>
                <w:szCs w:val="21"/>
              </w:rPr>
              <w:t>支持根据操作系统不同分发不同升级包，提高软件分发功能对操作系统系统的适应性</w:t>
            </w:r>
          </w:p>
        </w:tc>
      </w:tr>
      <w:tr w14:paraId="60B4E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23" w:type="pct"/>
            <w:vAlign w:val="center"/>
          </w:tcPr>
          <w:p w14:paraId="754E8414">
            <w:pPr>
              <w:pStyle w:val="13"/>
              <w:numPr>
                <w:ilvl w:val="0"/>
                <w:numId w:val="2"/>
              </w:numPr>
              <w:spacing w:line="360" w:lineRule="auto"/>
              <w:ind w:firstLineChars="0"/>
              <w:jc w:val="center"/>
              <w:rPr>
                <w:rFonts w:ascii="宋体" w:hAnsi="宋体" w:eastAsia="宋体" w:cs="宋体"/>
                <w:szCs w:val="21"/>
              </w:rPr>
            </w:pPr>
          </w:p>
        </w:tc>
        <w:tc>
          <w:tcPr>
            <w:tcW w:w="1023" w:type="pct"/>
            <w:vMerge w:val="restart"/>
            <w:vAlign w:val="center"/>
          </w:tcPr>
          <w:p w14:paraId="4707E379">
            <w:pPr>
              <w:spacing w:line="360" w:lineRule="auto"/>
              <w:jc w:val="center"/>
              <w:rPr>
                <w:rFonts w:ascii="宋体" w:hAnsi="宋体" w:cs="宋体"/>
                <w:szCs w:val="21"/>
              </w:rPr>
            </w:pPr>
            <w:r>
              <w:rPr>
                <w:rFonts w:hint="eastAsia" w:ascii="宋体" w:hAnsi="宋体" w:cs="宋体"/>
                <w:szCs w:val="21"/>
              </w:rPr>
              <w:t>客户端</w:t>
            </w:r>
          </w:p>
        </w:tc>
        <w:tc>
          <w:tcPr>
            <w:tcW w:w="3553" w:type="pct"/>
            <w:vAlign w:val="center"/>
          </w:tcPr>
          <w:p w14:paraId="519F3836">
            <w:pPr>
              <w:spacing w:line="360" w:lineRule="auto"/>
              <w:rPr>
                <w:rFonts w:ascii="宋体" w:hAnsi="宋体" w:cs="宋体"/>
                <w:color w:val="333333"/>
                <w:szCs w:val="21"/>
                <w:shd w:val="clear" w:color="auto" w:fill="FFFFFF"/>
              </w:rPr>
            </w:pPr>
            <w:r>
              <w:rPr>
                <w:rFonts w:hint="eastAsia" w:ascii="宋体" w:hAnsi="宋体" w:cs="宋体"/>
                <w:szCs w:val="21"/>
              </w:rPr>
              <w:t>客户端支持自定义，包括但不限于是否显示客户端图标、自定义客户端名称、客户端安装包名称是否加密、是否启用万能卸载码等</w:t>
            </w:r>
          </w:p>
        </w:tc>
      </w:tr>
      <w:tr w14:paraId="4A669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23" w:type="pct"/>
            <w:vAlign w:val="center"/>
          </w:tcPr>
          <w:p w14:paraId="64DEC829">
            <w:pPr>
              <w:pStyle w:val="13"/>
              <w:numPr>
                <w:ilvl w:val="0"/>
                <w:numId w:val="2"/>
              </w:numPr>
              <w:spacing w:line="360" w:lineRule="auto"/>
              <w:ind w:firstLineChars="0"/>
              <w:jc w:val="center"/>
              <w:rPr>
                <w:rFonts w:ascii="宋体" w:hAnsi="宋体" w:eastAsia="宋体" w:cs="宋体"/>
                <w:szCs w:val="21"/>
              </w:rPr>
            </w:pPr>
          </w:p>
        </w:tc>
        <w:tc>
          <w:tcPr>
            <w:tcW w:w="1023" w:type="pct"/>
            <w:vMerge w:val="continue"/>
            <w:vAlign w:val="center"/>
          </w:tcPr>
          <w:p w14:paraId="4924E59E">
            <w:pPr>
              <w:spacing w:line="360" w:lineRule="auto"/>
              <w:jc w:val="center"/>
              <w:rPr>
                <w:rFonts w:ascii="宋体" w:hAnsi="宋体" w:cs="宋体"/>
                <w:szCs w:val="21"/>
              </w:rPr>
            </w:pPr>
          </w:p>
        </w:tc>
        <w:tc>
          <w:tcPr>
            <w:tcW w:w="3553" w:type="pct"/>
            <w:vAlign w:val="center"/>
          </w:tcPr>
          <w:p w14:paraId="3777233E">
            <w:pPr>
              <w:spacing w:line="360" w:lineRule="auto"/>
              <w:rPr>
                <w:rFonts w:ascii="宋体" w:hAnsi="宋体" w:cs="宋体"/>
                <w:color w:val="333333"/>
                <w:szCs w:val="21"/>
                <w:shd w:val="clear" w:color="auto" w:fill="FFFFFF"/>
              </w:rPr>
            </w:pPr>
            <w:r>
              <w:rPr>
                <w:rFonts w:hint="eastAsia" w:ascii="宋体" w:hAnsi="宋体" w:cs="宋体"/>
                <w:szCs w:val="21"/>
              </w:rPr>
              <w:t>客户端版本支持逐步升级，管理员可自定义全部、部分网段更新或禁止指定网段更新的策略；支持与网内入网管理系统客户端进行客户端融合，实现客户端快速部署；</w:t>
            </w:r>
            <w:r>
              <w:rPr>
                <w:rFonts w:hint="eastAsia" w:ascii="宋体" w:hAnsi="宋体" w:cs="宋体"/>
                <w:color w:val="333333"/>
                <w:szCs w:val="21"/>
                <w:shd w:val="clear" w:color="auto" w:fill="FFFFFF"/>
              </w:rPr>
              <w:t>（</w:t>
            </w:r>
            <w:r>
              <w:rPr>
                <w:rFonts w:hint="eastAsia"/>
                <w:szCs w:val="21"/>
              </w:rPr>
              <w:t>提供产品功能截图并加盖原厂商公章）</w:t>
            </w:r>
          </w:p>
        </w:tc>
      </w:tr>
    </w:tbl>
    <w:p w14:paraId="6440A2A9">
      <w:pPr>
        <w:numPr>
          <w:ilvl w:val="0"/>
          <w:numId w:val="0"/>
        </w:numPr>
        <w:spacing w:line="360" w:lineRule="auto"/>
        <w:ind w:left="0" w:leftChars="0" w:firstLine="0" w:firstLineChars="0"/>
        <w:jc w:val="both"/>
        <w:rPr>
          <w:rFonts w:hint="eastAsia" w:ascii="宋体" w:hAnsi="宋体" w:cs="宋体"/>
          <w:b/>
          <w:bCs/>
          <w:sz w:val="36"/>
          <w:szCs w:val="36"/>
          <w:lang w:val="en-US" w:eastAsia="zh-CN"/>
        </w:rPr>
      </w:pPr>
      <w:r>
        <w:rPr>
          <w:rFonts w:hint="eastAsia" w:ascii="宋体" w:hAnsi="宋体" w:eastAsia="宋体" w:cs="宋体"/>
          <w:b/>
          <w:bCs/>
          <w:kern w:val="2"/>
          <w:sz w:val="36"/>
          <w:szCs w:val="36"/>
          <w:lang w:val="en-US" w:eastAsia="zh-CN" w:bidi="ar-SA"/>
        </w:rPr>
        <w:t>2、</w:t>
      </w:r>
      <w:r>
        <w:rPr>
          <w:rFonts w:hint="eastAsia" w:ascii="宋体" w:hAnsi="宋体" w:cs="宋体"/>
          <w:b/>
          <w:bCs/>
          <w:sz w:val="36"/>
          <w:szCs w:val="36"/>
          <w:lang w:val="en-US" w:eastAsia="zh-CN"/>
        </w:rPr>
        <w:t>商务参数</w:t>
      </w:r>
    </w:p>
    <w:p w14:paraId="0514C6B2">
      <w:pPr>
        <w:pStyle w:val="2"/>
        <w:numPr>
          <w:ilvl w:val="0"/>
          <w:numId w:val="0"/>
        </w:numPr>
        <w:ind w:leftChars="0" w:firstLine="480" w:firstLineChars="200"/>
        <w:rPr>
          <w:rFonts w:hint="eastAsia"/>
          <w:highlight w:val="none"/>
          <w:lang w:val="en-US" w:eastAsia="zh-CN"/>
        </w:rPr>
      </w:pPr>
      <w:r>
        <w:rPr>
          <w:rFonts w:hint="eastAsia" w:ascii="仿宋_GB2312" w:eastAsia="仿宋_GB2312" w:cs="仿宋_GB2312"/>
          <w:bCs/>
          <w:color w:val="000000" w:themeColor="text1"/>
          <w:kern w:val="0"/>
          <w:sz w:val="24"/>
          <w:szCs w:val="24"/>
          <w:highlight w:val="none"/>
          <w:u w:val="none"/>
          <w:lang w:val="en-US" w:eastAsia="zh-CN" w:bidi="ar-SA"/>
          <w14:textFill>
            <w14:solidFill>
              <w14:schemeClr w14:val="tx1"/>
            </w14:solidFill>
          </w14:textFill>
        </w:rPr>
        <w:t>2</w:t>
      </w:r>
      <w:r>
        <w:rPr>
          <w:rFonts w:hint="eastAsia" w:ascii="仿宋_GB2312" w:hAnsi="Times New Roman" w:eastAsia="仿宋_GB2312" w:cs="仿宋_GB2312"/>
          <w:bCs/>
          <w:color w:val="000000" w:themeColor="text1"/>
          <w:kern w:val="0"/>
          <w:sz w:val="24"/>
          <w:szCs w:val="24"/>
          <w:highlight w:val="none"/>
          <w:u w:val="none"/>
          <w:lang w:val="en-US" w:eastAsia="zh-CN" w:bidi="ar-SA"/>
          <w14:textFill>
            <w14:solidFill>
              <w14:schemeClr w14:val="tx1"/>
            </w14:solidFill>
          </w14:textFill>
        </w:rPr>
        <w:t>.1“提供产品功能截图并加盖原厂商公章”的参数为本次项目所涉及采购系统平台的关键参数，</w:t>
      </w:r>
      <w:r>
        <w:rPr>
          <w:rFonts w:hint="eastAsia" w:ascii="仿宋_GB2312" w:eastAsia="仿宋_GB2312" w:cs="仿宋_GB2312"/>
          <w:bCs/>
          <w:color w:val="000000" w:themeColor="text1"/>
          <w:kern w:val="0"/>
          <w:sz w:val="24"/>
          <w:szCs w:val="24"/>
          <w:highlight w:val="none"/>
          <w:u w:val="none"/>
          <w:lang w:val="en-US" w:eastAsia="zh-CN" w:bidi="ar-SA"/>
          <w14:textFill>
            <w14:solidFill>
              <w14:schemeClr w14:val="tx1"/>
            </w14:solidFill>
          </w14:textFill>
        </w:rPr>
        <w:t>中标后三日内对</w:t>
      </w:r>
      <w:r>
        <w:rPr>
          <w:rFonts w:hint="eastAsia" w:ascii="仿宋_GB2312" w:hAnsi="Times New Roman" w:eastAsia="仿宋_GB2312" w:cs="仿宋_GB2312"/>
          <w:bCs/>
          <w:color w:val="000000" w:themeColor="text1"/>
          <w:kern w:val="0"/>
          <w:sz w:val="24"/>
          <w:szCs w:val="24"/>
          <w:highlight w:val="none"/>
          <w:u w:val="none"/>
          <w:lang w:val="en-US" w:eastAsia="zh-CN" w:bidi="ar-SA"/>
          <w14:textFill>
            <w14:solidFill>
              <w14:schemeClr w14:val="tx1"/>
            </w14:solidFill>
          </w14:textFill>
        </w:rPr>
        <w:t>参数进行测试验证，恶意应答将被拒绝</w:t>
      </w:r>
      <w:r>
        <w:rPr>
          <w:rFonts w:hint="eastAsia" w:ascii="仿宋_GB2312" w:eastAsia="仿宋_GB2312" w:cs="仿宋_GB2312"/>
          <w:bCs/>
          <w:color w:val="000000" w:themeColor="text1"/>
          <w:kern w:val="0"/>
          <w:sz w:val="24"/>
          <w:szCs w:val="24"/>
          <w:highlight w:val="none"/>
          <w:u w:val="none"/>
          <w:lang w:val="en-US" w:eastAsia="zh-CN" w:bidi="ar-SA"/>
          <w14:textFill>
            <w14:solidFill>
              <w14:schemeClr w14:val="tx1"/>
            </w14:solidFill>
          </w14:textFill>
        </w:rPr>
        <w:t>，</w:t>
      </w:r>
      <w:r>
        <w:rPr>
          <w:rFonts w:hint="eastAsia" w:ascii="仿宋_GB2312" w:hAnsi="Times New Roman" w:eastAsia="仿宋_GB2312" w:cs="仿宋_GB2312"/>
          <w:bCs/>
          <w:color w:val="000000" w:themeColor="text1"/>
          <w:kern w:val="0"/>
          <w:sz w:val="24"/>
          <w:szCs w:val="24"/>
          <w:highlight w:val="none"/>
          <w:u w:val="none"/>
          <w:lang w:val="en-US" w:eastAsia="zh-CN" w:bidi="ar-SA"/>
          <w14:textFill>
            <w14:solidFill>
              <w14:schemeClr w14:val="tx1"/>
            </w14:solidFill>
          </w14:textFill>
        </w:rPr>
        <w:t>同时投标人将被拉进医院供应商黑名单</w:t>
      </w:r>
      <w:r>
        <w:rPr>
          <w:rFonts w:hint="eastAsia" w:ascii="仿宋_GB2312" w:eastAsia="仿宋_GB2312" w:cs="仿宋_GB2312"/>
          <w:bCs/>
          <w:color w:val="000000" w:themeColor="text1"/>
          <w:kern w:val="0"/>
          <w:sz w:val="24"/>
          <w:szCs w:val="24"/>
          <w:highlight w:val="none"/>
          <w:u w:val="none"/>
          <w:lang w:val="en-US" w:eastAsia="zh-CN" w:bidi="ar-SA"/>
          <w14:textFill>
            <w14:solidFill>
              <w14:schemeClr w14:val="tx1"/>
            </w14:solidFill>
          </w14:textFill>
        </w:rPr>
        <w:t>，三年内不得参与医院招投标项目</w:t>
      </w:r>
      <w:r>
        <w:rPr>
          <w:rFonts w:hint="eastAsia" w:ascii="仿宋_GB2312" w:hAnsi="Times New Roman" w:eastAsia="仿宋_GB2312" w:cs="仿宋_GB2312"/>
          <w:bCs/>
          <w:color w:val="000000" w:themeColor="text1"/>
          <w:kern w:val="0"/>
          <w:sz w:val="24"/>
          <w:szCs w:val="24"/>
          <w:highlight w:val="none"/>
          <w:u w:val="none"/>
          <w:lang w:val="en-US" w:eastAsia="zh-CN" w:bidi="ar-SA"/>
          <w14:textFill>
            <w14:solidFill>
              <w14:schemeClr w14:val="tx1"/>
            </w14:solidFill>
          </w14:textFill>
        </w:rPr>
        <w:t>；</w:t>
      </w:r>
    </w:p>
    <w:p w14:paraId="65F4D06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eastAsia="仿宋_GB2312" w:cs="仿宋_GB2312"/>
          <w:bCs/>
          <w:color w:val="000000" w:themeColor="text1"/>
          <w:kern w:val="0"/>
          <w:sz w:val="24"/>
          <w:szCs w:val="24"/>
          <w:u w:val="none"/>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u w:val="none"/>
          <w:lang w:val="en-US" w:eastAsia="zh-CN" w:bidi="ar-SA"/>
          <w14:textFill>
            <w14:solidFill>
              <w14:schemeClr w14:val="tx1"/>
            </w14:solidFill>
          </w14:textFill>
        </w:rPr>
        <w:t>2.2本合同硬件质保期为叁年</w:t>
      </w:r>
      <w:r>
        <w:rPr>
          <w:rFonts w:hint="eastAsia" w:ascii="仿宋_GB2312" w:eastAsia="仿宋_GB2312" w:cs="仿宋_GB2312"/>
          <w:bCs/>
          <w:color w:val="000000" w:themeColor="text1"/>
          <w:kern w:val="0"/>
          <w:sz w:val="24"/>
          <w:szCs w:val="24"/>
          <w:highlight w:val="none"/>
          <w:u w:val="none"/>
          <w:lang w:val="en-US" w:eastAsia="zh-CN" w:bidi="ar-SA"/>
          <w14:textFill>
            <w14:solidFill>
              <w14:schemeClr w14:val="tx1"/>
            </w14:solidFill>
          </w14:textFill>
        </w:rPr>
        <w:t>，需提供原厂售后服务函</w:t>
      </w:r>
      <w:r>
        <w:rPr>
          <w:rFonts w:hint="eastAsia" w:ascii="仿宋_GB2312" w:eastAsia="仿宋_GB2312" w:cs="仿宋_GB2312"/>
          <w:bCs/>
          <w:color w:val="000000" w:themeColor="text1"/>
          <w:kern w:val="0"/>
          <w:sz w:val="24"/>
          <w:szCs w:val="24"/>
          <w:u w:val="none"/>
          <w:lang w:val="en-US" w:eastAsia="zh-CN" w:bidi="ar-SA"/>
          <w14:textFill>
            <w14:solidFill>
              <w14:schemeClr w14:val="tx1"/>
            </w14:solidFill>
          </w14:textFill>
        </w:rPr>
        <w:t>，自甲方在总体验收报告单上签字确认合格之日起算。乙方在质保期内免费提供硬件维修、更换、保养、咨询等服务。如硬件在质保期内出现质量问题，乙方应在接到甲方通知（包括电话通知）后24小时内赶到现场，到场后4小时内完成维修或更换，相关费用由乙方承担。如乙方不及时履行保修义务，甲方有权委托第三方进行维修，由此产生的相关费用，在支付价款中予以扣除或要求乙方支付对应货物价款。</w:t>
      </w:r>
    </w:p>
    <w:p w14:paraId="5C34843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eastAsia="仿宋_GB2312" w:cs="仿宋_GB2312"/>
          <w:bCs/>
          <w:color w:val="000000" w:themeColor="text1"/>
          <w:kern w:val="0"/>
          <w:sz w:val="24"/>
          <w:szCs w:val="24"/>
          <w:u w:val="none"/>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u w:val="none"/>
          <w:lang w:val="en-US" w:eastAsia="zh-CN" w:bidi="ar-SA"/>
          <w14:textFill>
            <w14:solidFill>
              <w14:schemeClr w14:val="tx1"/>
            </w14:solidFill>
          </w14:textFill>
        </w:rPr>
        <w:t>2.3 本合同软件系统维保服务期限为叁年，自甲方总体验收合格之日起算。</w:t>
      </w:r>
    </w:p>
    <w:p w14:paraId="4F3F7179">
      <w:pPr>
        <w:pStyle w:val="2"/>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u w:val="none"/>
          <w:lang w:val="en-US" w:eastAsia="zh-CN" w:bidi="ar-SA"/>
          <w14:textFill>
            <w14:solidFill>
              <w14:schemeClr w14:val="tx1"/>
            </w14:solidFill>
          </w14:textFill>
        </w:rPr>
        <w:t>服务方式：</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乙方</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为</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甲方提供</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本合同约定平台</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技术服务，及软件咨询、培训、升级、维护、改造等技术服务</w:t>
      </w:r>
    </w:p>
    <w:p w14:paraId="7179BA38">
      <w:pPr>
        <w:pStyle w:val="2"/>
        <w:rPr>
          <w:rFonts w:hint="eastAsia" w:ascii="仿宋_GB2312" w:eastAsia="仿宋_GB2312" w:cs="仿宋_GB2312"/>
          <w:b w:val="0"/>
          <w:bCs/>
          <w:color w:val="000000" w:themeColor="text1"/>
          <w:kern w:val="0"/>
          <w:sz w:val="24"/>
          <w:szCs w:val="24"/>
          <w:u w:val="none"/>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2</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4验</w:t>
      </w:r>
      <w:r>
        <w:rPr>
          <w:rFonts w:hint="eastAsia" w:ascii="仿宋_GB2312" w:eastAsia="仿宋_GB2312" w:cs="仿宋_GB2312"/>
          <w:b w:val="0"/>
          <w:bCs/>
          <w:color w:val="000000" w:themeColor="text1"/>
          <w:kern w:val="0"/>
          <w:sz w:val="24"/>
          <w:szCs w:val="24"/>
          <w:u w:val="none"/>
          <w:lang w:val="en-US" w:eastAsia="zh-CN" w:bidi="ar-SA"/>
          <w14:textFill>
            <w14:solidFill>
              <w14:schemeClr w14:val="tx1"/>
            </w14:solidFill>
          </w14:textFill>
        </w:rPr>
        <w:t>收标准：乙方提供软件及硬件的质量、安装应符合或优于国家标准；如乙方响应文件中的技术参数和质量标准高于国家标准，则软件及硬件的技术参数和质量标准以乙方响应文件为准，在本项目正式验收环节，投标人所提供的全部硬件设施，其出厂日期须满足 “距本项目验收日期不少于 180 天” 的要求；若任一硬件出厂日期超出此期限，视为不符合验收标准。</w:t>
      </w:r>
    </w:p>
    <w:p w14:paraId="6B1EE63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 w:val="0"/>
          <w:bCs/>
          <w:color w:val="000000" w:themeColor="text1"/>
          <w:kern w:val="0"/>
          <w:sz w:val="24"/>
          <w:szCs w:val="24"/>
          <w:u w:val="none"/>
          <w:lang w:val="en-US" w:eastAsia="zh-CN" w:bidi="ar-SA"/>
          <w14:textFill>
            <w14:solidFill>
              <w14:schemeClr w14:val="tx1"/>
            </w14:solidFill>
          </w14:textFill>
        </w:rPr>
        <w:t>2.5</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自项目验收通过之日起30日内，向乙方支付价款总额</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9</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0%）；项目验收通过之日起满</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3</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年后的30日内，向乙方</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免息</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 xml:space="preserve">支付价款剩余10%。 </w:t>
      </w:r>
    </w:p>
    <w:p w14:paraId="01EAEFA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三、标书要求</w:t>
      </w:r>
    </w:p>
    <w:p w14:paraId="49AD9F9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1、封面：需注明标的名称、投标文件、单位、时间；</w:t>
      </w:r>
    </w:p>
    <w:p w14:paraId="4010668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2、“三证合一”或“五证合一”营业执照、组织机构代码证复印件、税务登记证复印件、法人授权委托文书、委托人身份证原件及复印件、投标单位依法缴纳税收和社保的证明材料（复印件）等相关资质证明（所有证件需加盖竞标单位公章）；</w:t>
      </w:r>
    </w:p>
    <w:p w14:paraId="32DC3CA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3、投标人身份证复印件；</w:t>
      </w:r>
    </w:p>
    <w:p w14:paraId="4611378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48A658C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5、履行本项目所必需的资质证明；</w:t>
      </w:r>
    </w:p>
    <w:p w14:paraId="0E78A99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6、投标文件的每一页都必须加盖投标单位的公章；</w:t>
      </w:r>
    </w:p>
    <w:p w14:paraId="76A70B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7、投标人认为需提供的其他和评审有关的资料；</w:t>
      </w:r>
    </w:p>
    <w:p w14:paraId="23E9678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8、所有资料均应编入投标文件，胶装并用纸质文件袋封好（一正一副）及必须提供与纸质投标文件一致的电子版本（PDF版），标书必须“A4规格纸张胶制（非打孔或夹装）装订成册，并编制总目录”,要求密封，否则视为符合性审查不合格，作无效投标处理，在开标现场验证时打开，采用现场开标的方式。</w:t>
      </w:r>
    </w:p>
    <w:p w14:paraId="505B011A">
      <w:pPr>
        <w:spacing w:line="360" w:lineRule="auto"/>
        <w:ind w:firstLine="480" w:firstLineChars="200"/>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四、合同</w:t>
      </w:r>
    </w:p>
    <w:p w14:paraId="18A99E26">
      <w:pPr>
        <w:keepNext w:val="0"/>
        <w:keepLines w:val="0"/>
        <w:pageBreakBefore w:val="0"/>
        <w:widowControl w:val="0"/>
        <w:kinsoku/>
        <w:wordWrap/>
        <w:overflowPunct/>
        <w:topLinePunct w:val="0"/>
        <w:autoSpaceDE/>
        <w:autoSpaceDN/>
        <w:bidi w:val="0"/>
        <w:adjustRightInd/>
        <w:snapToGrid/>
        <w:spacing w:line="360" w:lineRule="auto"/>
        <w:ind w:left="0" w:leftChars="0" w:firstLine="6240" w:firstLineChars="2600"/>
        <w:textAlignment w:val="auto"/>
        <w:rPr>
          <w:rFonts w:hint="default" w:ascii="仿宋_GB2312" w:hAnsi="Times New Roman" w:eastAsia="仿宋_GB2312" w:cs="仿宋_GB2312"/>
          <w:bCs/>
          <w:color w:val="000000" w:themeColor="text1"/>
          <w:kern w:val="0"/>
          <w:sz w:val="28"/>
          <w:szCs w:val="28"/>
          <w:lang w:val="en-US" w:eastAsia="zh-CN" w:bidi="ar-SA"/>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sz w:val="24"/>
        </w:rPr>
        <w:t xml:space="preserve">    </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合同编号：</w:t>
      </w:r>
    </w:p>
    <w:p w14:paraId="5E76E577">
      <w:pPr>
        <w:spacing w:line="360" w:lineRule="auto"/>
        <w:jc w:val="center"/>
        <w:rPr>
          <w:rFonts w:hint="eastAsia" w:ascii="仿宋_GB2312" w:eastAsia="仿宋_GB2312" w:cs="仿宋_GB2312"/>
          <w:bCs/>
          <w:color w:val="0000FF"/>
          <w:kern w:val="0"/>
          <w:sz w:val="32"/>
          <w:szCs w:val="32"/>
          <w:lang w:val="en-US" w:eastAsia="zh-CN" w:bidi="ar-SA"/>
        </w:rPr>
      </w:pPr>
      <w:r>
        <w:rPr>
          <w:rFonts w:hint="eastAsia" w:ascii="仿宋_GB2312" w:eastAsia="仿宋_GB2312" w:cs="仿宋_GB2312"/>
          <w:b/>
          <w:bCs w:val="0"/>
          <w:color w:val="000000" w:themeColor="text1"/>
          <w:kern w:val="0"/>
          <w:sz w:val="32"/>
          <w:szCs w:val="32"/>
          <w:lang w:val="en-US" w:eastAsia="zh-CN" w:bidi="ar-SA"/>
          <w14:textFill>
            <w14:solidFill>
              <w14:schemeClr w14:val="tx1"/>
            </w14:solidFill>
          </w14:textFill>
        </w:rPr>
        <w:t>娄底市中心医院多维终端安全管理平台（第二次）采购合同</w:t>
      </w:r>
    </w:p>
    <w:p w14:paraId="1DD82697">
      <w:pPr>
        <w:pStyle w:val="2"/>
        <w:rPr>
          <w:rFonts w:hint="default"/>
          <w:lang w:val="en-US" w:eastAsia="zh-CN"/>
        </w:rPr>
      </w:pPr>
    </w:p>
    <w:p w14:paraId="6A8E2A7F">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
          <w:bCs w:val="0"/>
          <w:color w:val="000000" w:themeColor="text1"/>
          <w:kern w:val="0"/>
          <w:sz w:val="24"/>
          <w:szCs w:val="24"/>
          <w:lang w:val="en-US" w:eastAsia="zh-CN" w:bidi="ar-SA"/>
          <w14:textFill>
            <w14:solidFill>
              <w14:schemeClr w14:val="tx1"/>
            </w14:solidFill>
          </w14:textFill>
        </w:rPr>
        <w:t>甲</w:t>
      </w:r>
      <w:r>
        <w:rPr>
          <w:rFonts w:hint="eastAsia" w:ascii="仿宋_GB2312" w:hAnsi="Times New Roman" w:eastAsia="仿宋_GB2312" w:cs="仿宋_GB2312"/>
          <w:b/>
          <w:bCs w:val="0"/>
          <w:color w:val="000000" w:themeColor="text1"/>
          <w:kern w:val="0"/>
          <w:sz w:val="24"/>
          <w:szCs w:val="24"/>
          <w:lang w:val="en-US" w:eastAsia="zh-CN" w:bidi="ar-SA"/>
          <w14:textFill>
            <w14:solidFill>
              <w14:schemeClr w14:val="tx1"/>
            </w14:solidFill>
          </w14:textFill>
        </w:rPr>
        <w:t>方：</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娄底市中心医院</w:t>
      </w:r>
    </w:p>
    <w:p w14:paraId="2CF1394A">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法定代表人：</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杨吉军</w:t>
      </w:r>
    </w:p>
    <w:p w14:paraId="0510EC2A">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统一社会信用代码：12431300447162073W</w:t>
      </w:r>
    </w:p>
    <w:p w14:paraId="1ED40346">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地    址：湖南省娄底市娄星区长青中街51号</w:t>
      </w:r>
    </w:p>
    <w:p w14:paraId="02FF36E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p>
    <w:p w14:paraId="0EF90ED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
          <w:bCs w:val="0"/>
          <w:color w:val="000000" w:themeColor="text1"/>
          <w:kern w:val="0"/>
          <w:sz w:val="24"/>
          <w:szCs w:val="24"/>
          <w:lang w:val="en-US" w:eastAsia="zh-CN" w:bidi="ar-SA"/>
          <w14:textFill>
            <w14:solidFill>
              <w14:schemeClr w14:val="tx1"/>
            </w14:solidFill>
          </w14:textFill>
        </w:rPr>
        <w:t>乙</w:t>
      </w:r>
      <w:r>
        <w:rPr>
          <w:rFonts w:hint="eastAsia" w:ascii="仿宋_GB2312" w:hAnsi="Times New Roman" w:eastAsia="仿宋_GB2312" w:cs="仿宋_GB2312"/>
          <w:b/>
          <w:bCs w:val="0"/>
          <w:color w:val="000000" w:themeColor="text1"/>
          <w:kern w:val="0"/>
          <w:sz w:val="24"/>
          <w:szCs w:val="24"/>
          <w:lang w:val="en-US" w:eastAsia="zh-CN" w:bidi="ar-SA"/>
          <w14:textFill>
            <w14:solidFill>
              <w14:schemeClr w14:val="tx1"/>
            </w14:solidFill>
          </w14:textFill>
        </w:rPr>
        <w:t>方：</w:t>
      </w:r>
    </w:p>
    <w:p w14:paraId="1B11A7B7">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法定代表人：</w:t>
      </w:r>
    </w:p>
    <w:p w14:paraId="5B769FF7">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统一社会信用代码：</w:t>
      </w:r>
    </w:p>
    <w:p w14:paraId="12E6E10D">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地    址</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w:t>
      </w:r>
    </w:p>
    <w:p w14:paraId="7BC2E36D">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p>
    <w:p w14:paraId="415D9BC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甲方通过</w:t>
      </w:r>
      <w:r>
        <w:rPr>
          <w:rFonts w:hint="eastAsia" w:ascii="仿宋_GB2312" w:eastAsia="仿宋_GB2312" w:cs="仿宋_GB2312"/>
          <w:bCs/>
          <w:color w:val="000000" w:themeColor="text1"/>
          <w:kern w:val="0"/>
          <w:sz w:val="24"/>
          <w:szCs w:val="24"/>
          <w:u w:val="single"/>
          <w:lang w:val="en-US" w:eastAsia="zh-CN" w:bidi="ar-SA"/>
          <w14:textFill>
            <w14:solidFill>
              <w14:schemeClr w14:val="tx1"/>
            </w14:solidFill>
          </w14:textFill>
        </w:rPr>
        <w:t>医院公开挂网</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采购</w:t>
      </w:r>
      <w:r>
        <w:rPr>
          <w:rFonts w:hint="eastAsia" w:ascii="仿宋_GB2312" w:eastAsia="仿宋_GB2312" w:cs="仿宋_GB2312"/>
          <w:bCs/>
          <w:color w:val="000000" w:themeColor="text1"/>
          <w:kern w:val="0"/>
          <w:sz w:val="24"/>
          <w:szCs w:val="24"/>
          <w:u w:val="single"/>
          <w:lang w:val="en-US" w:eastAsia="zh-CN" w:bidi="ar-SA"/>
          <w14:textFill>
            <w14:solidFill>
              <w14:schemeClr w14:val="tx1"/>
            </w14:solidFill>
          </w14:textFill>
        </w:rPr>
        <w:t>多维终端安全管理平台（第二次）</w:t>
      </w:r>
      <w:r>
        <w:rPr>
          <w:rFonts w:hint="eastAsia" w:ascii="仿宋_GB2312" w:eastAsia="仿宋_GB2312" w:cs="仿宋_GB2312"/>
          <w:bCs/>
          <w:color w:val="000000" w:themeColor="text1"/>
          <w:kern w:val="0"/>
          <w:sz w:val="24"/>
          <w:szCs w:val="24"/>
          <w:u w:val="none"/>
          <w:lang w:val="en-US" w:eastAsia="zh-CN" w:bidi="ar-SA"/>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仿宋_GB2312" w:eastAsia="仿宋_GB2312" w:cs="仿宋_GB2312"/>
          <w:bCs/>
          <w:color w:val="000000" w:themeColor="text1"/>
          <w:kern w:val="0"/>
          <w:sz w:val="24"/>
          <w:szCs w:val="24"/>
          <w:u w:val="single"/>
          <w:lang w:val="en-US" w:eastAsia="zh-CN" w:bidi="ar-SA"/>
          <w14:textFill>
            <w14:solidFill>
              <w14:schemeClr w14:val="tx1"/>
            </w14:solidFill>
          </w14:textFill>
        </w:rPr>
        <w:t>多维终端安全管理平台（第二次）</w:t>
      </w:r>
      <w:r>
        <w:rPr>
          <w:rFonts w:hint="eastAsia" w:ascii="仿宋_GB2312" w:eastAsia="仿宋_GB2312" w:cs="仿宋_GB2312"/>
          <w:bCs/>
          <w:color w:val="000000" w:themeColor="text1"/>
          <w:kern w:val="0"/>
          <w:sz w:val="24"/>
          <w:szCs w:val="24"/>
          <w:u w:val="none"/>
          <w:lang w:val="en-US" w:eastAsia="zh-CN" w:bidi="ar-SA"/>
          <w14:textFill>
            <w14:solidFill>
              <w14:schemeClr w14:val="tx1"/>
            </w14:solidFill>
          </w14:textFill>
        </w:rPr>
        <w:t>相关事宜平等、自愿、公平、诚信协商，达成一致，特订立本合同，以资共同遵守。</w:t>
      </w:r>
    </w:p>
    <w:p w14:paraId="0C3F9F3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textAlignment w:val="auto"/>
        <w:rPr>
          <w:rFonts w:hint="eastAsia" w:ascii="仿宋_GB2312" w:hAnsi="Times New Roman" w:eastAsia="仿宋_GB2312" w:cs="仿宋_GB2312"/>
          <w:b/>
          <w:bCs w:val="0"/>
          <w:color w:val="000000" w:themeColor="text1"/>
          <w:kern w:val="0"/>
          <w:sz w:val="24"/>
          <w:szCs w:val="24"/>
          <w:lang w:val="en-US" w:eastAsia="zh-CN" w:bidi="ar-SA"/>
          <w14:textFill>
            <w14:solidFill>
              <w14:schemeClr w14:val="tx1"/>
            </w14:solidFill>
          </w14:textFill>
        </w:rPr>
      </w:pPr>
      <w:bookmarkStart w:id="1" w:name="_Hlk39763631"/>
      <w:r>
        <w:rPr>
          <w:rFonts w:hint="eastAsia" w:ascii="仿宋_GB2312" w:hAnsi="Times New Roman" w:eastAsia="仿宋_GB2312" w:cs="仿宋_GB2312"/>
          <w:b/>
          <w:bCs w:val="0"/>
          <w:color w:val="000000" w:themeColor="text1"/>
          <w:kern w:val="0"/>
          <w:sz w:val="24"/>
          <w:szCs w:val="24"/>
          <w:lang w:val="en-US" w:eastAsia="zh-CN" w:bidi="ar-SA"/>
          <w14:textFill>
            <w14:solidFill>
              <w14:schemeClr w14:val="tx1"/>
            </w14:solidFill>
          </w14:textFill>
        </w:rPr>
        <w:t>第一条</w:t>
      </w:r>
      <w:r>
        <w:rPr>
          <w:rFonts w:hint="eastAsia" w:ascii="仿宋_GB2312" w:eastAsia="仿宋_GB2312" w:cs="仿宋_GB2312"/>
          <w:b/>
          <w:bCs w:val="0"/>
          <w:color w:val="000000" w:themeColor="text1"/>
          <w:kern w:val="0"/>
          <w:sz w:val="24"/>
          <w:szCs w:val="24"/>
          <w:lang w:val="en-US" w:eastAsia="zh-CN" w:bidi="ar-SA"/>
          <w14:textFill>
            <w14:solidFill>
              <w14:schemeClr w14:val="tx1"/>
            </w14:solidFill>
          </w14:textFill>
        </w:rPr>
        <w:t xml:space="preserve"> 采购</w:t>
      </w:r>
      <w:r>
        <w:rPr>
          <w:rFonts w:hint="eastAsia" w:ascii="仿宋_GB2312" w:hAnsi="Times New Roman" w:eastAsia="仿宋_GB2312" w:cs="仿宋_GB2312"/>
          <w:b/>
          <w:bCs w:val="0"/>
          <w:color w:val="000000" w:themeColor="text1"/>
          <w:kern w:val="0"/>
          <w:sz w:val="24"/>
          <w:szCs w:val="24"/>
          <w:lang w:val="en-US" w:eastAsia="zh-CN" w:bidi="ar-SA"/>
          <w14:textFill>
            <w14:solidFill>
              <w14:schemeClr w14:val="tx1"/>
            </w14:solidFill>
          </w14:textFill>
        </w:rPr>
        <w:t>内容</w:t>
      </w:r>
      <w:bookmarkEnd w:id="1"/>
    </w:p>
    <w:p w14:paraId="79DE3228">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default" w:ascii="仿宋_GB2312" w:eastAsia="仿宋_GB2312" w:cs="仿宋_GB2312"/>
          <w:bCs/>
          <w:color w:val="000000" w:themeColor="text1"/>
          <w:kern w:val="0"/>
          <w:sz w:val="24"/>
          <w:szCs w:val="24"/>
          <w:lang w:val="en-US" w:eastAsia="zh-CN" w:bidi="ar-SA"/>
          <w14:textFill>
            <w14:solidFill>
              <w14:schemeClr w14:val="tx1"/>
            </w14:solidFill>
          </w14:textFill>
        </w:rPr>
      </w:pPr>
      <w:r>
        <w:rPr>
          <w:rFonts w:hint="default" w:ascii="仿宋_GB2312" w:hAnsi="Times New Roman" w:eastAsia="仿宋_GB2312" w:cs="仿宋_GB2312"/>
          <w:bCs/>
          <w:color w:val="000000" w:themeColor="text1"/>
          <w:kern w:val="0"/>
          <w:sz w:val="24"/>
          <w:szCs w:val="24"/>
          <w:lang w:val="en-US" w:eastAsia="zh-CN" w:bidi="ar-SA"/>
          <w14:textFill>
            <w14:solidFill>
              <w14:schemeClr w14:val="tx1"/>
            </w14:solidFill>
          </w14:textFill>
        </w:rPr>
        <w:t>1.1</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 xml:space="preserve"> 乙方为甲方提供多维终端安全管理平台（第二次）（包含硬件和软件，具体技术参数详见附件一），</w:t>
      </w:r>
      <w:r>
        <w:rPr>
          <w:rFonts w:hint="eastAsia" w:ascii="仿宋_GB2312" w:eastAsia="仿宋_GB2312" w:cs="仿宋_GB2312"/>
          <w:bCs/>
          <w:color w:val="000000" w:themeColor="text1"/>
          <w:kern w:val="0"/>
          <w:sz w:val="24"/>
          <w:szCs w:val="24"/>
          <w:u w:val="none"/>
          <w:lang w:val="en-US" w:eastAsia="zh-CN" w:bidi="ar-SA"/>
          <w14:textFill>
            <w14:solidFill>
              <w14:schemeClr w14:val="tx1"/>
            </w14:solidFill>
          </w14:textFill>
        </w:rPr>
        <w:t>完成该平台软件的安装、调试和硬件的交付，并确保软件及硬件经甲方验收合格且能正常使用</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w:t>
      </w:r>
    </w:p>
    <w:p w14:paraId="222D2F7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eastAsia="仿宋_GB2312" w:cs="仿宋_GB2312"/>
          <w:bCs/>
          <w:color w:val="000000" w:themeColor="text1"/>
          <w:kern w:val="0"/>
          <w:sz w:val="24"/>
          <w:szCs w:val="24"/>
          <w:u w:val="none"/>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1.2 自本合同约定平台通过甲方验收之日起甲方拥有该</w:t>
      </w:r>
      <w:r>
        <w:rPr>
          <w:rFonts w:hint="eastAsia" w:ascii="仿宋_GB2312" w:eastAsia="仿宋_GB2312" w:cs="仿宋_GB2312"/>
          <w:bCs/>
          <w:color w:val="000000" w:themeColor="text1"/>
          <w:kern w:val="0"/>
          <w:sz w:val="24"/>
          <w:szCs w:val="24"/>
          <w:u w:val="none"/>
          <w:lang w:val="en-US" w:eastAsia="zh-CN" w:bidi="ar-SA"/>
          <w14:textFill>
            <w14:solidFill>
              <w14:schemeClr w14:val="tx1"/>
            </w14:solidFill>
          </w14:textFill>
        </w:rPr>
        <w:t>平台软件的永久使用权，乙方在软件维保期内免费提供技术服务及软件咨询、培训、升级、维护、改造等服务。</w:t>
      </w:r>
    </w:p>
    <w:p w14:paraId="4105C64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仿宋_GB2312" w:eastAsia="仿宋_GB2312" w:cs="仿宋_GB2312"/>
          <w:bCs/>
          <w:color w:val="000000" w:themeColor="text1"/>
          <w:kern w:val="0"/>
          <w:sz w:val="24"/>
          <w:szCs w:val="24"/>
          <w:u w:val="none"/>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u w:val="none"/>
          <w:lang w:val="en-US" w:eastAsia="zh-CN" w:bidi="ar-SA"/>
          <w14:textFill>
            <w14:solidFill>
              <w14:schemeClr w14:val="tx1"/>
            </w14:solidFill>
          </w14:textFill>
        </w:rPr>
        <w:t>1.3 自</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本合同约定平台通过甲方验收之日起</w:t>
      </w:r>
      <w:r>
        <w:rPr>
          <w:rFonts w:hint="eastAsia" w:ascii="仿宋_GB2312" w:eastAsia="仿宋_GB2312" w:cs="仿宋_GB2312"/>
          <w:bCs/>
          <w:color w:val="000000" w:themeColor="text1"/>
          <w:kern w:val="0"/>
          <w:sz w:val="24"/>
          <w:szCs w:val="24"/>
          <w:u w:val="none"/>
          <w:lang w:val="en-US" w:eastAsia="zh-CN" w:bidi="ar-SA"/>
          <w14:textFill>
            <w14:solidFill>
              <w14:schemeClr w14:val="tx1"/>
            </w14:solidFill>
          </w14:textFill>
        </w:rPr>
        <w:t>甲方拥有该平台硬件的所有权，乙方在硬件质保期内为甲方提供硬件维修、更换、保养、咨询等服务。</w:t>
      </w:r>
    </w:p>
    <w:p w14:paraId="1238E1C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仿宋_GB2312" w:eastAsia="仿宋_GB2312" w:cs="仿宋_GB2312"/>
          <w:bCs/>
          <w:color w:val="000000" w:themeColor="text1"/>
          <w:kern w:val="0"/>
          <w:sz w:val="24"/>
          <w:szCs w:val="24"/>
          <w:u w:val="none"/>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u w:val="none"/>
          <w:lang w:val="en-US" w:eastAsia="zh-CN" w:bidi="ar-SA"/>
          <w14:textFill>
            <w14:solidFill>
              <w14:schemeClr w14:val="tx1"/>
            </w14:solidFill>
          </w14:textFill>
        </w:rPr>
        <w:t>1.4 如本合同软件、硬件需要与甲方正在使用的信息系统对接，所产生的全部接口费用均由乙方承担。</w:t>
      </w:r>
    </w:p>
    <w:p w14:paraId="43FC6E08">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仿宋_GB2312" w:eastAsia="仿宋_GB2312" w:cs="仿宋_GB2312"/>
          <w:b/>
          <w:bCs w:val="0"/>
          <w:color w:val="000000" w:themeColor="text1"/>
          <w:kern w:val="0"/>
          <w:sz w:val="24"/>
          <w:szCs w:val="24"/>
          <w:u w:val="none"/>
          <w:lang w:val="en-US" w:eastAsia="zh-CN" w:bidi="ar-SA"/>
          <w14:textFill>
            <w14:solidFill>
              <w14:schemeClr w14:val="tx1"/>
            </w14:solidFill>
          </w14:textFill>
        </w:rPr>
      </w:pPr>
      <w:r>
        <w:rPr>
          <w:rFonts w:hint="eastAsia" w:ascii="仿宋_GB2312" w:eastAsia="仿宋_GB2312" w:cs="仿宋_GB2312"/>
          <w:b/>
          <w:bCs w:val="0"/>
          <w:color w:val="000000" w:themeColor="text1"/>
          <w:kern w:val="0"/>
          <w:sz w:val="24"/>
          <w:szCs w:val="24"/>
          <w:u w:val="none"/>
          <w:lang w:val="en-US" w:eastAsia="zh-CN" w:bidi="ar-SA"/>
          <w14:textFill>
            <w14:solidFill>
              <w14:schemeClr w14:val="tx1"/>
            </w14:solidFill>
          </w14:textFill>
        </w:rPr>
        <w:t>第二条 验收标准、时间、方式和硬件包装要求</w:t>
      </w:r>
    </w:p>
    <w:p w14:paraId="703F048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eastAsia="仿宋_GB2312" w:cs="仿宋_GB2312"/>
          <w:b w:val="0"/>
          <w:bCs/>
          <w:color w:val="000000" w:themeColor="text1"/>
          <w:kern w:val="0"/>
          <w:sz w:val="24"/>
          <w:szCs w:val="24"/>
          <w:u w:val="none"/>
          <w:lang w:val="en-US" w:eastAsia="zh-CN" w:bidi="ar-SA"/>
          <w14:textFill>
            <w14:solidFill>
              <w14:schemeClr w14:val="tx1"/>
            </w14:solidFill>
          </w14:textFill>
        </w:rPr>
      </w:pPr>
      <w:r>
        <w:rPr>
          <w:rFonts w:hint="eastAsia" w:ascii="仿宋_GB2312" w:eastAsia="仿宋_GB2312" w:cs="仿宋_GB2312"/>
          <w:b w:val="0"/>
          <w:bCs/>
          <w:color w:val="000000" w:themeColor="text1"/>
          <w:kern w:val="0"/>
          <w:sz w:val="24"/>
          <w:szCs w:val="24"/>
          <w:u w:val="none"/>
          <w:lang w:val="en-US" w:eastAsia="zh-CN" w:bidi="ar-SA"/>
          <w14:textFill>
            <w14:solidFill>
              <w14:schemeClr w14:val="tx1"/>
            </w14:solidFill>
          </w14:textFill>
        </w:rPr>
        <w:t>2.1 验收标准：乙方提供软件及硬件的质量、安装应符合或优于国家标准；如乙方响应文件中的技术参数和质量标准高于国家标准，则软件及硬件的技术参数和质量标准以乙方响应文件为准。</w:t>
      </w:r>
    </w:p>
    <w:p w14:paraId="01ABC3A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eastAsia="仿宋_GB2312" w:cs="仿宋_GB2312"/>
          <w:bCs/>
          <w:color w:val="000000" w:themeColor="text1"/>
          <w:kern w:val="0"/>
          <w:sz w:val="24"/>
          <w:szCs w:val="24"/>
          <w:u w:val="none"/>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2.2 硬件到货验收：</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自本合同签订之日起</w:t>
      </w:r>
      <w:r>
        <w:rPr>
          <w:rFonts w:hint="eastAsia" w:ascii="仿宋_GB2312" w:eastAsia="仿宋_GB2312" w:cs="仿宋_GB2312"/>
          <w:bCs/>
          <w:color w:val="000000" w:themeColor="text1"/>
          <w:kern w:val="0"/>
          <w:sz w:val="24"/>
          <w:szCs w:val="24"/>
          <w:u w:val="single"/>
          <w:lang w:val="en-US" w:eastAsia="zh-CN" w:bidi="ar-SA"/>
          <w14:textFill>
            <w14:solidFill>
              <w14:schemeClr w14:val="tx1"/>
            </w14:solidFill>
          </w14:textFill>
        </w:rPr>
        <w:t xml:space="preserve"> 15  </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个工作日内</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，乙方选择合适的运输方式将本合同硬件送达甲方指定地点并负责装卸、搬运，由此产生的费用由乙方承担；自乙方将硬件送达后应</w:t>
      </w:r>
      <w:r>
        <w:rPr>
          <w:rFonts w:hint="eastAsia" w:ascii="仿宋_GB2312" w:eastAsia="仿宋_GB2312" w:cs="仿宋_GB2312"/>
          <w:bCs/>
          <w:color w:val="000000" w:themeColor="text1"/>
          <w:kern w:val="0"/>
          <w:sz w:val="24"/>
          <w:szCs w:val="24"/>
          <w:u w:val="none"/>
          <w:lang w:val="en-US" w:eastAsia="zh-CN" w:bidi="ar-SA"/>
          <w14:textFill>
            <w14:solidFill>
              <w14:schemeClr w14:val="tx1"/>
            </w14:solidFill>
          </w14:textFill>
        </w:rPr>
        <w:t>通知甲方验收并向甲方提供厂家标准资料文件（进口设备需提供真实有效的海关报关单，其他设备需提供产品合格证）和原厂授权证明及售后服务承诺函，甲方在接到乙方通知后</w:t>
      </w:r>
      <w:r>
        <w:rPr>
          <w:rFonts w:hint="eastAsia" w:ascii="仿宋_GB2312" w:eastAsia="仿宋_GB2312" w:cs="仿宋_GB2312"/>
          <w:bCs/>
          <w:color w:val="000000" w:themeColor="text1"/>
          <w:kern w:val="0"/>
          <w:sz w:val="24"/>
          <w:szCs w:val="24"/>
          <w:u w:val="single"/>
          <w:lang w:val="en-US" w:eastAsia="zh-CN" w:bidi="ar-SA"/>
          <w14:textFill>
            <w14:solidFill>
              <w14:schemeClr w14:val="tx1"/>
            </w14:solidFill>
          </w14:textFill>
        </w:rPr>
        <w:t xml:space="preserve"> 15  </w:t>
      </w:r>
      <w:r>
        <w:rPr>
          <w:rFonts w:hint="eastAsia" w:ascii="仿宋_GB2312" w:eastAsia="仿宋_GB2312" w:cs="仿宋_GB2312"/>
          <w:bCs/>
          <w:color w:val="000000" w:themeColor="text1"/>
          <w:kern w:val="0"/>
          <w:sz w:val="24"/>
          <w:szCs w:val="24"/>
          <w:u w:val="none"/>
          <w:lang w:val="en-US" w:eastAsia="zh-CN" w:bidi="ar-SA"/>
          <w14:textFill>
            <w14:solidFill>
              <w14:schemeClr w14:val="tx1"/>
            </w14:solidFill>
          </w14:textFill>
        </w:rPr>
        <w:t>天内组织人员对硬件按合同约定及厂家出厂装箱单进行到货验收，经甲方验收合格后签署验收报告单，乙方方可进行现场拆包、安装、调试、培训。如经甲方验收不合格，乙方应无条件予以更换。</w:t>
      </w:r>
    </w:p>
    <w:p w14:paraId="1257F67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u w:val="none"/>
          <w:lang w:val="en-US" w:eastAsia="zh-CN" w:bidi="ar-SA"/>
          <w14:textFill>
            <w14:solidFill>
              <w14:schemeClr w14:val="tx1"/>
            </w14:solidFill>
          </w14:textFill>
        </w:rPr>
        <w:t>2.3 软件交付验收：</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自本合同签订之日起</w:t>
      </w:r>
      <w:r>
        <w:rPr>
          <w:rFonts w:hint="eastAsia" w:ascii="仿宋_GB2312" w:eastAsia="仿宋_GB2312" w:cs="仿宋_GB2312"/>
          <w:bCs/>
          <w:color w:val="000000" w:themeColor="text1"/>
          <w:kern w:val="0"/>
          <w:sz w:val="24"/>
          <w:szCs w:val="24"/>
          <w:u w:val="single"/>
          <w:lang w:val="en-US" w:eastAsia="zh-CN" w:bidi="ar-SA"/>
          <w14:textFill>
            <w14:solidFill>
              <w14:schemeClr w14:val="tx1"/>
            </w14:solidFill>
          </w14:textFill>
        </w:rPr>
        <w:t xml:space="preserve"> 15  </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个工作日内，乙方通过书面形式，将甲方所需全部点位的软件授权序列号和</w:t>
      </w:r>
      <w:r>
        <w:rPr>
          <w:rFonts w:hint="eastAsia" w:ascii="仿宋_GB2312" w:hAnsi="Times New Roman" w:eastAsia="仿宋_GB2312" w:cs="仿宋_GB2312"/>
          <w:bCs/>
          <w:color w:val="000000" w:themeColor="text1"/>
          <w:kern w:val="0"/>
          <w:sz w:val="24"/>
          <w:szCs w:val="24"/>
          <w:highlight w:val="none"/>
          <w:lang w:val="en-US" w:eastAsia="zh-CN" w:bidi="ar-SA"/>
          <w14:textFill>
            <w14:solidFill>
              <w14:schemeClr w14:val="tx1"/>
            </w14:solidFill>
          </w14:textFill>
        </w:rPr>
        <w:t>密钥key</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交付甲方</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，甲方对乙方交付的序列号和</w:t>
      </w:r>
      <w:r>
        <w:rPr>
          <w:rFonts w:hint="eastAsia" w:ascii="仿宋_GB2312" w:hAnsi="Times New Roman" w:eastAsia="仿宋_GB2312" w:cs="仿宋_GB2312"/>
          <w:bCs/>
          <w:color w:val="000000" w:themeColor="text1"/>
          <w:kern w:val="0"/>
          <w:sz w:val="24"/>
          <w:szCs w:val="24"/>
          <w:highlight w:val="none"/>
          <w:lang w:val="en-US" w:eastAsia="zh-CN" w:bidi="ar-SA"/>
          <w14:textFill>
            <w14:solidFill>
              <w14:schemeClr w14:val="tx1"/>
            </w14:solidFill>
          </w14:textFill>
        </w:rPr>
        <w:t>密钥key</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无异议，向乙方出具软件交付确认书。</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如甲方对收到的软件授权序列号</w:t>
      </w:r>
      <w:r>
        <w:rPr>
          <w:rFonts w:hint="eastAsia" w:ascii="仿宋_GB2312" w:hAnsi="Times New Roman" w:eastAsia="仿宋_GB2312" w:cs="仿宋_GB2312"/>
          <w:bCs/>
          <w:color w:val="000000" w:themeColor="text1"/>
          <w:kern w:val="0"/>
          <w:sz w:val="24"/>
          <w:szCs w:val="24"/>
          <w:highlight w:val="none"/>
          <w:lang w:val="en-US" w:eastAsia="zh-CN" w:bidi="ar-SA"/>
          <w14:textFill>
            <w14:solidFill>
              <w14:schemeClr w14:val="tx1"/>
            </w14:solidFill>
          </w14:textFill>
        </w:rPr>
        <w:t>密钥key</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有异议，应在自接收到该书面文件之日起</w:t>
      </w:r>
      <w:r>
        <w:rPr>
          <w:rFonts w:hint="eastAsia" w:ascii="仿宋_GB2312" w:eastAsia="仿宋_GB2312" w:cs="仿宋_GB2312"/>
          <w:bCs/>
          <w:color w:val="000000" w:themeColor="text1"/>
          <w:kern w:val="0"/>
          <w:sz w:val="24"/>
          <w:szCs w:val="24"/>
          <w:u w:val="single"/>
          <w:lang w:val="en-US" w:eastAsia="zh-CN" w:bidi="ar-SA"/>
          <w14:textFill>
            <w14:solidFill>
              <w14:schemeClr w14:val="tx1"/>
            </w14:solidFill>
          </w14:textFill>
        </w:rPr>
        <w:t xml:space="preserve"> 15  </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个工作日内，以书面形式向乙方提出异议，乙方应立即配合解决相关问题。</w:t>
      </w:r>
    </w:p>
    <w:p w14:paraId="62878F2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2.4 软硬件交付地点</w:t>
      </w:r>
      <w:r>
        <w:rPr>
          <w:rFonts w:hint="eastAsia" w:ascii="仿宋_GB2312" w:eastAsia="仿宋_GB2312" w:cs="仿宋_GB2312"/>
          <w:bCs/>
          <w:color w:val="000000" w:themeColor="text1"/>
          <w:kern w:val="0"/>
          <w:sz w:val="24"/>
          <w:szCs w:val="24"/>
          <w:u w:val="none"/>
          <w:lang w:val="en-US" w:eastAsia="zh-CN" w:bidi="ar-SA"/>
          <w14:textFill>
            <w14:solidFill>
              <w14:schemeClr w14:val="tx1"/>
            </w14:solidFill>
          </w14:textFill>
        </w:rPr>
        <w:t>：</w:t>
      </w:r>
      <w:r>
        <w:rPr>
          <w:rFonts w:hint="eastAsia" w:ascii="仿宋_GB2312" w:eastAsia="仿宋_GB2312" w:cs="仿宋_GB2312"/>
          <w:bCs/>
          <w:color w:val="000000" w:themeColor="text1"/>
          <w:kern w:val="0"/>
          <w:sz w:val="24"/>
          <w:szCs w:val="24"/>
          <w:u w:val="single"/>
          <w:lang w:val="en-US" w:eastAsia="zh-CN" w:bidi="ar-SA"/>
          <w14:textFill>
            <w14:solidFill>
              <w14:schemeClr w14:val="tx1"/>
            </w14:solidFill>
          </w14:textFill>
        </w:rPr>
        <w:t xml:space="preserve"> 娄底市中心医院计算机信息管理科 </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；收货人：</w:t>
      </w:r>
      <w:r>
        <w:rPr>
          <w:rFonts w:hint="eastAsia" w:ascii="仿宋_GB2312" w:eastAsia="仿宋_GB2312" w:cs="仿宋_GB2312"/>
          <w:bCs/>
          <w:color w:val="000000" w:themeColor="text1"/>
          <w:kern w:val="0"/>
          <w:sz w:val="24"/>
          <w:szCs w:val="24"/>
          <w:u w:val="single"/>
          <w:lang w:val="en-US" w:eastAsia="zh-CN" w:bidi="ar-SA"/>
          <w14:textFill>
            <w14:solidFill>
              <w14:schemeClr w14:val="tx1"/>
            </w14:solidFill>
          </w14:textFill>
        </w:rPr>
        <w:t xml:space="preserve"> 胡晟娅 </w:t>
      </w:r>
      <w:r>
        <w:rPr>
          <w:rFonts w:hint="eastAsia" w:ascii="仿宋_GB2312" w:eastAsia="仿宋_GB2312" w:cs="仿宋_GB2312"/>
          <w:bCs/>
          <w:color w:val="000000" w:themeColor="text1"/>
          <w:kern w:val="0"/>
          <w:sz w:val="24"/>
          <w:szCs w:val="24"/>
          <w:u w:val="none"/>
          <w:lang w:val="en-US" w:eastAsia="zh-CN" w:bidi="ar-SA"/>
          <w14:textFill>
            <w14:solidFill>
              <w14:schemeClr w14:val="tx1"/>
            </w14:solidFill>
          </w14:textFill>
        </w:rPr>
        <w:t>；</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联系方式：</w:t>
      </w:r>
      <w:r>
        <w:rPr>
          <w:rFonts w:hint="eastAsia" w:ascii="仿宋_GB2312" w:eastAsia="仿宋_GB2312" w:cs="仿宋_GB2312"/>
          <w:bCs/>
          <w:color w:val="000000" w:themeColor="text1"/>
          <w:kern w:val="0"/>
          <w:sz w:val="24"/>
          <w:szCs w:val="24"/>
          <w:u w:val="single"/>
          <w:lang w:val="en-US" w:eastAsia="zh-CN" w:bidi="ar-SA"/>
          <w14:textFill>
            <w14:solidFill>
              <w14:schemeClr w14:val="tx1"/>
            </w14:solidFill>
          </w14:textFill>
        </w:rPr>
        <w:t xml:space="preserve">13973818325 </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w:t>
      </w:r>
    </w:p>
    <w:p w14:paraId="68DCE08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eastAsia="仿宋_GB2312" w:cs="仿宋_GB2312"/>
          <w:b/>
          <w:bCs w:val="0"/>
          <w:color w:val="000000" w:themeColor="text1"/>
          <w:kern w:val="0"/>
          <w:sz w:val="24"/>
          <w:szCs w:val="24"/>
          <w:u w:val="none"/>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2.5 总体验收：自</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甲方收到授权序列号和</w:t>
      </w:r>
      <w:r>
        <w:rPr>
          <w:rFonts w:hint="eastAsia" w:ascii="仿宋_GB2312" w:hAnsi="Times New Roman" w:eastAsia="仿宋_GB2312" w:cs="仿宋_GB2312"/>
          <w:bCs/>
          <w:color w:val="000000" w:themeColor="text1"/>
          <w:kern w:val="0"/>
          <w:sz w:val="24"/>
          <w:szCs w:val="24"/>
          <w:highlight w:val="none"/>
          <w:lang w:val="en-US" w:eastAsia="zh-CN" w:bidi="ar-SA"/>
          <w14:textFill>
            <w14:solidFill>
              <w14:schemeClr w14:val="tx1"/>
            </w14:solidFill>
          </w14:textFill>
        </w:rPr>
        <w:t>密钥key</w:t>
      </w:r>
      <w:r>
        <w:rPr>
          <w:rFonts w:hint="eastAsia" w:ascii="仿宋_GB2312" w:eastAsia="仿宋_GB2312" w:cs="仿宋_GB2312"/>
          <w:bCs/>
          <w:color w:val="000000" w:themeColor="text1"/>
          <w:kern w:val="0"/>
          <w:sz w:val="24"/>
          <w:szCs w:val="24"/>
          <w:highlight w:val="none"/>
          <w:lang w:val="en-US" w:eastAsia="zh-CN" w:bidi="ar-SA"/>
          <w14:textFill>
            <w14:solidFill>
              <w14:schemeClr w14:val="tx1"/>
            </w14:solidFill>
          </w14:textFill>
        </w:rPr>
        <w:t>且乙方完成硬件安装调试</w:t>
      </w:r>
      <w:r>
        <w:rPr>
          <w:rFonts w:hint="eastAsia" w:ascii="仿宋_GB2312" w:eastAsia="仿宋_GB2312" w:cs="仿宋_GB2312"/>
          <w:bCs/>
          <w:color w:val="000000" w:themeColor="text1"/>
          <w:kern w:val="0"/>
          <w:sz w:val="24"/>
          <w:szCs w:val="24"/>
          <w:u w:val="single"/>
          <w:lang w:val="en-US" w:eastAsia="zh-CN" w:bidi="ar-SA"/>
          <w14:textFill>
            <w14:solidFill>
              <w14:schemeClr w14:val="tx1"/>
            </w14:solidFill>
          </w14:textFill>
        </w:rPr>
        <w:t xml:space="preserve"> 30  </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个工作日后，乙方应填写《娄底市中心医院信息化项目验收清单》并向甲方提出验收要求。</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甲方自接到乙方验收通知之日起7日内按国家、行业规范标准、《娄底市中心医院信息化项目验收清单》及本合同约定进行验收。如验收通过，甲方签署总体验收报告单；如经甲方验收不合格，乙方应在</w:t>
      </w:r>
      <w:r>
        <w:rPr>
          <w:rFonts w:hint="eastAsia" w:ascii="仿宋_GB2312" w:eastAsia="仿宋_GB2312" w:cs="仿宋_GB2312"/>
          <w:bCs/>
          <w:color w:val="000000" w:themeColor="text1"/>
          <w:kern w:val="0"/>
          <w:sz w:val="24"/>
          <w:szCs w:val="24"/>
          <w:u w:val="single"/>
          <w:lang w:val="en-US" w:eastAsia="zh-CN" w:bidi="ar-SA"/>
          <w14:textFill>
            <w14:solidFill>
              <w14:schemeClr w14:val="tx1"/>
            </w14:solidFill>
          </w14:textFill>
        </w:rPr>
        <w:t xml:space="preserve"> 3 </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日内无条件予以返工并承担所有费用。</w:t>
      </w:r>
    </w:p>
    <w:p w14:paraId="7DD139B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2.6 甲方验收时如发现乙方所交付的软件系统（包括序列号和</w:t>
      </w:r>
      <w:r>
        <w:rPr>
          <w:rFonts w:hint="eastAsia" w:ascii="仿宋_GB2312" w:hAnsi="Times New Roman" w:eastAsia="仿宋_GB2312" w:cs="仿宋_GB2312"/>
          <w:bCs/>
          <w:color w:val="000000" w:themeColor="text1"/>
          <w:kern w:val="0"/>
          <w:sz w:val="24"/>
          <w:szCs w:val="24"/>
          <w:highlight w:val="none"/>
          <w:lang w:val="en-US" w:eastAsia="zh-CN" w:bidi="ar-SA"/>
          <w14:textFill>
            <w14:solidFill>
              <w14:schemeClr w14:val="tx1"/>
            </w14:solidFill>
          </w14:textFill>
        </w:rPr>
        <w:t>密钥key</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及硬件不符合国家、行业规范标准、《娄底市中心医院信息化项目验收清单》及本合同约定的，甲方应做出详尽的现场记录，由甲乙双方签署备忘录，该现场记录和备忘录作为乙方重新返工的有效依据，由此产生的一切经济损失由乙方承担。</w:t>
      </w:r>
    </w:p>
    <w:p w14:paraId="271B020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eastAsia="仿宋_GB2312" w:cs="仿宋_GB2312"/>
          <w:bCs/>
          <w:color w:val="000000" w:themeColor="text1"/>
          <w:kern w:val="0"/>
          <w:sz w:val="24"/>
          <w:szCs w:val="24"/>
          <w:u w:val="none"/>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u w:val="none"/>
          <w:lang w:val="en-US" w:eastAsia="zh-CN" w:bidi="ar-SA"/>
          <w14:textFill>
            <w14:solidFill>
              <w14:schemeClr w14:val="tx1"/>
            </w14:solidFill>
          </w14:textFill>
        </w:rPr>
        <w:t xml:space="preserve">2.7 包装要求：乙方提供的硬件必须为原厂包装，外包装到货时应保证完好无损，否则甲方有权拒绝收货，由此造成的延期交货违约责任和一切经济损失全部由乙方承担。 </w:t>
      </w:r>
    </w:p>
    <w:p w14:paraId="20A4C66F">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仿宋_GB2312" w:eastAsia="仿宋_GB2312" w:cs="仿宋_GB2312"/>
          <w:bCs/>
          <w:color w:val="000000" w:themeColor="text1"/>
          <w:kern w:val="0"/>
          <w:sz w:val="24"/>
          <w:szCs w:val="24"/>
          <w:u w:val="none"/>
          <w:lang w:val="en-US" w:eastAsia="zh-CN" w:bidi="ar-SA"/>
          <w14:textFill>
            <w14:solidFill>
              <w14:schemeClr w14:val="tx1"/>
            </w14:solidFill>
          </w14:textFill>
        </w:rPr>
      </w:pPr>
      <w:r>
        <w:rPr>
          <w:rFonts w:hint="eastAsia" w:ascii="仿宋_GB2312" w:eastAsia="仿宋_GB2312" w:cs="仿宋_GB2312"/>
          <w:b/>
          <w:bCs w:val="0"/>
          <w:color w:val="000000" w:themeColor="text1"/>
          <w:kern w:val="0"/>
          <w:sz w:val="24"/>
          <w:szCs w:val="24"/>
          <w:u w:val="none"/>
          <w:lang w:val="en-US" w:eastAsia="zh-CN" w:bidi="ar-SA"/>
          <w14:textFill>
            <w14:solidFill>
              <w14:schemeClr w14:val="tx1"/>
            </w14:solidFill>
          </w14:textFill>
        </w:rPr>
        <w:t>第三条 硬件售后服务和软件维保服务</w:t>
      </w:r>
    </w:p>
    <w:p w14:paraId="262BE9E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仿宋_GB2312"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3.1 硬件售后服务</w:t>
      </w:r>
    </w:p>
    <w:p w14:paraId="5A6397B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eastAsia="仿宋_GB2312" w:cs="仿宋_GB2312"/>
          <w:bCs/>
          <w:color w:val="000000" w:themeColor="text1"/>
          <w:kern w:val="0"/>
          <w:sz w:val="24"/>
          <w:szCs w:val="24"/>
          <w:u w:val="none"/>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u w:val="none"/>
          <w:lang w:val="en-US" w:eastAsia="zh-CN" w:bidi="ar-SA"/>
          <w14:textFill>
            <w14:solidFill>
              <w14:schemeClr w14:val="tx1"/>
            </w14:solidFill>
          </w14:textFill>
        </w:rPr>
        <w:t>3.1.1 本合同硬件质保期为叁年，自甲方在总体验收报告单上签字确认合格之日起算。</w:t>
      </w:r>
    </w:p>
    <w:p w14:paraId="0248FDD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eastAsia="仿宋_GB2312" w:cs="仿宋_GB2312"/>
          <w:bCs/>
          <w:color w:val="000000" w:themeColor="text1"/>
          <w:kern w:val="0"/>
          <w:sz w:val="24"/>
          <w:szCs w:val="24"/>
          <w:u w:val="none"/>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u w:val="none"/>
          <w:lang w:val="en-US" w:eastAsia="zh-CN" w:bidi="ar-SA"/>
          <w14:textFill>
            <w14:solidFill>
              <w14:schemeClr w14:val="tx1"/>
            </w14:solidFill>
          </w14:textFill>
        </w:rPr>
        <w:t>3.1.2 乙方在质保期内免费提供硬件维修、更换、保养、咨询等服务。如硬件在质保期内出现质量问题，乙方应在接到甲方通知（包括电话通知）后24小时内赶到现场，到场后4小时内完成维修或更换，相关费用由乙方承担。如乙方不及时履行保修义务，甲方有权委托第三方进行维修，由此产生的相关费用，在支付价款中予以扣除或要求乙方支付对应货物价款。</w:t>
      </w:r>
    </w:p>
    <w:p w14:paraId="4ACA117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eastAsia="仿宋_GB2312" w:cs="仿宋_GB2312"/>
          <w:bCs/>
          <w:color w:val="000000" w:themeColor="text1"/>
          <w:kern w:val="0"/>
          <w:sz w:val="24"/>
          <w:szCs w:val="24"/>
          <w:u w:val="none"/>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u w:val="none"/>
          <w:lang w:val="en-US" w:eastAsia="zh-CN" w:bidi="ar-SA"/>
          <w14:textFill>
            <w14:solidFill>
              <w14:schemeClr w14:val="tx1"/>
            </w14:solidFill>
          </w14:textFill>
        </w:rPr>
        <w:t>3.1.3 质保期内，乙方每年至少对硬件进行</w:t>
      </w:r>
      <w:r>
        <w:rPr>
          <w:rFonts w:hint="eastAsia" w:ascii="仿宋_GB2312" w:eastAsia="仿宋_GB2312" w:cs="仿宋_GB2312"/>
          <w:bCs/>
          <w:color w:val="000000" w:themeColor="text1"/>
          <w:kern w:val="0"/>
          <w:sz w:val="24"/>
          <w:szCs w:val="24"/>
          <w:u w:val="single"/>
          <w:lang w:val="en-US" w:eastAsia="zh-CN" w:bidi="ar-SA"/>
          <w14:textFill>
            <w14:solidFill>
              <w14:schemeClr w14:val="tx1"/>
            </w14:solidFill>
          </w14:textFill>
        </w:rPr>
        <w:t xml:space="preserve"> 1 </w:t>
      </w:r>
      <w:r>
        <w:rPr>
          <w:rFonts w:hint="eastAsia" w:ascii="仿宋_GB2312" w:eastAsia="仿宋_GB2312" w:cs="仿宋_GB2312"/>
          <w:bCs/>
          <w:color w:val="000000" w:themeColor="text1"/>
          <w:kern w:val="0"/>
          <w:sz w:val="24"/>
          <w:szCs w:val="24"/>
          <w:u w:val="none"/>
          <w:lang w:val="en-US" w:eastAsia="zh-CN" w:bidi="ar-SA"/>
          <w14:textFill>
            <w14:solidFill>
              <w14:schemeClr w14:val="tx1"/>
            </w14:solidFill>
          </w14:textFill>
        </w:rPr>
        <w:t>次巡检并提供巡检报告。</w:t>
      </w:r>
    </w:p>
    <w:p w14:paraId="2FB9B74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eastAsia="仿宋_GB2312" w:cs="仿宋_GB2312"/>
          <w:bCs/>
          <w:color w:val="000000" w:themeColor="text1"/>
          <w:kern w:val="0"/>
          <w:sz w:val="24"/>
          <w:szCs w:val="24"/>
          <w:u w:val="none"/>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u w:val="none"/>
          <w:lang w:val="en-US" w:eastAsia="zh-CN" w:bidi="ar-SA"/>
          <w14:textFill>
            <w14:solidFill>
              <w14:schemeClr w14:val="tx1"/>
            </w14:solidFill>
          </w14:textFill>
        </w:rPr>
        <w:t>3.1.4 质保期届满后，如硬件出现问题，乙方应在接到甲方通知（包括电话通知）后24小时内到场，到场后4小时内完成维修或更换，相关费用由甲方承担，但费用不得超出当时市场价格。</w:t>
      </w:r>
    </w:p>
    <w:p w14:paraId="71EF9A8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eastAsia="仿宋_GB2312" w:cs="仿宋_GB2312"/>
          <w:bCs/>
          <w:color w:val="000000" w:themeColor="text1"/>
          <w:kern w:val="0"/>
          <w:sz w:val="24"/>
          <w:szCs w:val="24"/>
          <w:u w:val="none"/>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u w:val="none"/>
          <w:lang w:val="en-US" w:eastAsia="zh-CN" w:bidi="ar-SA"/>
          <w14:textFill>
            <w14:solidFill>
              <w14:schemeClr w14:val="tx1"/>
            </w14:solidFill>
          </w14:textFill>
        </w:rPr>
        <w:t>3.2 软件系统维保服务</w:t>
      </w:r>
    </w:p>
    <w:p w14:paraId="6AD1FA4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eastAsia="仿宋_GB2312" w:cs="仿宋_GB2312"/>
          <w:bCs/>
          <w:color w:val="000000" w:themeColor="text1"/>
          <w:kern w:val="0"/>
          <w:sz w:val="24"/>
          <w:szCs w:val="24"/>
          <w:u w:val="none"/>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u w:val="none"/>
          <w:lang w:val="en-US" w:eastAsia="zh-CN" w:bidi="ar-SA"/>
          <w14:textFill>
            <w14:solidFill>
              <w14:schemeClr w14:val="tx1"/>
            </w14:solidFill>
          </w14:textFill>
        </w:rPr>
        <w:t>3.2.1 本合同软件系统维保服务期限为叁年，自甲方总体验收合格之日起算。</w:t>
      </w:r>
    </w:p>
    <w:p w14:paraId="2E221AA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仿宋_GB2312" w:eastAsia="仿宋_GB2312" w:cs="仿宋_GB2312"/>
          <w:bCs/>
          <w:color w:val="000000" w:themeColor="text1"/>
          <w:kern w:val="0"/>
          <w:sz w:val="24"/>
          <w:szCs w:val="24"/>
          <w:u w:val="none"/>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u w:val="none"/>
          <w:lang w:val="en-US" w:eastAsia="zh-CN" w:bidi="ar-SA"/>
          <w14:textFill>
            <w14:solidFill>
              <w14:schemeClr w14:val="tx1"/>
            </w14:solidFill>
          </w14:textFill>
        </w:rPr>
        <w:t>3.2.2 服务方式：</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乙方</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为</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甲方提供</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本合同约定平台</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技术服务，及软件咨询、培训、升级、维护、改造等技术服务</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（详见附件二）</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w:t>
      </w:r>
    </w:p>
    <w:p w14:paraId="480FB94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 xml:space="preserve">3.2.3 </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若甲方对乙方工作人员的服务不满意，可进行投诉</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及要求更换乙方工作人员</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，乙方将认真对待，严肃处理，</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在接到甲方投诉后</w:t>
      </w:r>
      <w:r>
        <w:rPr>
          <w:rFonts w:hint="eastAsia" w:ascii="仿宋_GB2312" w:eastAsia="仿宋_GB2312" w:cs="仿宋_GB2312"/>
          <w:bCs/>
          <w:color w:val="000000" w:themeColor="text1"/>
          <w:kern w:val="0"/>
          <w:sz w:val="24"/>
          <w:szCs w:val="24"/>
          <w:u w:val="single"/>
          <w:lang w:val="en-US" w:eastAsia="zh-CN" w:bidi="ar-SA"/>
          <w14:textFill>
            <w14:solidFill>
              <w14:schemeClr w14:val="tx1"/>
            </w14:solidFill>
          </w14:textFill>
        </w:rPr>
        <w:t xml:space="preserve"> 3 </w:t>
      </w:r>
      <w:r>
        <w:rPr>
          <w:rFonts w:hint="eastAsia" w:ascii="仿宋_GB2312" w:eastAsia="仿宋_GB2312" w:cs="仿宋_GB2312"/>
          <w:bCs/>
          <w:color w:val="000000" w:themeColor="text1"/>
          <w:kern w:val="0"/>
          <w:sz w:val="24"/>
          <w:szCs w:val="24"/>
          <w:u w:val="none"/>
          <w:lang w:val="en-US" w:eastAsia="zh-CN" w:bidi="ar-SA"/>
          <w14:textFill>
            <w14:solidFill>
              <w14:schemeClr w14:val="tx1"/>
            </w14:solidFill>
          </w14:textFill>
        </w:rPr>
        <w:t>天内</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将处理结果书面通报甲方</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并更换工作人员到位</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。若此次服务为本合同</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约定</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范围外的单次收费项目，则该次现场支持服务免费。</w:t>
      </w:r>
    </w:p>
    <w:p w14:paraId="5885404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 xml:space="preserve">3.3 </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乙方指</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派项目</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联系人</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w:t>
      </w:r>
      <w:r>
        <w:rPr>
          <w:rFonts w:hint="eastAsia" w:ascii="仿宋_GB2312" w:hAnsi="Times New Roman" w:eastAsia="仿宋_GB2312" w:cs="仿宋_GB2312"/>
          <w:bCs/>
          <w:color w:val="000000" w:themeColor="text1"/>
          <w:kern w:val="0"/>
          <w:sz w:val="24"/>
          <w:szCs w:val="24"/>
          <w:u w:val="single"/>
          <w:lang w:val="en-US" w:eastAsia="zh-CN" w:bidi="ar-SA"/>
          <w14:textFill>
            <w14:solidFill>
              <w14:schemeClr w14:val="tx1"/>
            </w14:solidFill>
          </w14:textFill>
        </w:rPr>
        <w:t xml:space="preserve">      </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、联系电话：</w:t>
      </w:r>
      <w:r>
        <w:rPr>
          <w:rFonts w:hint="eastAsia" w:ascii="仿宋_GB2312" w:hAnsi="Times New Roman" w:eastAsia="仿宋_GB2312" w:cs="仿宋_GB2312"/>
          <w:bCs/>
          <w:color w:val="000000" w:themeColor="text1"/>
          <w:kern w:val="0"/>
          <w:sz w:val="24"/>
          <w:szCs w:val="24"/>
          <w:u w:val="single"/>
          <w:lang w:val="en-US" w:eastAsia="zh-CN" w:bidi="ar-SA"/>
          <w14:textFill>
            <w14:solidFill>
              <w14:schemeClr w14:val="tx1"/>
            </w14:solidFill>
          </w14:textFill>
        </w:rPr>
        <w:t xml:space="preserve">      </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、电子邮箱</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w:t>
      </w:r>
      <w:r>
        <w:rPr>
          <w:rFonts w:hint="eastAsia" w:ascii="仿宋_GB2312" w:hAnsi="Times New Roman" w:eastAsia="仿宋_GB2312" w:cs="仿宋_GB2312"/>
          <w:bCs/>
          <w:color w:val="000000" w:themeColor="text1"/>
          <w:kern w:val="0"/>
          <w:sz w:val="24"/>
          <w:szCs w:val="24"/>
          <w:u w:val="single"/>
          <w:lang w:val="en-US" w:eastAsia="zh-CN" w:bidi="ar-SA"/>
          <w14:textFill>
            <w14:solidFill>
              <w14:schemeClr w14:val="tx1"/>
            </w14:solidFill>
          </w14:textFill>
        </w:rPr>
        <w:t xml:space="preserve">         </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、微信号</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w:t>
      </w:r>
      <w:r>
        <w:rPr>
          <w:rFonts w:hint="eastAsia" w:ascii="仿宋_GB2312" w:hAnsi="Times New Roman" w:eastAsia="仿宋_GB2312" w:cs="仿宋_GB2312"/>
          <w:bCs/>
          <w:color w:val="000000" w:themeColor="text1"/>
          <w:kern w:val="0"/>
          <w:sz w:val="24"/>
          <w:szCs w:val="24"/>
          <w:u w:val="single"/>
          <w:lang w:val="en-US" w:eastAsia="zh-CN" w:bidi="ar-SA"/>
          <w14:textFill>
            <w14:solidFill>
              <w14:schemeClr w14:val="tx1"/>
            </w14:solidFill>
          </w14:textFill>
        </w:rPr>
        <w:t xml:space="preserve">      </w:t>
      </w:r>
      <w:r>
        <w:rPr>
          <w:rFonts w:hint="eastAsia" w:ascii="仿宋_GB2312" w:eastAsia="仿宋_GB2312" w:cs="仿宋_GB2312"/>
          <w:bCs/>
          <w:color w:val="000000" w:themeColor="text1"/>
          <w:kern w:val="0"/>
          <w:sz w:val="24"/>
          <w:szCs w:val="24"/>
          <w:u w:val="single"/>
          <w:lang w:val="en-US" w:eastAsia="zh-CN" w:bidi="ar-SA"/>
          <w14:textFill>
            <w14:solidFill>
              <w14:schemeClr w14:val="tx1"/>
            </w14:solidFill>
          </w14:textFill>
        </w:rPr>
        <w:t xml:space="preserve"> </w:t>
      </w:r>
      <w:r>
        <w:rPr>
          <w:rFonts w:hint="eastAsia" w:ascii="仿宋_GB2312" w:eastAsia="仿宋_GB2312" w:cs="仿宋_GB2312"/>
          <w:bCs/>
          <w:color w:val="000000" w:themeColor="text1"/>
          <w:kern w:val="0"/>
          <w:sz w:val="24"/>
          <w:szCs w:val="24"/>
          <w:u w:val="none"/>
          <w:lang w:val="en-US" w:eastAsia="zh-CN" w:bidi="ar-SA"/>
          <w14:textFill>
            <w14:solidFill>
              <w14:schemeClr w14:val="tx1"/>
            </w14:solidFill>
          </w14:textFill>
        </w:rPr>
        <w:t>，</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专门负责与甲方联络</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w:t>
      </w:r>
      <w:r>
        <w:rPr>
          <w:rFonts w:hint="eastAsia" w:ascii="仿宋_GB2312" w:eastAsia="仿宋_GB2312" w:cs="仿宋_GB2312"/>
          <w:bCs/>
          <w:color w:val="000000" w:themeColor="text1"/>
          <w:kern w:val="0"/>
          <w:sz w:val="24"/>
          <w:szCs w:val="24"/>
          <w:u w:val="none"/>
          <w:lang w:val="en-US" w:eastAsia="zh-CN" w:bidi="ar-SA"/>
          <w14:textFill>
            <w14:solidFill>
              <w14:schemeClr w14:val="tx1"/>
            </w14:solidFill>
          </w14:textFill>
        </w:rPr>
        <w:t>如人员发生变动，应及时通知甲方，如因未通知造成甲方损失的，乙方应承担全部经济赔偿责任。</w:t>
      </w:r>
    </w:p>
    <w:p w14:paraId="0C915715">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仿宋_GB2312" w:eastAsia="仿宋_GB2312" w:cs="仿宋_GB2312"/>
          <w:b/>
          <w:bCs w:val="0"/>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
          <w:bCs w:val="0"/>
          <w:color w:val="000000" w:themeColor="text1"/>
          <w:kern w:val="0"/>
          <w:sz w:val="24"/>
          <w:szCs w:val="24"/>
          <w:lang w:val="en-US" w:eastAsia="zh-CN" w:bidi="ar-SA"/>
          <w14:textFill>
            <w14:solidFill>
              <w14:schemeClr w14:val="tx1"/>
            </w14:solidFill>
          </w14:textFill>
        </w:rPr>
        <w:t>第四条 甲方的权利和义务</w:t>
      </w:r>
    </w:p>
    <w:p w14:paraId="03C8BA4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4</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1</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 xml:space="preserve"> </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在乙方协助下</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定期做好系统数据备份并妥善保管。</w:t>
      </w:r>
    </w:p>
    <w:p w14:paraId="65C89BE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4.2</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 xml:space="preserve"> 在使用过程中发现异常时应记录故障现象，并及时与乙方取得联系，便于乙方诊断。</w:t>
      </w:r>
    </w:p>
    <w:p w14:paraId="5240B8B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4.3</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 xml:space="preserve"> 在乙方提供支持服务时进行配合。乙方每次服务过程及结束后检查软件系统运行是否正常，对乙方提供的服务内容及结果进行确认。</w:t>
      </w:r>
    </w:p>
    <w:p w14:paraId="17A70D1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4.4</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 xml:space="preserve"> 保证仅将本合同的软件序列号和密钥key应用于娄底市中心医院。</w:t>
      </w:r>
    </w:p>
    <w:p w14:paraId="4DE0801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 xml:space="preserve">4.5 </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甲方</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指派</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项目联系人</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w:t>
      </w:r>
      <w:r>
        <w:rPr>
          <w:rFonts w:hint="eastAsia" w:ascii="仿宋_GB2312" w:hAnsi="Times New Roman" w:eastAsia="仿宋_GB2312" w:cs="仿宋_GB2312"/>
          <w:bCs/>
          <w:color w:val="000000" w:themeColor="text1"/>
          <w:kern w:val="0"/>
          <w:sz w:val="24"/>
          <w:szCs w:val="24"/>
          <w:u w:val="single"/>
          <w:lang w:val="en-US" w:eastAsia="zh-CN" w:bidi="ar-SA"/>
          <w14:textFill>
            <w14:solidFill>
              <w14:schemeClr w14:val="tx1"/>
            </w14:solidFill>
          </w14:textFill>
        </w:rPr>
        <w:t>胡晟娅</w:t>
      </w:r>
      <w:r>
        <w:rPr>
          <w:rFonts w:hint="eastAsia" w:ascii="仿宋_GB2312" w:eastAsia="仿宋_GB2312" w:cs="仿宋_GB2312"/>
          <w:bCs/>
          <w:color w:val="000000" w:themeColor="text1"/>
          <w:kern w:val="0"/>
          <w:sz w:val="24"/>
          <w:szCs w:val="24"/>
          <w:u w:val="none"/>
          <w:lang w:val="en-US" w:eastAsia="zh-CN" w:bidi="ar-SA"/>
          <w14:textFill>
            <w14:solidFill>
              <w14:schemeClr w14:val="tx1"/>
            </w14:solidFill>
          </w14:textFill>
        </w:rPr>
        <w:t>、</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联系电话：</w:t>
      </w:r>
      <w:r>
        <w:rPr>
          <w:rFonts w:hint="eastAsia" w:ascii="仿宋_GB2312" w:hAnsi="Times New Roman" w:eastAsia="仿宋_GB2312" w:cs="仿宋_GB2312"/>
          <w:bCs/>
          <w:color w:val="000000" w:themeColor="text1"/>
          <w:kern w:val="0"/>
          <w:sz w:val="24"/>
          <w:szCs w:val="24"/>
          <w:u w:val="single"/>
          <w:lang w:val="en-US" w:eastAsia="zh-CN" w:bidi="ar-SA"/>
          <w14:textFill>
            <w14:solidFill>
              <w14:schemeClr w14:val="tx1"/>
            </w14:solidFill>
          </w14:textFill>
        </w:rPr>
        <w:t>13973818325</w:t>
      </w:r>
      <w:r>
        <w:rPr>
          <w:rFonts w:hint="eastAsia" w:ascii="仿宋_GB2312" w:eastAsia="仿宋_GB2312" w:cs="仿宋_GB2312"/>
          <w:bCs/>
          <w:color w:val="000000" w:themeColor="text1"/>
          <w:kern w:val="0"/>
          <w:sz w:val="24"/>
          <w:szCs w:val="24"/>
          <w:u w:val="none"/>
          <w:lang w:val="en-US" w:eastAsia="zh-CN" w:bidi="ar-SA"/>
          <w14:textFill>
            <w14:solidFill>
              <w14:schemeClr w14:val="tx1"/>
            </w14:solidFill>
          </w14:textFill>
        </w:rPr>
        <w:t>、</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电子邮箱</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w:t>
      </w:r>
      <w:r>
        <w:rPr>
          <w:rFonts w:hint="eastAsia" w:ascii="仿宋_GB2312" w:hAnsi="Times New Roman" w:eastAsia="仿宋_GB2312" w:cs="仿宋_GB2312"/>
          <w:bCs/>
          <w:color w:val="000000" w:themeColor="text1"/>
          <w:kern w:val="0"/>
          <w:sz w:val="24"/>
          <w:szCs w:val="24"/>
          <w:u w:val="single"/>
          <w:lang w:val="en-US" w:eastAsia="zh-CN" w:bidi="ar-SA"/>
          <w14:textFill>
            <w14:solidFill>
              <w14:schemeClr w14:val="tx1"/>
            </w14:solidFill>
          </w14:textFill>
        </w:rPr>
        <w:t xml:space="preserve"> </w:t>
      </w:r>
      <w:r>
        <w:rPr>
          <w:rFonts w:hint="eastAsia" w:ascii="仿宋_GB2312" w:eastAsia="仿宋_GB2312" w:cs="仿宋_GB2312"/>
          <w:bCs/>
          <w:color w:val="000000" w:themeColor="text1"/>
          <w:kern w:val="0"/>
          <w:sz w:val="24"/>
          <w:szCs w:val="24"/>
          <w:u w:val="single"/>
          <w:lang w:val="en-US" w:eastAsia="zh-CN" w:bidi="ar-SA"/>
          <w14:textFill>
            <w14:solidFill>
              <w14:schemeClr w14:val="tx1"/>
            </w14:solidFill>
          </w14:textFill>
        </w:rPr>
        <w:t>/</w:t>
      </w:r>
      <w:r>
        <w:rPr>
          <w:rFonts w:hint="eastAsia" w:ascii="仿宋_GB2312" w:hAnsi="Times New Roman" w:eastAsia="仿宋_GB2312" w:cs="仿宋_GB2312"/>
          <w:bCs/>
          <w:color w:val="000000" w:themeColor="text1"/>
          <w:kern w:val="0"/>
          <w:sz w:val="24"/>
          <w:szCs w:val="24"/>
          <w:u w:val="single"/>
          <w:lang w:val="en-US" w:eastAsia="zh-CN" w:bidi="ar-SA"/>
          <w14:textFill>
            <w14:solidFill>
              <w14:schemeClr w14:val="tx1"/>
            </w14:solidFill>
          </w14:textFill>
        </w:rPr>
        <w:t xml:space="preserve"> </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、微信号</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w:t>
      </w:r>
      <w:r>
        <w:rPr>
          <w:rFonts w:hint="eastAsia" w:ascii="仿宋_GB2312" w:hAnsi="Times New Roman" w:eastAsia="仿宋_GB2312" w:cs="仿宋_GB2312"/>
          <w:bCs/>
          <w:color w:val="000000" w:themeColor="text1"/>
          <w:kern w:val="0"/>
          <w:sz w:val="24"/>
          <w:szCs w:val="24"/>
          <w:u w:val="single"/>
          <w:lang w:val="en-US" w:eastAsia="zh-CN" w:bidi="ar-SA"/>
          <w14:textFill>
            <w14:solidFill>
              <w14:schemeClr w14:val="tx1"/>
            </w14:solidFill>
          </w14:textFill>
        </w:rPr>
        <w:t xml:space="preserve"> </w:t>
      </w:r>
      <w:r>
        <w:rPr>
          <w:rFonts w:hint="eastAsia" w:ascii="仿宋_GB2312" w:eastAsia="仿宋_GB2312" w:cs="仿宋_GB2312"/>
          <w:bCs/>
          <w:color w:val="000000" w:themeColor="text1"/>
          <w:kern w:val="0"/>
          <w:sz w:val="24"/>
          <w:szCs w:val="24"/>
          <w:u w:val="single"/>
          <w:lang w:val="en-US" w:eastAsia="zh-CN" w:bidi="ar-SA"/>
          <w14:textFill>
            <w14:solidFill>
              <w14:schemeClr w14:val="tx1"/>
            </w14:solidFill>
          </w14:textFill>
        </w:rPr>
        <w:t xml:space="preserve"> /  </w:t>
      </w:r>
      <w:r>
        <w:rPr>
          <w:rFonts w:hint="eastAsia" w:ascii="仿宋_GB2312" w:eastAsia="仿宋_GB2312" w:cs="仿宋_GB2312"/>
          <w:bCs/>
          <w:color w:val="000000" w:themeColor="text1"/>
          <w:kern w:val="0"/>
          <w:sz w:val="24"/>
          <w:szCs w:val="24"/>
          <w:u w:val="none"/>
          <w:lang w:val="en-US" w:eastAsia="zh-CN" w:bidi="ar-SA"/>
          <w14:textFill>
            <w14:solidFill>
              <w14:schemeClr w14:val="tx1"/>
            </w14:solidFill>
          </w14:textFill>
        </w:rPr>
        <w:t>，专门负责与乙方联络。</w:t>
      </w:r>
    </w:p>
    <w:p w14:paraId="7D0D6182">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仿宋_GB2312" w:eastAsia="仿宋_GB2312" w:cs="仿宋_GB2312"/>
          <w:b/>
          <w:bCs w:val="0"/>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
          <w:bCs w:val="0"/>
          <w:color w:val="000000" w:themeColor="text1"/>
          <w:kern w:val="0"/>
          <w:sz w:val="24"/>
          <w:szCs w:val="24"/>
          <w:lang w:val="en-US" w:eastAsia="zh-CN" w:bidi="ar-SA"/>
          <w14:textFill>
            <w14:solidFill>
              <w14:schemeClr w14:val="tx1"/>
            </w14:solidFill>
          </w14:textFill>
        </w:rPr>
        <w:t>第五条 乙方的其他权利和义务</w:t>
      </w:r>
    </w:p>
    <w:p w14:paraId="29F8E2E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5.1</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 xml:space="preserve"> </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如果</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乙方提供的平台</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在</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维保</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期内出现不符合合同</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约定</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或产品说明书所述软件功能标准的问题，乙方应免费修复软件缺陷。对于缺陷软件，甲方有权要求乙方采用补丁软件进行修复或提供升级软件予以更换</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，甲方不承担任何违约责任，由乙方承担因缺陷问题所产生的全部法律责任和经济赔偿</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w:t>
      </w:r>
    </w:p>
    <w:p w14:paraId="0B4E000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5.2</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 xml:space="preserve"> 乙方应确保软件安装、调试、升级、维护等需遵守《中华人民共和国个人信息保护法》《中华人民共和国数据安全法》《中华人民共和国网络安全法》等相关法律制度。不存在任何安全隐患，在提供软件技术服务中不得设置任何恶意内容，不得植入任何病毒、非法脚本或进行其他损害网络安全的行为，否则乙方须赔偿给甲方造成的全部经济损失，并承担法律责任。如乙方在现场服务过程中要使用自带电脑或其他移动存储设备，必须在甲方现场作防病毒处理。甲方负责对此过程进行监督确认。</w:t>
      </w:r>
    </w:p>
    <w:p w14:paraId="6FBB864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5.3</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 xml:space="preserve"> 乙方保证已拥有合同软件自主知识产权，不会引发任何知识产权纠纷，如甲方因使用软件引发知识产权纠纷、诉讼，乙方承担全部法律责任和经济赔偿</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（包括甲方因此而支付的赔偿款、补偿款、诉讼费、差旅费、律师费等相关所有费用）</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w:t>
      </w:r>
    </w:p>
    <w:p w14:paraId="485488C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5.4</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 xml:space="preserve"> 乙方工作人员</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须</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遵守甲方管理制度，确保网络系统安全，信息数据安全。</w:t>
      </w:r>
    </w:p>
    <w:p w14:paraId="325DF8B4">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仿宋_GB2312" w:hAnsi="Times New Roman" w:eastAsia="仿宋_GB2312" w:cs="仿宋_GB2312"/>
          <w:b/>
          <w:bCs w:val="0"/>
          <w:color w:val="000000" w:themeColor="text1"/>
          <w:kern w:val="0"/>
          <w:sz w:val="24"/>
          <w:szCs w:val="24"/>
          <w:lang w:val="en-US" w:eastAsia="zh-CN" w:bidi="ar-SA"/>
          <w14:textFill>
            <w14:solidFill>
              <w14:schemeClr w14:val="tx1"/>
            </w14:solidFill>
          </w14:textFill>
        </w:rPr>
      </w:pPr>
      <w:r>
        <w:rPr>
          <w:rFonts w:hint="eastAsia" w:ascii="仿宋_GB2312" w:hAnsi="Times New Roman" w:eastAsia="仿宋_GB2312" w:cs="仿宋_GB2312"/>
          <w:b/>
          <w:bCs w:val="0"/>
          <w:color w:val="000000" w:themeColor="text1"/>
          <w:kern w:val="0"/>
          <w:sz w:val="24"/>
          <w:szCs w:val="24"/>
          <w:lang w:val="en-US" w:eastAsia="zh-CN" w:bidi="ar-SA"/>
          <w14:textFill>
            <w14:solidFill>
              <w14:schemeClr w14:val="tx1"/>
            </w14:solidFill>
          </w14:textFill>
        </w:rPr>
        <w:t>第</w:t>
      </w:r>
      <w:r>
        <w:rPr>
          <w:rFonts w:hint="eastAsia" w:ascii="仿宋_GB2312" w:eastAsia="仿宋_GB2312" w:cs="仿宋_GB2312"/>
          <w:b/>
          <w:bCs w:val="0"/>
          <w:color w:val="000000" w:themeColor="text1"/>
          <w:kern w:val="0"/>
          <w:sz w:val="24"/>
          <w:szCs w:val="24"/>
          <w:lang w:val="en-US" w:eastAsia="zh-CN" w:bidi="ar-SA"/>
          <w14:textFill>
            <w14:solidFill>
              <w14:schemeClr w14:val="tx1"/>
            </w14:solidFill>
          </w14:textFill>
        </w:rPr>
        <w:t>六</w:t>
      </w:r>
      <w:r>
        <w:rPr>
          <w:rFonts w:hint="eastAsia" w:ascii="仿宋_GB2312" w:hAnsi="Times New Roman" w:eastAsia="仿宋_GB2312" w:cs="仿宋_GB2312"/>
          <w:b/>
          <w:bCs w:val="0"/>
          <w:color w:val="000000" w:themeColor="text1"/>
          <w:kern w:val="0"/>
          <w:sz w:val="24"/>
          <w:szCs w:val="24"/>
          <w:lang w:val="en-US" w:eastAsia="zh-CN" w:bidi="ar-SA"/>
          <w14:textFill>
            <w14:solidFill>
              <w14:schemeClr w14:val="tx1"/>
            </w14:solidFill>
          </w14:textFill>
        </w:rPr>
        <w:t>条 廉政条款</w:t>
      </w:r>
    </w:p>
    <w:p w14:paraId="057CAFD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6</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.1 乙方应严格遵守国家相关法律法规，涉及合同的有关业务活动必须坚持公开、公平、公正、诚信原则，不得为获取不正当利益，损害国家、集体和甲方利益。</w:t>
      </w:r>
    </w:p>
    <w:p w14:paraId="0CD6FE8C">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仿宋_GB2312" w:hAnsi="Times New Roman" w:eastAsia="仿宋_GB2312" w:cs="仿宋_GB2312"/>
          <w:b/>
          <w:bCs w:val="0"/>
          <w:color w:val="000000" w:themeColor="text1"/>
          <w:kern w:val="0"/>
          <w:sz w:val="24"/>
          <w:szCs w:val="24"/>
          <w:u w:val="single"/>
          <w:lang w:val="en-US" w:eastAsia="zh-CN" w:bidi="ar-SA"/>
          <w14:textFill>
            <w14:solidFill>
              <w14:schemeClr w14:val="tx1"/>
            </w14:solidFill>
          </w14:textFill>
        </w:rPr>
      </w:pPr>
      <w:r>
        <w:rPr>
          <w:rFonts w:hint="eastAsia" w:ascii="仿宋_GB2312" w:eastAsia="仿宋_GB2312" w:cs="仿宋_GB2312"/>
          <w:b/>
          <w:bCs w:val="0"/>
          <w:color w:val="000000" w:themeColor="text1"/>
          <w:kern w:val="0"/>
          <w:sz w:val="24"/>
          <w:szCs w:val="24"/>
          <w:u w:val="single"/>
          <w:lang w:val="en-US" w:eastAsia="zh-CN" w:bidi="ar-SA"/>
          <w14:textFill>
            <w14:solidFill>
              <w14:schemeClr w14:val="tx1"/>
            </w14:solidFill>
          </w14:textFill>
        </w:rPr>
        <w:t>6</w:t>
      </w:r>
      <w:r>
        <w:rPr>
          <w:rFonts w:hint="eastAsia" w:ascii="仿宋_GB2312" w:hAnsi="Times New Roman" w:eastAsia="仿宋_GB2312" w:cs="仿宋_GB2312"/>
          <w:b/>
          <w:bCs w:val="0"/>
          <w:color w:val="000000" w:themeColor="text1"/>
          <w:kern w:val="0"/>
          <w:sz w:val="24"/>
          <w:szCs w:val="24"/>
          <w:u w:val="single"/>
          <w:lang w:val="en-US" w:eastAsia="zh-CN" w:bidi="ar-SA"/>
          <w14:textFill>
            <w14:solidFill>
              <w14:schemeClr w14:val="tx1"/>
            </w14:solidFill>
          </w14:textFill>
        </w:rPr>
        <w:t>.2 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r>
        <w:rPr>
          <w:rFonts w:hint="eastAsia" w:ascii="仿宋_GB2312" w:hAnsi="Times New Roman" w:eastAsia="仿宋_GB2312" w:cs="仿宋_GB2312"/>
          <w:b/>
          <w:bCs w:val="0"/>
          <w:color w:val="000000" w:themeColor="text1"/>
          <w:kern w:val="0"/>
          <w:sz w:val="24"/>
          <w:szCs w:val="24"/>
          <w:u w:val="none"/>
          <w:lang w:val="en-US" w:eastAsia="zh-CN" w:bidi="ar-SA"/>
          <w14:textFill>
            <w14:solidFill>
              <w14:schemeClr w14:val="tx1"/>
            </w14:solidFill>
          </w14:textFill>
        </w:rPr>
        <w:t>。</w:t>
      </w:r>
    </w:p>
    <w:p w14:paraId="00774EF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仿宋_GB2312" w:hAnsi="Times New Roman" w:eastAsia="仿宋_GB2312" w:cs="仿宋_GB2312"/>
          <w:b/>
          <w:bCs w:val="0"/>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
          <w:bCs w:val="0"/>
          <w:color w:val="000000" w:themeColor="text1"/>
          <w:kern w:val="0"/>
          <w:sz w:val="24"/>
          <w:szCs w:val="24"/>
          <w:lang w:val="en-US" w:eastAsia="zh-CN" w:bidi="ar-SA"/>
          <w14:textFill>
            <w14:solidFill>
              <w14:schemeClr w14:val="tx1"/>
            </w14:solidFill>
          </w14:textFill>
        </w:rPr>
        <w:t>第七条 合同金额及支付方式</w:t>
      </w:r>
    </w:p>
    <w:p w14:paraId="6ED777F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7</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.1</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 xml:space="preserve"> 本合同价格为固定价格，费用总计人民币</w:t>
      </w:r>
      <w:r>
        <w:rPr>
          <w:rFonts w:hint="eastAsia" w:ascii="仿宋_GB2312" w:eastAsia="仿宋_GB2312" w:cs="仿宋_GB2312"/>
          <w:bCs/>
          <w:color w:val="000000" w:themeColor="text1"/>
          <w:kern w:val="0"/>
          <w:sz w:val="24"/>
          <w:szCs w:val="24"/>
          <w:u w:val="single"/>
          <w:lang w:val="en-US" w:eastAsia="zh-CN" w:bidi="ar-SA"/>
          <w14:textFill>
            <w14:solidFill>
              <w14:schemeClr w14:val="tx1"/>
            </w14:solidFill>
          </w14:textFill>
        </w:rPr>
        <w:t xml:space="preserve">        </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元整（小写：</w:t>
      </w:r>
      <w:r>
        <w:rPr>
          <w:rFonts w:hint="eastAsia" w:ascii="仿宋_GB2312" w:eastAsia="仿宋_GB2312" w:cs="仿宋_GB2312"/>
          <w:bCs/>
          <w:color w:val="000000" w:themeColor="text1"/>
          <w:kern w:val="0"/>
          <w:sz w:val="24"/>
          <w:szCs w:val="24"/>
          <w:u w:val="single"/>
          <w:lang w:val="en-US" w:eastAsia="zh-CN" w:bidi="ar-SA"/>
          <w14:textFill>
            <w14:solidFill>
              <w14:schemeClr w14:val="tx1"/>
            </w14:solidFill>
          </w14:textFill>
        </w:rPr>
        <w:t xml:space="preserve">      </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元），已包含软件许可使用费、接口费、服务费、运输费、包装费、保险费、装卸费、搬运费、安装调试费、安装材料费、培训费、售后服务费、软件升级费用、税费等全部费用，甲方不再就本合同约定范围内的内容向乙方额外支付任何其他费用。</w:t>
      </w:r>
    </w:p>
    <w:p w14:paraId="47195C4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7</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.2</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 xml:space="preserve"> </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甲方通过银行转账</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方式分次</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支付至乙方银行指定收款账</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户：</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自项目验收通过之日起30日内，向乙方支付价款总额</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9</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0%即人民币</w:t>
      </w:r>
      <w:r>
        <w:rPr>
          <w:rFonts w:hint="eastAsia" w:ascii="仿宋_GB2312" w:hAnsi="Times New Roman" w:eastAsia="仿宋_GB2312" w:cs="仿宋_GB2312"/>
          <w:bCs/>
          <w:color w:val="000000" w:themeColor="text1"/>
          <w:kern w:val="0"/>
          <w:sz w:val="24"/>
          <w:szCs w:val="24"/>
          <w:u w:val="single"/>
          <w:lang w:val="en-US" w:eastAsia="zh-CN" w:bidi="ar-SA"/>
          <w14:textFill>
            <w14:solidFill>
              <w14:schemeClr w14:val="tx1"/>
            </w14:solidFill>
          </w14:textFill>
        </w:rPr>
        <w:t xml:space="preserve"> </w:t>
      </w:r>
      <w:r>
        <w:rPr>
          <w:rFonts w:hint="eastAsia" w:ascii="仿宋_GB2312" w:eastAsia="仿宋_GB2312" w:cs="仿宋_GB2312"/>
          <w:bCs/>
          <w:color w:val="000000" w:themeColor="text1"/>
          <w:kern w:val="0"/>
          <w:sz w:val="24"/>
          <w:szCs w:val="24"/>
          <w:u w:val="single"/>
          <w:lang w:val="en-US" w:eastAsia="zh-CN" w:bidi="ar-SA"/>
          <w14:textFill>
            <w14:solidFill>
              <w14:schemeClr w14:val="tx1"/>
            </w14:solidFill>
          </w14:textFill>
        </w:rPr>
        <w:t xml:space="preserve">    </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元整（小写：</w:t>
      </w:r>
      <w:r>
        <w:rPr>
          <w:rFonts w:hint="eastAsia" w:ascii="仿宋_GB2312" w:hAnsi="Times New Roman" w:eastAsia="仿宋_GB2312" w:cs="仿宋_GB2312"/>
          <w:bCs/>
          <w:color w:val="000000" w:themeColor="text1"/>
          <w:kern w:val="0"/>
          <w:sz w:val="24"/>
          <w:szCs w:val="24"/>
          <w:u w:val="single"/>
          <w:lang w:val="en-US" w:eastAsia="zh-CN" w:bidi="ar-SA"/>
          <w14:textFill>
            <w14:solidFill>
              <w14:schemeClr w14:val="tx1"/>
            </w14:solidFill>
          </w14:textFill>
        </w:rPr>
        <w:t xml:space="preserve">  </w:t>
      </w:r>
      <w:r>
        <w:rPr>
          <w:rFonts w:hint="eastAsia" w:ascii="仿宋_GB2312" w:eastAsia="仿宋_GB2312" w:cs="仿宋_GB2312"/>
          <w:bCs/>
          <w:color w:val="000000" w:themeColor="text1"/>
          <w:kern w:val="0"/>
          <w:sz w:val="24"/>
          <w:szCs w:val="24"/>
          <w:u w:val="single"/>
          <w:lang w:val="en-US" w:eastAsia="zh-CN" w:bidi="ar-SA"/>
          <w14:textFill>
            <w14:solidFill>
              <w14:schemeClr w14:val="tx1"/>
            </w14:solidFill>
          </w14:textFill>
        </w:rPr>
        <w:t xml:space="preserve">    </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元）；项目验收通过之日起满</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3</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年后的30日内，向乙方</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免息</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支付价款剩余10%即人民币</w:t>
      </w:r>
      <w:r>
        <w:rPr>
          <w:rFonts w:hint="eastAsia" w:ascii="仿宋_GB2312" w:hAnsi="Times New Roman" w:eastAsia="仿宋_GB2312" w:cs="仿宋_GB2312"/>
          <w:bCs/>
          <w:color w:val="000000" w:themeColor="text1"/>
          <w:kern w:val="0"/>
          <w:sz w:val="24"/>
          <w:szCs w:val="24"/>
          <w:u w:val="single"/>
          <w:lang w:val="en-US" w:eastAsia="zh-CN" w:bidi="ar-SA"/>
          <w14:textFill>
            <w14:solidFill>
              <w14:schemeClr w14:val="tx1"/>
            </w14:solidFill>
          </w14:textFill>
        </w:rPr>
        <w:t xml:space="preserve"> </w:t>
      </w:r>
      <w:r>
        <w:rPr>
          <w:rFonts w:hint="eastAsia" w:ascii="仿宋_GB2312" w:eastAsia="仿宋_GB2312" w:cs="仿宋_GB2312"/>
          <w:bCs/>
          <w:color w:val="000000" w:themeColor="text1"/>
          <w:kern w:val="0"/>
          <w:sz w:val="24"/>
          <w:szCs w:val="24"/>
          <w:u w:val="single"/>
          <w:lang w:val="en-US" w:eastAsia="zh-CN" w:bidi="ar-SA"/>
          <w14:textFill>
            <w14:solidFill>
              <w14:schemeClr w14:val="tx1"/>
            </w14:solidFill>
          </w14:textFill>
        </w:rPr>
        <w:t xml:space="preserve">  </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元整（小写：</w:t>
      </w:r>
      <w:r>
        <w:rPr>
          <w:rFonts w:hint="eastAsia" w:ascii="仿宋_GB2312" w:hAnsi="Times New Roman" w:eastAsia="仿宋_GB2312" w:cs="仿宋_GB2312"/>
          <w:bCs/>
          <w:color w:val="000000" w:themeColor="text1"/>
          <w:kern w:val="0"/>
          <w:sz w:val="24"/>
          <w:szCs w:val="24"/>
          <w:u w:val="single"/>
          <w:lang w:val="en-US" w:eastAsia="zh-CN" w:bidi="ar-SA"/>
          <w14:textFill>
            <w14:solidFill>
              <w14:schemeClr w14:val="tx1"/>
            </w14:solidFill>
          </w14:textFill>
        </w:rPr>
        <w:t xml:space="preserve"> </w:t>
      </w:r>
      <w:r>
        <w:rPr>
          <w:rFonts w:hint="eastAsia" w:ascii="仿宋_GB2312" w:eastAsia="仿宋_GB2312" w:cs="仿宋_GB2312"/>
          <w:bCs/>
          <w:color w:val="000000" w:themeColor="text1"/>
          <w:kern w:val="0"/>
          <w:sz w:val="24"/>
          <w:szCs w:val="24"/>
          <w:u w:val="single"/>
          <w:lang w:val="en-US" w:eastAsia="zh-CN" w:bidi="ar-SA"/>
          <w14:textFill>
            <w14:solidFill>
              <w14:schemeClr w14:val="tx1"/>
            </w14:solidFill>
          </w14:textFill>
        </w:rPr>
        <w:t xml:space="preserve">    </w:t>
      </w:r>
      <w:r>
        <w:rPr>
          <w:rFonts w:hint="eastAsia" w:ascii="仿宋_GB2312" w:hAnsi="Times New Roman" w:eastAsia="仿宋_GB2312" w:cs="仿宋_GB2312"/>
          <w:bCs/>
          <w:color w:val="000000" w:themeColor="text1"/>
          <w:kern w:val="0"/>
          <w:sz w:val="24"/>
          <w:szCs w:val="24"/>
          <w:u w:val="single"/>
          <w:lang w:val="en-US" w:eastAsia="zh-CN" w:bidi="ar-SA"/>
          <w14:textFill>
            <w14:solidFill>
              <w14:schemeClr w14:val="tx1"/>
            </w14:solidFill>
          </w14:textFill>
        </w:rPr>
        <w:t xml:space="preserve"> </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 xml:space="preserve">元）。 </w:t>
      </w:r>
    </w:p>
    <w:p w14:paraId="0BCA396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7</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.3 乙方应在甲方</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首次</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支付前提供以自己名义开具的全额增值税普通发票</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。如乙方未提供发票，甲方有权顺延付款，由此产生的全部责任均由乙方承担。</w:t>
      </w:r>
    </w:p>
    <w:p w14:paraId="18A91C0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7</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.4 乙方指定收款账户为：</w:t>
      </w:r>
    </w:p>
    <w:p w14:paraId="5F4F21F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仿宋_GB2312" w:hAnsi="Times New Roman" w:eastAsia="仿宋_GB2312" w:cs="仿宋_GB2312"/>
          <w:bCs/>
          <w:color w:val="000000" w:themeColor="text1"/>
          <w:kern w:val="0"/>
          <w:sz w:val="24"/>
          <w:szCs w:val="24"/>
          <w:u w:val="single"/>
          <w:lang w:val="en-US" w:eastAsia="zh-CN" w:bidi="ar-SA"/>
          <w14:textFill>
            <w14:solidFill>
              <w14:schemeClr w14:val="tx1"/>
            </w14:solidFill>
          </w14:textFill>
        </w:rPr>
      </w:pP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开户名：</w:t>
      </w:r>
      <w:r>
        <w:rPr>
          <w:rFonts w:hint="eastAsia" w:ascii="仿宋_GB2312" w:eastAsia="仿宋_GB2312" w:cs="仿宋_GB2312"/>
          <w:bCs/>
          <w:color w:val="000000" w:themeColor="text1"/>
          <w:kern w:val="0"/>
          <w:sz w:val="24"/>
          <w:szCs w:val="24"/>
          <w:u w:val="single"/>
          <w:lang w:val="en-US" w:eastAsia="zh-CN" w:bidi="ar-SA"/>
          <w14:textFill>
            <w14:solidFill>
              <w14:schemeClr w14:val="tx1"/>
            </w14:solidFill>
          </w14:textFill>
        </w:rPr>
        <w:t xml:space="preserve">                      </w:t>
      </w:r>
    </w:p>
    <w:p w14:paraId="31F1E55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仿宋_GB2312" w:hAnsi="Times New Roman" w:eastAsia="仿宋_GB2312" w:cs="仿宋_GB2312"/>
          <w:bCs/>
          <w:color w:val="000000" w:themeColor="text1"/>
          <w:kern w:val="0"/>
          <w:sz w:val="24"/>
          <w:szCs w:val="24"/>
          <w:u w:val="single"/>
          <w:lang w:val="en-US" w:eastAsia="zh-CN" w:bidi="ar-SA"/>
          <w14:textFill>
            <w14:solidFill>
              <w14:schemeClr w14:val="tx1"/>
            </w14:solidFill>
          </w14:textFill>
        </w:rPr>
      </w:pP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开户行：</w:t>
      </w:r>
      <w:r>
        <w:rPr>
          <w:rFonts w:hint="eastAsia" w:ascii="仿宋_GB2312" w:eastAsia="仿宋_GB2312" w:cs="仿宋_GB2312"/>
          <w:bCs/>
          <w:color w:val="000000" w:themeColor="text1"/>
          <w:kern w:val="0"/>
          <w:sz w:val="24"/>
          <w:szCs w:val="24"/>
          <w:u w:val="single"/>
          <w:lang w:val="en-US" w:eastAsia="zh-CN" w:bidi="ar-SA"/>
          <w14:textFill>
            <w14:solidFill>
              <w14:schemeClr w14:val="tx1"/>
            </w14:solidFill>
          </w14:textFill>
        </w:rPr>
        <w:t xml:space="preserve">                      </w:t>
      </w:r>
    </w:p>
    <w:p w14:paraId="4195196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仿宋_GB2312" w:hAnsi="Times New Roman" w:eastAsia="仿宋_GB2312" w:cs="仿宋_GB2312"/>
          <w:bCs/>
          <w:color w:val="000000" w:themeColor="text1"/>
          <w:kern w:val="0"/>
          <w:sz w:val="24"/>
          <w:szCs w:val="24"/>
          <w:u w:val="single"/>
          <w:lang w:val="en-US" w:eastAsia="zh-CN" w:bidi="ar-SA"/>
          <w14:textFill>
            <w14:solidFill>
              <w14:schemeClr w14:val="tx1"/>
            </w14:solidFill>
          </w14:textFill>
        </w:rPr>
      </w:pP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账  号：</w:t>
      </w:r>
      <w:r>
        <w:rPr>
          <w:rFonts w:hint="eastAsia" w:ascii="仿宋_GB2312" w:eastAsia="仿宋_GB2312" w:cs="仿宋_GB2312"/>
          <w:bCs/>
          <w:color w:val="000000" w:themeColor="text1"/>
          <w:kern w:val="0"/>
          <w:sz w:val="24"/>
          <w:szCs w:val="24"/>
          <w:u w:val="single"/>
          <w:lang w:val="en-US" w:eastAsia="zh-CN" w:bidi="ar-SA"/>
          <w14:textFill>
            <w14:solidFill>
              <w14:schemeClr w14:val="tx1"/>
            </w14:solidFill>
          </w14:textFill>
        </w:rPr>
        <w:t xml:space="preserve">                      </w:t>
      </w:r>
    </w:p>
    <w:p w14:paraId="362F6B4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仿宋_GB2312" w:hAnsi="Times New Roman" w:eastAsia="仿宋_GB2312" w:cs="仿宋_GB2312"/>
          <w:b/>
          <w:bCs w:val="0"/>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
          <w:bCs w:val="0"/>
          <w:color w:val="000000" w:themeColor="text1"/>
          <w:kern w:val="0"/>
          <w:sz w:val="24"/>
          <w:szCs w:val="24"/>
          <w:lang w:val="en-US" w:eastAsia="zh-CN" w:bidi="ar-SA"/>
          <w14:textFill>
            <w14:solidFill>
              <w14:schemeClr w14:val="tx1"/>
            </w14:solidFill>
          </w14:textFill>
        </w:rPr>
        <w:t>第八条 保密义务</w:t>
      </w:r>
    </w:p>
    <w:p w14:paraId="09A5EF0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8</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.1</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 xml:space="preserve"> </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双方在磋商、签订、履行本合同过程中知晓的任何形式的信息、资料、数据（以下合称“保密信息”），双方约定如下：</w:t>
      </w:r>
    </w:p>
    <w:p w14:paraId="21E7837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8</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.1.1 未经任意一方书面同意，不得将保密信息用于任何非本合同之目的用途。</w:t>
      </w:r>
    </w:p>
    <w:p w14:paraId="01C29CC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8</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.1.2 未经任意一方书面同意，不得将保密信息透露给任何第三方。不得允许（出借、赠予、出租、转让等处理保密信息的行为皆属于“允许”）或协助未经授权的第三方使用保密信息。</w:t>
      </w:r>
    </w:p>
    <w:p w14:paraId="00B909E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8</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.1.3 乙方保证对甲方提供的保密信息予以妥善保存，并至少采取适用于对自己的保密信息同样的保护措施和审慎程度进行保密。</w:t>
      </w:r>
    </w:p>
    <w:p w14:paraId="1C0BA57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8</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.1.4 乙方不得刺探与本身业务无关的甲方保密信息。</w:t>
      </w:r>
    </w:p>
    <w:p w14:paraId="3542786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8</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.1.5 乙方向甲方提供从甲方获取的保密信息的保密密级及知悉保密信息的范围，在乙方上述人员知悉该保密信息前，应向其提示保密信息的保密性和应承担的义务，并保证上述人员以书面形式同意接受保密条款的约束，确保上述人员承担保密责任的程度不低于本合同规定的程度。</w:t>
      </w:r>
    </w:p>
    <w:p w14:paraId="0220A93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8</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.1.6 项目终止后，乙方应立即将甲方的保密信息全部载体归还甲方，或根据甲方的要求予以销毁，不得以任何形式保留原件或备份。</w:t>
      </w:r>
    </w:p>
    <w:p w14:paraId="37DAA72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8</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.1.7 若乙方与第三方合并、被第三方兼并或被第三方直接或间接控制，不得向该第三方披露任何甲方的保密信息。乙方应立即将甲方的保密信息全部载体归还甲方，或根据甲方的要求予以销毁，不得以任何形式保留原件或备份。但如事先获得甲方的书面同意，乙方可继续使用该保密信息。</w:t>
      </w:r>
    </w:p>
    <w:p w14:paraId="7C12993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8</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.1.8 如果乙方被要求向政府部门、法院或其他有权部门提供保密信息，乙方在可能的情况下，应立即向甲方予以通报。</w:t>
      </w:r>
    </w:p>
    <w:p w14:paraId="5FBF226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8</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.1.9 任何保密信息的获取并不意味着授予乙方任何有关甲方所有的专利权或版权，也不意味着授予乙方有关甲方保密信息的任何权利，除了乙方有权为履行其在合同项目下的义务合理使用甲方提供的保密信息。</w:t>
      </w:r>
    </w:p>
    <w:p w14:paraId="4AD7111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8</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.1.10 保密义务同样适用于有关未经注册或未被授予专利权的发明的文件和信息。因对本协议所指保密信息的使用而直接或间接产生的知识产权方面的权利由双方当事人协商决定其归属。</w:t>
      </w:r>
    </w:p>
    <w:p w14:paraId="2C80A8D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hAnsi="Times New Roman" w:eastAsia="仿宋_GB2312" w:cs="仿宋_GB2312"/>
          <w:b w:val="0"/>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 w:val="0"/>
          <w:bCs/>
          <w:color w:val="000000" w:themeColor="text1"/>
          <w:kern w:val="0"/>
          <w:sz w:val="24"/>
          <w:szCs w:val="24"/>
          <w:lang w:val="en-US" w:eastAsia="zh-CN" w:bidi="ar-SA"/>
          <w14:textFill>
            <w14:solidFill>
              <w14:schemeClr w14:val="tx1"/>
            </w14:solidFill>
          </w14:textFill>
        </w:rPr>
        <w:t>8</w:t>
      </w:r>
      <w:r>
        <w:rPr>
          <w:rFonts w:hint="eastAsia" w:ascii="仿宋_GB2312" w:hAnsi="Times New Roman" w:eastAsia="仿宋_GB2312" w:cs="仿宋_GB2312"/>
          <w:b w:val="0"/>
          <w:bCs/>
          <w:color w:val="000000" w:themeColor="text1"/>
          <w:kern w:val="0"/>
          <w:sz w:val="24"/>
          <w:szCs w:val="24"/>
          <w:lang w:val="en-US" w:eastAsia="zh-CN" w:bidi="ar-SA"/>
          <w14:textFill>
            <w14:solidFill>
              <w14:schemeClr w14:val="tx1"/>
            </w14:solidFill>
          </w14:textFill>
        </w:rPr>
        <w:t>.2 本合同中所说“保密信息”指如下信息：</w:t>
      </w:r>
    </w:p>
    <w:p w14:paraId="1A67F0C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8</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.2.1 双方就合同订立、履行、变更等产生的研究、商讨、交流等信息。</w:t>
      </w:r>
    </w:p>
    <w:p w14:paraId="74FD16C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8</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.2.2 与甲方有关为乙方知晓、保存或可能上传、交换的信息，包括但不限于如下：</w:t>
      </w:r>
    </w:p>
    <w:p w14:paraId="51BE214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8</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.2.2.1 技术信息：包括涉及甲方信息化建设中的技术信息，包括软件技术、数据、管理文件等；</w:t>
      </w:r>
    </w:p>
    <w:p w14:paraId="51DBEB0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8</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.2.2.2 人事信息：包括涉及甲方的人事档案、薪酬及考核等人力资源管理信息；</w:t>
      </w:r>
    </w:p>
    <w:p w14:paraId="7D6D615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8</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.2.2.3 医院运行信息：包括涉及甲方业务运行的各种信息，医院经营方向、经营决策、定价政策以及内部掌握的合同、协议、项目方案等；</w:t>
      </w:r>
    </w:p>
    <w:p w14:paraId="5675CBA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8</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.2.2.4 财务信息：包括涉及甲方的各项财务报表、成本及预算报告、员工工资等；</w:t>
      </w:r>
    </w:p>
    <w:p w14:paraId="00DE23B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8</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.2.2.5 患者信息：包括涉及甲方门诊、住院患者的相关诊疗信息，如患者基本信息、诊疗计划、病历信息、费用信息、处方等；</w:t>
      </w:r>
    </w:p>
    <w:p w14:paraId="6027E9F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8</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.2.2.6 应当予以保密的商业秘密、个人隐私等信息。</w:t>
      </w:r>
    </w:p>
    <w:p w14:paraId="0334797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8</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.3 本合同约定的保密信息为永久绝对保密，保密条款在本合同终止后仍然有效。</w:t>
      </w:r>
    </w:p>
    <w:p w14:paraId="3D2DBA4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仿宋_GB2312" w:hAnsi="Times New Roman" w:eastAsia="仿宋_GB2312" w:cs="仿宋_GB2312"/>
          <w:b/>
          <w:bCs w:val="0"/>
          <w:color w:val="000000" w:themeColor="text1"/>
          <w:kern w:val="0"/>
          <w:sz w:val="24"/>
          <w:szCs w:val="24"/>
          <w:lang w:val="en-US" w:eastAsia="zh-CN" w:bidi="ar-SA"/>
          <w14:textFill>
            <w14:solidFill>
              <w14:schemeClr w14:val="tx1"/>
            </w14:solidFill>
          </w14:textFill>
        </w:rPr>
      </w:pPr>
      <w:r>
        <w:rPr>
          <w:rFonts w:hint="eastAsia" w:ascii="仿宋_GB2312" w:hAnsi="Times New Roman" w:eastAsia="仿宋_GB2312" w:cs="仿宋_GB2312"/>
          <w:b/>
          <w:bCs w:val="0"/>
          <w:color w:val="000000" w:themeColor="text1"/>
          <w:kern w:val="0"/>
          <w:sz w:val="24"/>
          <w:szCs w:val="24"/>
          <w:lang w:val="en-US" w:eastAsia="zh-CN" w:bidi="ar-SA"/>
          <w14:textFill>
            <w14:solidFill>
              <w14:schemeClr w14:val="tx1"/>
            </w14:solidFill>
          </w14:textFill>
        </w:rPr>
        <w:t>第</w:t>
      </w:r>
      <w:r>
        <w:rPr>
          <w:rFonts w:hint="eastAsia" w:ascii="仿宋_GB2312" w:eastAsia="仿宋_GB2312" w:cs="仿宋_GB2312"/>
          <w:b/>
          <w:bCs w:val="0"/>
          <w:color w:val="000000" w:themeColor="text1"/>
          <w:kern w:val="0"/>
          <w:sz w:val="24"/>
          <w:szCs w:val="24"/>
          <w:lang w:val="en-US" w:eastAsia="zh-CN" w:bidi="ar-SA"/>
          <w14:textFill>
            <w14:solidFill>
              <w14:schemeClr w14:val="tx1"/>
            </w14:solidFill>
          </w14:textFill>
        </w:rPr>
        <w:t>九</w:t>
      </w:r>
      <w:r>
        <w:rPr>
          <w:rFonts w:hint="eastAsia" w:ascii="仿宋_GB2312" w:hAnsi="Times New Roman" w:eastAsia="仿宋_GB2312" w:cs="仿宋_GB2312"/>
          <w:b/>
          <w:bCs w:val="0"/>
          <w:color w:val="000000" w:themeColor="text1"/>
          <w:kern w:val="0"/>
          <w:sz w:val="24"/>
          <w:szCs w:val="24"/>
          <w:lang w:val="en-US" w:eastAsia="zh-CN" w:bidi="ar-SA"/>
          <w14:textFill>
            <w14:solidFill>
              <w14:schemeClr w14:val="tx1"/>
            </w14:solidFill>
          </w14:textFill>
        </w:rPr>
        <w:t>条 风险承担</w:t>
      </w:r>
    </w:p>
    <w:p w14:paraId="7E4C356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9</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.1 乙方履行本合同过程中发生事故，包括但不限于在运输、装卸、安装及调试过程中发生事故，给甲方、乙方或第三方人身、财产造成的所有损失，均由乙方负责处理和承担全部法律责任、经济赔偿。</w:t>
      </w:r>
    </w:p>
    <w:p w14:paraId="0290467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9</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.2 硬件毁损、丢失的风险自甲方在总体验收报告单上签字确认合格后转移给甲方，此前的一切风险均由乙方承担。</w:t>
      </w:r>
    </w:p>
    <w:p w14:paraId="348C4892">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仿宋_GB2312" w:hAnsi="Times New Roman" w:eastAsia="仿宋_GB2312" w:cs="仿宋_GB2312"/>
          <w:b/>
          <w:bCs w:val="0"/>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
          <w:bCs w:val="0"/>
          <w:color w:val="000000" w:themeColor="text1"/>
          <w:kern w:val="0"/>
          <w:sz w:val="24"/>
          <w:szCs w:val="24"/>
          <w:lang w:val="en-US" w:eastAsia="zh-CN" w:bidi="ar-SA"/>
          <w14:textFill>
            <w14:solidFill>
              <w14:schemeClr w14:val="tx1"/>
            </w14:solidFill>
          </w14:textFill>
        </w:rPr>
        <w:t xml:space="preserve">第十条 </w:t>
      </w:r>
      <w:r>
        <w:rPr>
          <w:rFonts w:hint="eastAsia" w:ascii="仿宋_GB2312" w:hAnsi="Times New Roman" w:eastAsia="仿宋_GB2312" w:cs="仿宋_GB2312"/>
          <w:b/>
          <w:bCs w:val="0"/>
          <w:color w:val="000000" w:themeColor="text1"/>
          <w:kern w:val="0"/>
          <w:sz w:val="24"/>
          <w:szCs w:val="24"/>
          <w:lang w:val="en-US" w:eastAsia="zh-CN" w:bidi="ar-SA"/>
          <w14:textFill>
            <w14:solidFill>
              <w14:schemeClr w14:val="tx1"/>
            </w14:solidFill>
          </w14:textFill>
        </w:rPr>
        <w:t>通知与送达</w:t>
      </w:r>
    </w:p>
    <w:p w14:paraId="171C476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10</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.1 甲乙双方同意，与本合同有关的任何文书，应以书面方式送达本合同约定的联系方式。书面形式包括手机短信、微信、书面函件、电子邮件等形式。</w:t>
      </w:r>
    </w:p>
    <w:p w14:paraId="4D01CB2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10</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.2 双方确认的文书（包括未来可能发生的诉讼或仲裁活动中法院或仲裁机构的送达法律文书）送达地址：</w:t>
      </w:r>
    </w:p>
    <w:p w14:paraId="1DE10DB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10</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.2.1 甲方的文书送达地址：</w:t>
      </w:r>
      <w:r>
        <w:rPr>
          <w:rFonts w:hint="eastAsia" w:ascii="仿宋_GB2312" w:hAnsi="Times New Roman" w:eastAsia="仿宋_GB2312" w:cs="仿宋_GB2312"/>
          <w:bCs/>
          <w:color w:val="000000" w:themeColor="text1"/>
          <w:kern w:val="0"/>
          <w:sz w:val="24"/>
          <w:szCs w:val="24"/>
          <w:u w:val="single"/>
          <w:lang w:val="en-US" w:eastAsia="zh-CN" w:bidi="ar-SA"/>
          <w14:textFill>
            <w14:solidFill>
              <w14:schemeClr w14:val="tx1"/>
            </w14:solidFill>
          </w14:textFill>
        </w:rPr>
        <w:t xml:space="preserve"> 湖南省娄底市娄星区长青街51号</w:t>
      </w:r>
      <w:r>
        <w:rPr>
          <w:rFonts w:hint="eastAsia" w:ascii="仿宋_GB2312" w:eastAsia="仿宋_GB2312" w:cs="仿宋_GB2312"/>
          <w:bCs/>
          <w:color w:val="000000" w:themeColor="text1"/>
          <w:kern w:val="0"/>
          <w:sz w:val="24"/>
          <w:szCs w:val="24"/>
          <w:u w:val="single"/>
          <w:lang w:val="en-US" w:eastAsia="zh-CN" w:bidi="ar-SA"/>
          <w14:textFill>
            <w14:solidFill>
              <w14:schemeClr w14:val="tx1"/>
            </w14:solidFill>
          </w14:textFill>
        </w:rPr>
        <w:t xml:space="preserve"> </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，收件人：</w:t>
      </w:r>
      <w:r>
        <w:rPr>
          <w:rFonts w:hint="eastAsia" w:ascii="仿宋_GB2312" w:eastAsia="仿宋_GB2312" w:cs="仿宋_GB2312"/>
          <w:bCs/>
          <w:color w:val="000000" w:themeColor="text1"/>
          <w:kern w:val="0"/>
          <w:sz w:val="24"/>
          <w:szCs w:val="24"/>
          <w:u w:val="single"/>
          <w:lang w:val="en-US" w:eastAsia="zh-CN" w:bidi="ar-SA"/>
          <w14:textFill>
            <w14:solidFill>
              <w14:schemeClr w14:val="tx1"/>
            </w14:solidFill>
          </w14:textFill>
        </w:rPr>
        <w:t xml:space="preserve"> </w:t>
      </w:r>
      <w:r>
        <w:rPr>
          <w:rFonts w:hint="eastAsia" w:ascii="仿宋_GB2312" w:hAnsi="Times New Roman" w:eastAsia="仿宋_GB2312" w:cs="仿宋_GB2312"/>
          <w:bCs/>
          <w:color w:val="000000" w:themeColor="text1"/>
          <w:kern w:val="0"/>
          <w:sz w:val="24"/>
          <w:szCs w:val="24"/>
          <w:u w:val="single"/>
          <w:lang w:val="en-US" w:eastAsia="zh-CN" w:bidi="ar-SA"/>
          <w14:textFill>
            <w14:solidFill>
              <w14:schemeClr w14:val="tx1"/>
            </w14:solidFill>
          </w14:textFill>
        </w:rPr>
        <w:t>胡晟娅</w:t>
      </w:r>
      <w:r>
        <w:rPr>
          <w:rFonts w:hint="eastAsia" w:ascii="仿宋_GB2312" w:eastAsia="仿宋_GB2312" w:cs="仿宋_GB2312"/>
          <w:bCs/>
          <w:color w:val="000000" w:themeColor="text1"/>
          <w:kern w:val="0"/>
          <w:sz w:val="24"/>
          <w:szCs w:val="24"/>
          <w:u w:val="single"/>
          <w:lang w:val="en-US" w:eastAsia="zh-CN" w:bidi="ar-SA"/>
          <w14:textFill>
            <w14:solidFill>
              <w14:schemeClr w14:val="tx1"/>
            </w14:solidFill>
          </w14:textFill>
        </w:rPr>
        <w:t xml:space="preserve"> </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，联系电话：</w:t>
      </w:r>
      <w:r>
        <w:rPr>
          <w:rFonts w:hint="eastAsia" w:ascii="仿宋_GB2312" w:eastAsia="仿宋_GB2312" w:cs="仿宋_GB2312"/>
          <w:bCs/>
          <w:color w:val="000000" w:themeColor="text1"/>
          <w:kern w:val="0"/>
          <w:sz w:val="24"/>
          <w:szCs w:val="24"/>
          <w:u w:val="single"/>
          <w:lang w:val="en-US" w:eastAsia="zh-CN" w:bidi="ar-SA"/>
          <w14:textFill>
            <w14:solidFill>
              <w14:schemeClr w14:val="tx1"/>
            </w14:solidFill>
          </w14:textFill>
        </w:rPr>
        <w:t xml:space="preserve"> </w:t>
      </w:r>
      <w:r>
        <w:rPr>
          <w:rFonts w:hint="eastAsia" w:ascii="仿宋_GB2312" w:hAnsi="Times New Roman" w:eastAsia="仿宋_GB2312" w:cs="仿宋_GB2312"/>
          <w:bCs/>
          <w:color w:val="000000" w:themeColor="text1"/>
          <w:kern w:val="0"/>
          <w:sz w:val="24"/>
          <w:szCs w:val="24"/>
          <w:u w:val="single"/>
          <w:lang w:val="en-US" w:eastAsia="zh-CN" w:bidi="ar-SA"/>
          <w14:textFill>
            <w14:solidFill>
              <w14:schemeClr w14:val="tx1"/>
            </w14:solidFill>
          </w14:textFill>
        </w:rPr>
        <w:t>13973818325</w:t>
      </w:r>
      <w:r>
        <w:rPr>
          <w:rFonts w:hint="eastAsia" w:ascii="仿宋_GB2312" w:eastAsia="仿宋_GB2312" w:cs="仿宋_GB2312"/>
          <w:bCs/>
          <w:color w:val="000000" w:themeColor="text1"/>
          <w:kern w:val="0"/>
          <w:sz w:val="24"/>
          <w:szCs w:val="24"/>
          <w:u w:val="single"/>
          <w:lang w:val="en-US" w:eastAsia="zh-CN" w:bidi="ar-SA"/>
          <w14:textFill>
            <w14:solidFill>
              <w14:schemeClr w14:val="tx1"/>
            </w14:solidFill>
          </w14:textFill>
        </w:rPr>
        <w:t xml:space="preserve"> </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，电子邮箱：</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 xml:space="preserve"> </w:t>
      </w:r>
      <w:r>
        <w:rPr>
          <w:rFonts w:hint="eastAsia" w:ascii="仿宋_GB2312" w:hAnsi="Times New Roman" w:eastAsia="仿宋_GB2312" w:cs="仿宋_GB2312"/>
          <w:bCs/>
          <w:color w:val="000000" w:themeColor="text1"/>
          <w:kern w:val="0"/>
          <w:sz w:val="24"/>
          <w:szCs w:val="24"/>
          <w:u w:val="single"/>
          <w:lang w:val="en-US" w:eastAsia="zh-CN" w:bidi="ar-SA"/>
          <w14:textFill>
            <w14:solidFill>
              <w14:schemeClr w14:val="tx1"/>
            </w14:solidFill>
          </w14:textFill>
        </w:rPr>
        <w:t xml:space="preserve">7591521@qq.com </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w:t>
      </w:r>
    </w:p>
    <w:p w14:paraId="7A6A488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10</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.2.2 乙方的文书送达地址：</w:t>
      </w:r>
      <w:r>
        <w:rPr>
          <w:rFonts w:hint="eastAsia" w:ascii="仿宋_GB2312" w:hAnsi="Times New Roman" w:eastAsia="仿宋_GB2312" w:cs="仿宋_GB2312"/>
          <w:bCs/>
          <w:color w:val="000000" w:themeColor="text1"/>
          <w:kern w:val="0"/>
          <w:sz w:val="24"/>
          <w:szCs w:val="24"/>
          <w:u w:val="single"/>
          <w:lang w:val="en-US" w:eastAsia="zh-CN" w:bidi="ar-SA"/>
          <w14:textFill>
            <w14:solidFill>
              <w14:schemeClr w14:val="tx1"/>
            </w14:solidFill>
          </w14:textFill>
        </w:rPr>
        <w:t xml:space="preserve"> </w:t>
      </w:r>
      <w:r>
        <w:rPr>
          <w:rFonts w:hint="eastAsia" w:ascii="仿宋_GB2312" w:eastAsia="仿宋_GB2312" w:cs="仿宋_GB2312"/>
          <w:bCs/>
          <w:color w:val="000000" w:themeColor="text1"/>
          <w:kern w:val="0"/>
          <w:sz w:val="24"/>
          <w:szCs w:val="24"/>
          <w:u w:val="single"/>
          <w:lang w:val="en-US" w:eastAsia="zh-CN" w:bidi="ar-SA"/>
          <w14:textFill>
            <w14:solidFill>
              <w14:schemeClr w14:val="tx1"/>
            </w14:solidFill>
          </w14:textFill>
        </w:rPr>
        <w:t xml:space="preserve">        </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，收件人：</w:t>
      </w:r>
      <w:r>
        <w:rPr>
          <w:rFonts w:hint="eastAsia" w:ascii="仿宋_GB2312" w:hAnsi="Times New Roman" w:eastAsia="仿宋_GB2312" w:cs="仿宋_GB2312"/>
          <w:bCs/>
          <w:color w:val="000000" w:themeColor="text1"/>
          <w:kern w:val="0"/>
          <w:sz w:val="24"/>
          <w:szCs w:val="24"/>
          <w:u w:val="single"/>
          <w:lang w:val="en-US" w:eastAsia="zh-CN" w:bidi="ar-SA"/>
          <w14:textFill>
            <w14:solidFill>
              <w14:schemeClr w14:val="tx1"/>
            </w14:solidFill>
          </w14:textFill>
        </w:rPr>
        <w:t xml:space="preserve">   </w:t>
      </w:r>
      <w:r>
        <w:rPr>
          <w:rFonts w:hint="eastAsia" w:ascii="仿宋_GB2312" w:eastAsia="仿宋_GB2312" w:cs="仿宋_GB2312"/>
          <w:bCs/>
          <w:color w:val="000000" w:themeColor="text1"/>
          <w:kern w:val="0"/>
          <w:sz w:val="24"/>
          <w:szCs w:val="24"/>
          <w:u w:val="single"/>
          <w:lang w:val="en-US" w:eastAsia="zh-CN" w:bidi="ar-SA"/>
          <w14:textFill>
            <w14:solidFill>
              <w14:schemeClr w14:val="tx1"/>
            </w14:solidFill>
          </w14:textFill>
        </w:rPr>
        <w:t xml:space="preserve"> </w:t>
      </w:r>
      <w:r>
        <w:rPr>
          <w:rFonts w:hint="eastAsia" w:ascii="仿宋_GB2312" w:hAnsi="Times New Roman" w:eastAsia="仿宋_GB2312" w:cs="仿宋_GB2312"/>
          <w:bCs/>
          <w:color w:val="000000" w:themeColor="text1"/>
          <w:kern w:val="0"/>
          <w:sz w:val="24"/>
          <w:szCs w:val="24"/>
          <w:u w:val="single"/>
          <w:lang w:val="en-US" w:eastAsia="zh-CN" w:bidi="ar-SA"/>
          <w14:textFill>
            <w14:solidFill>
              <w14:schemeClr w14:val="tx1"/>
            </w14:solidFill>
          </w14:textFill>
        </w:rPr>
        <w:t xml:space="preserve"> </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，联系电话：</w:t>
      </w:r>
      <w:r>
        <w:rPr>
          <w:rFonts w:hint="eastAsia" w:ascii="仿宋_GB2312" w:hAnsi="Times New Roman" w:eastAsia="仿宋_GB2312" w:cs="仿宋_GB2312"/>
          <w:bCs/>
          <w:color w:val="000000" w:themeColor="text1"/>
          <w:kern w:val="0"/>
          <w:sz w:val="24"/>
          <w:szCs w:val="24"/>
          <w:u w:val="single"/>
          <w:lang w:val="en-US" w:eastAsia="zh-CN" w:bidi="ar-SA"/>
          <w14:textFill>
            <w14:solidFill>
              <w14:schemeClr w14:val="tx1"/>
            </w14:solidFill>
          </w14:textFill>
        </w:rPr>
        <w:t xml:space="preserve">  </w:t>
      </w:r>
      <w:r>
        <w:rPr>
          <w:rFonts w:hint="eastAsia" w:ascii="仿宋_GB2312" w:eastAsia="仿宋_GB2312" w:cs="仿宋_GB2312"/>
          <w:bCs/>
          <w:color w:val="000000" w:themeColor="text1"/>
          <w:kern w:val="0"/>
          <w:sz w:val="24"/>
          <w:szCs w:val="24"/>
          <w:u w:val="single"/>
          <w:lang w:val="en-US" w:eastAsia="zh-CN" w:bidi="ar-SA"/>
          <w14:textFill>
            <w14:solidFill>
              <w14:schemeClr w14:val="tx1"/>
            </w14:solidFill>
          </w14:textFill>
        </w:rPr>
        <w:t xml:space="preserve"> </w:t>
      </w:r>
      <w:r>
        <w:rPr>
          <w:rFonts w:hint="eastAsia" w:ascii="仿宋_GB2312" w:hAnsi="Times New Roman" w:eastAsia="仿宋_GB2312" w:cs="仿宋_GB2312"/>
          <w:bCs/>
          <w:color w:val="000000" w:themeColor="text1"/>
          <w:kern w:val="0"/>
          <w:sz w:val="24"/>
          <w:szCs w:val="24"/>
          <w:u w:val="single"/>
          <w:lang w:val="en-US" w:eastAsia="zh-CN" w:bidi="ar-SA"/>
          <w14:textFill>
            <w14:solidFill>
              <w14:schemeClr w14:val="tx1"/>
            </w14:solidFill>
          </w14:textFill>
        </w:rPr>
        <w:t xml:space="preserve">  </w:t>
      </w:r>
      <w:r>
        <w:rPr>
          <w:rFonts w:hint="eastAsia" w:ascii="仿宋_GB2312" w:eastAsia="仿宋_GB2312" w:cs="仿宋_GB2312"/>
          <w:bCs/>
          <w:color w:val="000000" w:themeColor="text1"/>
          <w:kern w:val="0"/>
          <w:sz w:val="24"/>
          <w:szCs w:val="24"/>
          <w:u w:val="single"/>
          <w:lang w:val="en-US" w:eastAsia="zh-CN" w:bidi="ar-SA"/>
          <w14:textFill>
            <w14:solidFill>
              <w14:schemeClr w14:val="tx1"/>
            </w14:solidFill>
          </w14:textFill>
        </w:rPr>
        <w:t xml:space="preserve">   </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，电子邮箱：</w:t>
      </w:r>
      <w:r>
        <w:rPr>
          <w:rFonts w:hint="eastAsia" w:ascii="仿宋_GB2312" w:hAnsi="Times New Roman" w:eastAsia="仿宋_GB2312" w:cs="仿宋_GB2312"/>
          <w:bCs/>
          <w:color w:val="000000" w:themeColor="text1"/>
          <w:kern w:val="0"/>
          <w:sz w:val="24"/>
          <w:szCs w:val="24"/>
          <w:u w:val="single"/>
          <w:lang w:val="en-US" w:eastAsia="zh-CN" w:bidi="ar-SA"/>
          <w14:textFill>
            <w14:solidFill>
              <w14:schemeClr w14:val="tx1"/>
            </w14:solidFill>
          </w14:textFill>
        </w:rPr>
        <w:t xml:space="preserve"> </w:t>
      </w:r>
      <w:r>
        <w:rPr>
          <w:rFonts w:hint="eastAsia" w:ascii="仿宋_GB2312" w:eastAsia="仿宋_GB2312" w:cs="仿宋_GB2312"/>
          <w:bCs/>
          <w:color w:val="000000" w:themeColor="text1"/>
          <w:kern w:val="0"/>
          <w:sz w:val="24"/>
          <w:szCs w:val="24"/>
          <w:u w:val="single"/>
          <w:lang w:val="en-US" w:eastAsia="zh-CN" w:bidi="ar-SA"/>
          <w14:textFill>
            <w14:solidFill>
              <w14:schemeClr w14:val="tx1"/>
            </w14:solidFill>
          </w14:textFill>
        </w:rPr>
        <w:t xml:space="preserve">       </w:t>
      </w:r>
      <w:r>
        <w:rPr>
          <w:rFonts w:hint="eastAsia" w:ascii="仿宋_GB2312" w:hAnsi="Times New Roman" w:eastAsia="仿宋_GB2312" w:cs="仿宋_GB2312"/>
          <w:bCs/>
          <w:color w:val="000000" w:themeColor="text1"/>
          <w:kern w:val="0"/>
          <w:sz w:val="24"/>
          <w:szCs w:val="24"/>
          <w:u w:val="single"/>
          <w:lang w:val="en-US" w:eastAsia="zh-CN" w:bidi="ar-SA"/>
          <w14:textFill>
            <w14:solidFill>
              <w14:schemeClr w14:val="tx1"/>
            </w14:solidFill>
          </w14:textFill>
        </w:rPr>
        <w:t xml:space="preserve"> </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w:t>
      </w:r>
    </w:p>
    <w:p w14:paraId="17B1A61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10</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.3 上述通知应被视为在下列时间送达：以快递或专人发送的，在收件人签收之日或拒收之日；以挂号邮件发出的，在发出之日起7个工作日；以电子邮件发出的，在电子邮件进入收件方电子邮箱服务器之日。</w:t>
      </w:r>
    </w:p>
    <w:p w14:paraId="4A0D7C9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10</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.4 以上地址和联系方式，任何一方发生变更应在变更之日起3个日历日内通知对方。如未通知，一方按原地址送达的书面资料被退回的，退回之日视为送达之日。任何一方按照确认地址送到另一方的书面资料被拒绝签收导致邮件被退回的，退回之日视为送达之日。</w:t>
      </w:r>
    </w:p>
    <w:p w14:paraId="0205FE9A">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仿宋_GB2312" w:eastAsia="仿宋_GB2312" w:cs="仿宋_GB2312"/>
          <w:b/>
          <w:bCs w:val="0"/>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
          <w:bCs w:val="0"/>
          <w:color w:val="000000" w:themeColor="text1"/>
          <w:kern w:val="0"/>
          <w:sz w:val="24"/>
          <w:szCs w:val="24"/>
          <w:lang w:val="en-US" w:eastAsia="zh-CN" w:bidi="ar-SA"/>
          <w14:textFill>
            <w14:solidFill>
              <w14:schemeClr w14:val="tx1"/>
            </w14:solidFill>
          </w14:textFill>
        </w:rPr>
        <w:t>第十一条 合同的变更和解除</w:t>
      </w:r>
    </w:p>
    <w:p w14:paraId="21B9B9E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11.1</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 xml:space="preserve"> 如本合同约定事宜发生重大变更，经双方协商一致后另行签订补充协议。</w:t>
      </w:r>
    </w:p>
    <w:p w14:paraId="04CFBEC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11.2 出现以下情形之一的，甲方有权单方面解除合同：</w:t>
      </w:r>
    </w:p>
    <w:p w14:paraId="494A5CB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11.2.1 乙方逾期</w:t>
      </w:r>
      <w:r>
        <w:rPr>
          <w:rFonts w:hint="eastAsia" w:ascii="仿宋_GB2312" w:eastAsia="仿宋_GB2312" w:cs="仿宋_GB2312"/>
          <w:bCs/>
          <w:color w:val="000000" w:themeColor="text1"/>
          <w:kern w:val="0"/>
          <w:sz w:val="24"/>
          <w:szCs w:val="24"/>
          <w:u w:val="single"/>
          <w:lang w:val="en-US" w:eastAsia="zh-CN" w:bidi="ar-SA"/>
          <w14:textFill>
            <w14:solidFill>
              <w14:schemeClr w14:val="tx1"/>
            </w14:solidFill>
          </w14:textFill>
        </w:rPr>
        <w:t xml:space="preserve"> 7 </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日仍未完成本合同软件及硬件的安装、调试、实施、运行的；</w:t>
      </w:r>
    </w:p>
    <w:p w14:paraId="14025B6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11.2.2 乙方提供软件及硬件的安装、调试、实施、运行未通过甲方验收，经返工后仍不能通过验收的；</w:t>
      </w:r>
    </w:p>
    <w:p w14:paraId="66CD8C3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11.2.3 乙方逾期</w:t>
      </w:r>
      <w:r>
        <w:rPr>
          <w:rFonts w:hint="eastAsia" w:ascii="仿宋_GB2312" w:hAnsi="Times New Roman" w:eastAsia="仿宋_GB2312" w:cs="仿宋_GB2312"/>
          <w:bCs/>
          <w:color w:val="000000" w:themeColor="text1"/>
          <w:kern w:val="0"/>
          <w:sz w:val="24"/>
          <w:szCs w:val="24"/>
          <w:u w:val="single"/>
          <w:lang w:val="en-US" w:eastAsia="zh-CN" w:bidi="ar-SA"/>
          <w14:textFill>
            <w14:solidFill>
              <w14:schemeClr w14:val="tx1"/>
            </w14:solidFill>
          </w14:textFill>
        </w:rPr>
        <w:t xml:space="preserve"> 10 </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日仍未完成本合同约定的硬件售后服务和软件维保服务的；</w:t>
      </w:r>
    </w:p>
    <w:p w14:paraId="3FA654E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11.2.4 因乙方原因导致本合同软件及硬件不能按本合同约定正常使用达到</w:t>
      </w:r>
      <w:r>
        <w:rPr>
          <w:rFonts w:hint="eastAsia" w:ascii="仿宋_GB2312" w:eastAsia="仿宋_GB2312" w:cs="仿宋_GB2312"/>
          <w:bCs/>
          <w:color w:val="000000" w:themeColor="text1"/>
          <w:kern w:val="0"/>
          <w:sz w:val="24"/>
          <w:szCs w:val="24"/>
          <w:u w:val="single"/>
          <w:lang w:val="en-US" w:eastAsia="zh-CN" w:bidi="ar-SA"/>
          <w14:textFill>
            <w14:solidFill>
              <w14:schemeClr w14:val="tx1"/>
            </w14:solidFill>
          </w14:textFill>
        </w:rPr>
        <w:t xml:space="preserve"> 10 </w:t>
      </w:r>
      <w:r>
        <w:rPr>
          <w:rFonts w:hint="eastAsia" w:ascii="仿宋_GB2312" w:eastAsia="仿宋_GB2312" w:cs="仿宋_GB2312"/>
          <w:bCs/>
          <w:color w:val="000000" w:themeColor="text1"/>
          <w:kern w:val="0"/>
          <w:sz w:val="24"/>
          <w:szCs w:val="24"/>
          <w:u w:val="none"/>
          <w:lang w:val="en-US" w:eastAsia="zh-CN" w:bidi="ar-SA"/>
          <w14:textFill>
            <w14:solidFill>
              <w14:schemeClr w14:val="tx1"/>
            </w14:solidFill>
          </w14:textFill>
        </w:rPr>
        <w:t>日的；</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 xml:space="preserve">                                                                                                                                                                                                                                                                                                                                                                                                                                                                                                                                                                                                                                                                                                                                                                                                                                                                                                                                                                                                                                                                                                                                                                                                                                                                                                                                                                                                                                                                                                                                                                                                                                                                                                                                                                                                                                                                                                                                                                                                                                                                                          </w:t>
      </w:r>
    </w:p>
    <w:p w14:paraId="2AACCA3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11.2.5 乙方将本合同权利义务全部或部分转让给第三方；</w:t>
      </w:r>
    </w:p>
    <w:p w14:paraId="5A79787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11.2.6 乙方违反保密条款或侵犯第三人的知识产权及其他合法权利，给甲方造成损失或不良影响的；</w:t>
      </w:r>
    </w:p>
    <w:p w14:paraId="41001D8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11.2.7 其他根本违约的情形。</w:t>
      </w:r>
    </w:p>
    <w:p w14:paraId="087AF67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仿宋_GB2312" w:hAnsi="Times New Roman" w:eastAsia="仿宋_GB2312" w:cs="仿宋_GB2312"/>
          <w:b/>
          <w:bCs w:val="0"/>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
          <w:bCs w:val="0"/>
          <w:color w:val="000000" w:themeColor="text1"/>
          <w:kern w:val="0"/>
          <w:sz w:val="24"/>
          <w:szCs w:val="24"/>
          <w:lang w:val="en-US" w:eastAsia="zh-CN" w:bidi="ar-SA"/>
          <w14:textFill>
            <w14:solidFill>
              <w14:schemeClr w14:val="tx1"/>
            </w14:solidFill>
          </w14:textFill>
        </w:rPr>
        <w:t xml:space="preserve">第十二条 </w:t>
      </w:r>
      <w:r>
        <w:rPr>
          <w:rFonts w:hint="eastAsia" w:ascii="仿宋_GB2312" w:hAnsi="Times New Roman" w:eastAsia="仿宋_GB2312" w:cs="仿宋_GB2312"/>
          <w:b/>
          <w:bCs w:val="0"/>
          <w:color w:val="000000" w:themeColor="text1"/>
          <w:kern w:val="0"/>
          <w:sz w:val="24"/>
          <w:szCs w:val="24"/>
          <w:lang w:val="en-US" w:eastAsia="zh-CN" w:bidi="ar-SA"/>
          <w14:textFill>
            <w14:solidFill>
              <w14:schemeClr w14:val="tx1"/>
            </w14:solidFill>
          </w14:textFill>
        </w:rPr>
        <w:t>违约责任</w:t>
      </w:r>
    </w:p>
    <w:p w14:paraId="6EFB905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12.1 如因乙方原因导致本合同软件及硬件不能按本合同约定正常使用，</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每无法正常使用一日，乙方应按合同总金额的</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千</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分之三向甲方支付违约金。</w:t>
      </w:r>
    </w:p>
    <w:p w14:paraId="0B67197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 xml:space="preserve">12.2 </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如乙方</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未按本合同约定及时向甲方提供硬件售后服务和软件维保服务的</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，每逾期一日，乙方应按合同总金额的</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千</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分之三向甲方支付违约金</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w:t>
      </w:r>
    </w:p>
    <w:p w14:paraId="1C36D02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12.3</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 xml:space="preserve"> 如乙方单方解除合同或甲方因11.</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2</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情形解除合同，乙方应赔偿由此造成甲方的全部经济损失（包括但不限于甲方实际经济损失、可期待利益损失、由此产生的律师费、诉讼费、差旅费等），并按本合同总价款15%标准</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向</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甲方支付违约金。</w:t>
      </w:r>
    </w:p>
    <w:p w14:paraId="184F3D05">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仿宋_GB2312" w:eastAsia="仿宋_GB2312" w:cs="仿宋_GB2312"/>
          <w:b/>
          <w:bCs w:val="0"/>
          <w:color w:val="000000" w:themeColor="text1"/>
          <w:kern w:val="0"/>
          <w:sz w:val="24"/>
          <w:szCs w:val="24"/>
          <w:u w:val="single"/>
          <w:lang w:val="en-US" w:eastAsia="zh-CN" w:bidi="ar-SA"/>
          <w14:textFill>
            <w14:solidFill>
              <w14:schemeClr w14:val="tx1"/>
            </w14:solidFill>
          </w14:textFill>
        </w:rPr>
      </w:pPr>
      <w:r>
        <w:rPr>
          <w:rFonts w:hint="eastAsia" w:ascii="仿宋_GB2312" w:eastAsia="仿宋_GB2312" w:cs="仿宋_GB2312"/>
          <w:b/>
          <w:bCs w:val="0"/>
          <w:color w:val="000000" w:themeColor="text1"/>
          <w:kern w:val="0"/>
          <w:sz w:val="24"/>
          <w:szCs w:val="24"/>
          <w:u w:val="single"/>
          <w:lang w:val="en-US" w:eastAsia="zh-CN" w:bidi="ar-SA"/>
          <w14:textFill>
            <w14:solidFill>
              <w14:schemeClr w14:val="tx1"/>
            </w14:solidFill>
          </w14:textFill>
        </w:rPr>
        <w:t>12.4 无论甲方在任意时候（不限于本合同履行期间）发现存在违反本合同廉洁条款的行为，乙方均须向甲方一次性支付惩罚性违约金35000.00元。如乙方除需承担违反廉洁条款外，同时存在其他违约行为，乙方仍须就其他违约行为承担相应违约责任。</w:t>
      </w:r>
    </w:p>
    <w:p w14:paraId="104A2382">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
          <w:bCs w:val="0"/>
          <w:color w:val="000000" w:themeColor="text1"/>
          <w:kern w:val="0"/>
          <w:sz w:val="24"/>
          <w:szCs w:val="24"/>
          <w:u w:val="single"/>
          <w:lang w:val="en-US" w:eastAsia="zh-CN" w:bidi="ar-SA"/>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79B61B62">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仿宋_GB2312" w:hAnsi="Times New Roman" w:eastAsia="仿宋_GB2312" w:cs="仿宋_GB2312"/>
          <w:b/>
          <w:bCs w:val="0"/>
          <w:color w:val="000000" w:themeColor="text1"/>
          <w:kern w:val="0"/>
          <w:sz w:val="24"/>
          <w:szCs w:val="24"/>
          <w:lang w:val="en-US" w:eastAsia="zh-CN" w:bidi="ar-SA"/>
          <w14:textFill>
            <w14:solidFill>
              <w14:schemeClr w14:val="tx1"/>
            </w14:solidFill>
          </w14:textFill>
        </w:rPr>
      </w:pPr>
      <w:r>
        <w:rPr>
          <w:rFonts w:hint="eastAsia" w:ascii="仿宋_GB2312" w:hAnsi="Times New Roman" w:eastAsia="仿宋_GB2312" w:cs="仿宋_GB2312"/>
          <w:b/>
          <w:bCs w:val="0"/>
          <w:color w:val="000000" w:themeColor="text1"/>
          <w:kern w:val="0"/>
          <w:sz w:val="24"/>
          <w:szCs w:val="24"/>
          <w:lang w:val="en-US" w:eastAsia="zh-CN" w:bidi="ar-SA"/>
          <w14:textFill>
            <w14:solidFill>
              <w14:schemeClr w14:val="tx1"/>
            </w14:solidFill>
          </w14:textFill>
        </w:rPr>
        <w:t>第十三条</w:t>
      </w:r>
      <w:r>
        <w:rPr>
          <w:rFonts w:hint="eastAsia" w:ascii="仿宋_GB2312" w:eastAsia="仿宋_GB2312" w:cs="仿宋_GB2312"/>
          <w:b/>
          <w:bCs w:val="0"/>
          <w:color w:val="000000" w:themeColor="text1"/>
          <w:kern w:val="0"/>
          <w:sz w:val="24"/>
          <w:szCs w:val="24"/>
          <w:lang w:val="en-US" w:eastAsia="zh-CN" w:bidi="ar-SA"/>
          <w14:textFill>
            <w14:solidFill>
              <w14:schemeClr w14:val="tx1"/>
            </w14:solidFill>
          </w14:textFill>
        </w:rPr>
        <w:t xml:space="preserve"> 不可抗力</w:t>
      </w:r>
    </w:p>
    <w:p w14:paraId="5BB8C03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因不可抗力导致迟延履行的，不承担违约责任，但不可抗力因素消除后应立即继续履行；因不可抗力导致本合同无法继续履行的，</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按本合同约定</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经书面通知对方后可以解除合同且不承担违约责任。本款所称“不可抗力”是指不能预见、不能避免或不能克服的客观事件，包括自然灾害如疫情、洪水、火灾、爆炸、雷电、地震和风暴等以及社会事件如战争、动乱、罢工等。</w:t>
      </w:r>
    </w:p>
    <w:p w14:paraId="42C1869C">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仿宋_GB2312" w:hAnsi="Times New Roman" w:eastAsia="仿宋_GB2312" w:cs="仿宋_GB2312"/>
          <w:b/>
          <w:bCs w:val="0"/>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
          <w:bCs w:val="0"/>
          <w:color w:val="000000" w:themeColor="text1"/>
          <w:kern w:val="0"/>
          <w:sz w:val="24"/>
          <w:szCs w:val="24"/>
          <w:lang w:val="en-US" w:eastAsia="zh-CN" w:bidi="ar-SA"/>
          <w14:textFill>
            <w14:solidFill>
              <w14:schemeClr w14:val="tx1"/>
            </w14:solidFill>
          </w14:textFill>
        </w:rPr>
        <w:t xml:space="preserve">第十四条 </w:t>
      </w:r>
      <w:r>
        <w:rPr>
          <w:rFonts w:hint="eastAsia" w:ascii="仿宋_GB2312" w:hAnsi="Times New Roman" w:eastAsia="仿宋_GB2312" w:cs="仿宋_GB2312"/>
          <w:b/>
          <w:bCs w:val="0"/>
          <w:color w:val="000000" w:themeColor="text1"/>
          <w:kern w:val="0"/>
          <w:sz w:val="24"/>
          <w:szCs w:val="24"/>
          <w:lang w:val="en-US" w:eastAsia="zh-CN" w:bidi="ar-SA"/>
          <w14:textFill>
            <w14:solidFill>
              <w14:schemeClr w14:val="tx1"/>
            </w14:solidFill>
          </w14:textFill>
        </w:rPr>
        <w:t>争议解决</w:t>
      </w:r>
    </w:p>
    <w:p w14:paraId="630C438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如双方在履行本合同过程中发生争议，双方应先协商解决，协商解决不成的，任一方均可向甲方所在地有管辖权的人民法院提起诉讼解决。</w:t>
      </w:r>
    </w:p>
    <w:p w14:paraId="53C6422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仿宋_GB2312" w:hAnsi="Times New Roman" w:eastAsia="仿宋_GB2312" w:cs="仿宋_GB2312"/>
          <w:b/>
          <w:bCs w:val="0"/>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
          <w:bCs w:val="0"/>
          <w:color w:val="000000" w:themeColor="text1"/>
          <w:kern w:val="0"/>
          <w:sz w:val="24"/>
          <w:szCs w:val="24"/>
          <w:lang w:val="en-US" w:eastAsia="zh-CN" w:bidi="ar-SA"/>
          <w14:textFill>
            <w14:solidFill>
              <w14:schemeClr w14:val="tx1"/>
            </w14:solidFill>
          </w14:textFill>
        </w:rPr>
        <w:t>第十五条 其他</w:t>
      </w:r>
    </w:p>
    <w:p w14:paraId="3F00AA5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15.1</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 xml:space="preserve"> 本合同组成文件及解释顺序如下：乙方在履行本合同中的承诺；本合同补充协议；本合同及附件；成交通知书；响应文件；采购文件；与本合同相关的文件资料。</w:t>
      </w:r>
    </w:p>
    <w:p w14:paraId="49F1770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15.2</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 xml:space="preserve"> 本合同一式</w:t>
      </w:r>
      <w:r>
        <w:rPr>
          <w:rFonts w:hint="eastAsia" w:ascii="仿宋_GB2312" w:hAnsi="Times New Roman" w:eastAsia="仿宋_GB2312" w:cs="仿宋_GB2312"/>
          <w:bCs/>
          <w:color w:val="000000" w:themeColor="text1"/>
          <w:kern w:val="0"/>
          <w:sz w:val="24"/>
          <w:szCs w:val="24"/>
          <w:u w:val="single"/>
          <w:lang w:val="en-US" w:eastAsia="zh-CN" w:bidi="ar-SA"/>
          <w14:textFill>
            <w14:solidFill>
              <w14:schemeClr w14:val="tx1"/>
            </w14:solidFill>
          </w14:textFill>
        </w:rPr>
        <w:t xml:space="preserve"> </w:t>
      </w:r>
      <w:r>
        <w:rPr>
          <w:rFonts w:hint="eastAsia" w:ascii="仿宋_GB2312" w:eastAsia="仿宋_GB2312" w:cs="仿宋_GB2312"/>
          <w:bCs/>
          <w:color w:val="000000" w:themeColor="text1"/>
          <w:kern w:val="0"/>
          <w:sz w:val="24"/>
          <w:szCs w:val="24"/>
          <w:u w:val="single"/>
          <w:lang w:val="en-US" w:eastAsia="zh-CN" w:bidi="ar-SA"/>
          <w14:textFill>
            <w14:solidFill>
              <w14:schemeClr w14:val="tx1"/>
            </w14:solidFill>
          </w14:textFill>
        </w:rPr>
        <w:t>陆</w:t>
      </w:r>
      <w:r>
        <w:rPr>
          <w:rFonts w:hint="eastAsia" w:ascii="仿宋_GB2312" w:hAnsi="Times New Roman" w:eastAsia="仿宋_GB2312" w:cs="仿宋_GB2312"/>
          <w:bCs/>
          <w:color w:val="000000" w:themeColor="text1"/>
          <w:kern w:val="0"/>
          <w:sz w:val="24"/>
          <w:szCs w:val="24"/>
          <w:u w:val="single"/>
          <w:lang w:val="en-US" w:eastAsia="zh-CN" w:bidi="ar-SA"/>
          <w14:textFill>
            <w14:solidFill>
              <w14:schemeClr w14:val="tx1"/>
            </w14:solidFill>
          </w14:textFill>
        </w:rPr>
        <w:t xml:space="preserve"> </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份，甲方执</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肆</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份、乙方执贰份，自双方签字并盖章之日起生效。</w:t>
      </w:r>
    </w:p>
    <w:p w14:paraId="78BB9ED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p>
    <w:p w14:paraId="6357F9A5">
      <w:pPr>
        <w:keepNext w:val="0"/>
        <w:keepLines w:val="0"/>
        <w:pageBreakBefore w:val="0"/>
        <w:widowControl w:val="0"/>
        <w:kinsoku/>
        <w:wordWrap/>
        <w:overflowPunct/>
        <w:topLinePunct w:val="0"/>
        <w:autoSpaceDE/>
        <w:autoSpaceDN/>
        <w:bidi w:val="0"/>
        <w:adjustRightInd/>
        <w:snapToGrid/>
        <w:spacing w:line="460" w:lineRule="exact"/>
        <w:ind w:firstLine="436" w:firstLineChars="200"/>
        <w:textAlignment w:val="auto"/>
        <w:rPr>
          <w:rFonts w:hint="eastAsia" w:ascii="仿宋_GB2312" w:hAnsi="Times New Roman" w:eastAsia="仿宋_GB2312" w:cs="仿宋_GB2312"/>
          <w:bCs/>
          <w:color w:val="000000" w:themeColor="text1"/>
          <w:spacing w:val="-11"/>
          <w:kern w:val="0"/>
          <w:sz w:val="24"/>
          <w:szCs w:val="24"/>
          <w:lang w:val="en-US" w:eastAsia="zh-CN" w:bidi="ar-SA"/>
          <w14:textFill>
            <w14:solidFill>
              <w14:schemeClr w14:val="tx1"/>
            </w14:solidFill>
          </w14:textFill>
        </w:rPr>
      </w:pPr>
      <w:r>
        <w:rPr>
          <w:rFonts w:hint="eastAsia" w:ascii="仿宋_GB2312" w:hAnsi="Times New Roman" w:eastAsia="仿宋_GB2312" w:cs="仿宋_GB2312"/>
          <w:bCs/>
          <w:color w:val="000000" w:themeColor="text1"/>
          <w:spacing w:val="-11"/>
          <w:kern w:val="0"/>
          <w:sz w:val="24"/>
          <w:szCs w:val="24"/>
          <w:lang w:val="en-US" w:eastAsia="zh-CN" w:bidi="ar-SA"/>
          <w14:textFill>
            <w14:solidFill>
              <w14:schemeClr w14:val="tx1"/>
            </w14:solidFill>
          </w14:textFill>
        </w:rPr>
        <w:t xml:space="preserve">甲方（盖章）：娄底市中心医院       </w:t>
      </w:r>
      <w:r>
        <w:rPr>
          <w:rFonts w:hint="eastAsia" w:ascii="仿宋_GB2312" w:eastAsia="仿宋_GB2312" w:cs="仿宋_GB2312"/>
          <w:bCs/>
          <w:color w:val="000000" w:themeColor="text1"/>
          <w:spacing w:val="-11"/>
          <w:kern w:val="0"/>
          <w:sz w:val="24"/>
          <w:szCs w:val="24"/>
          <w:lang w:val="en-US" w:eastAsia="zh-CN" w:bidi="ar-SA"/>
          <w14:textFill>
            <w14:solidFill>
              <w14:schemeClr w14:val="tx1"/>
            </w14:solidFill>
          </w14:textFill>
        </w:rPr>
        <w:t xml:space="preserve">  </w:t>
      </w:r>
      <w:r>
        <w:rPr>
          <w:rFonts w:hint="eastAsia" w:ascii="仿宋_GB2312" w:hAnsi="Times New Roman" w:eastAsia="仿宋_GB2312" w:cs="仿宋_GB2312"/>
          <w:bCs/>
          <w:color w:val="000000" w:themeColor="text1"/>
          <w:spacing w:val="-11"/>
          <w:kern w:val="0"/>
          <w:sz w:val="24"/>
          <w:szCs w:val="24"/>
          <w:lang w:val="en-US" w:eastAsia="zh-CN" w:bidi="ar-SA"/>
          <w14:textFill>
            <w14:solidFill>
              <w14:schemeClr w14:val="tx1"/>
            </w14:solidFill>
          </w14:textFill>
        </w:rPr>
        <w:t>乙方（盖章）：</w:t>
      </w:r>
    </w:p>
    <w:p w14:paraId="3A01731A">
      <w:pPr>
        <w:keepNext w:val="0"/>
        <w:keepLines w:val="0"/>
        <w:pageBreakBefore w:val="0"/>
        <w:widowControl w:val="0"/>
        <w:kinsoku/>
        <w:wordWrap/>
        <w:overflowPunct/>
        <w:topLinePunct w:val="0"/>
        <w:autoSpaceDE/>
        <w:autoSpaceDN/>
        <w:bidi w:val="0"/>
        <w:adjustRightInd/>
        <w:snapToGrid/>
        <w:spacing w:line="460" w:lineRule="exact"/>
        <w:ind w:firstLine="436" w:firstLineChars="200"/>
        <w:textAlignment w:val="auto"/>
        <w:rPr>
          <w:rFonts w:hint="eastAsia" w:ascii="仿宋_GB2312" w:hAnsi="Times New Roman" w:eastAsia="仿宋_GB2312" w:cs="仿宋_GB2312"/>
          <w:bCs/>
          <w:color w:val="000000" w:themeColor="text1"/>
          <w:spacing w:val="-11"/>
          <w:kern w:val="0"/>
          <w:sz w:val="24"/>
          <w:szCs w:val="24"/>
          <w:lang w:val="en-US" w:eastAsia="zh-CN" w:bidi="ar-SA"/>
          <w14:textFill>
            <w14:solidFill>
              <w14:schemeClr w14:val="tx1"/>
            </w14:solidFill>
          </w14:textFill>
        </w:rPr>
      </w:pPr>
    </w:p>
    <w:p w14:paraId="13602C12">
      <w:pPr>
        <w:keepNext w:val="0"/>
        <w:keepLines w:val="0"/>
        <w:pageBreakBefore w:val="0"/>
        <w:widowControl w:val="0"/>
        <w:kinsoku/>
        <w:wordWrap/>
        <w:overflowPunct/>
        <w:topLinePunct w:val="0"/>
        <w:autoSpaceDE/>
        <w:autoSpaceDN/>
        <w:bidi w:val="0"/>
        <w:adjustRightInd/>
        <w:snapToGrid/>
        <w:spacing w:line="460" w:lineRule="exact"/>
        <w:ind w:firstLine="436" w:firstLineChars="200"/>
        <w:textAlignment w:val="auto"/>
        <w:rPr>
          <w:rFonts w:hint="eastAsia" w:ascii="仿宋_GB2312" w:hAnsi="Times New Roman" w:eastAsia="仿宋_GB2312" w:cs="仿宋_GB2312"/>
          <w:bCs/>
          <w:color w:val="000000" w:themeColor="text1"/>
          <w:spacing w:val="-11"/>
          <w:kern w:val="0"/>
          <w:sz w:val="24"/>
          <w:szCs w:val="24"/>
          <w:lang w:val="en-US" w:eastAsia="zh-CN" w:bidi="ar-SA"/>
          <w14:textFill>
            <w14:solidFill>
              <w14:schemeClr w14:val="tx1"/>
            </w14:solidFill>
          </w14:textFill>
        </w:rPr>
      </w:pPr>
      <w:r>
        <w:rPr>
          <w:rFonts w:hint="eastAsia" w:ascii="仿宋_GB2312" w:hAnsi="Times New Roman" w:eastAsia="仿宋_GB2312" w:cs="仿宋_GB2312"/>
          <w:bCs/>
          <w:color w:val="000000" w:themeColor="text1"/>
          <w:spacing w:val="-11"/>
          <w:kern w:val="0"/>
          <w:sz w:val="24"/>
          <w:szCs w:val="24"/>
          <w:lang w:val="en-US" w:eastAsia="zh-CN" w:bidi="ar-SA"/>
          <w14:textFill>
            <w14:solidFill>
              <w14:schemeClr w14:val="tx1"/>
            </w14:solidFill>
          </w14:textFill>
        </w:rPr>
        <w:t xml:space="preserve">法定代表人（签字）：               </w:t>
      </w:r>
      <w:r>
        <w:rPr>
          <w:rFonts w:hint="eastAsia" w:ascii="仿宋_GB2312" w:eastAsia="仿宋_GB2312" w:cs="仿宋_GB2312"/>
          <w:bCs/>
          <w:color w:val="000000" w:themeColor="text1"/>
          <w:spacing w:val="-11"/>
          <w:kern w:val="0"/>
          <w:sz w:val="24"/>
          <w:szCs w:val="24"/>
          <w:lang w:val="en-US" w:eastAsia="zh-CN" w:bidi="ar-SA"/>
          <w14:textFill>
            <w14:solidFill>
              <w14:schemeClr w14:val="tx1"/>
            </w14:solidFill>
          </w14:textFill>
        </w:rPr>
        <w:t xml:space="preserve">   </w:t>
      </w:r>
      <w:r>
        <w:rPr>
          <w:rFonts w:hint="eastAsia" w:ascii="仿宋_GB2312" w:hAnsi="Times New Roman" w:eastAsia="仿宋_GB2312" w:cs="仿宋_GB2312"/>
          <w:bCs/>
          <w:color w:val="000000" w:themeColor="text1"/>
          <w:spacing w:val="-11"/>
          <w:kern w:val="0"/>
          <w:sz w:val="24"/>
          <w:szCs w:val="24"/>
          <w:lang w:val="en-US" w:eastAsia="zh-CN" w:bidi="ar-SA"/>
          <w14:textFill>
            <w14:solidFill>
              <w14:schemeClr w14:val="tx1"/>
            </w14:solidFill>
          </w14:textFill>
        </w:rPr>
        <w:t>法定代表人（签字）：</w:t>
      </w:r>
    </w:p>
    <w:p w14:paraId="7B767294">
      <w:pPr>
        <w:keepNext w:val="0"/>
        <w:keepLines w:val="0"/>
        <w:pageBreakBefore w:val="0"/>
        <w:widowControl w:val="0"/>
        <w:kinsoku/>
        <w:wordWrap/>
        <w:overflowPunct/>
        <w:topLinePunct w:val="0"/>
        <w:autoSpaceDE/>
        <w:autoSpaceDN/>
        <w:bidi w:val="0"/>
        <w:adjustRightInd/>
        <w:snapToGrid/>
        <w:spacing w:line="460" w:lineRule="exact"/>
        <w:ind w:firstLine="436" w:firstLineChars="200"/>
        <w:textAlignment w:val="auto"/>
        <w:rPr>
          <w:rFonts w:hint="eastAsia" w:ascii="仿宋_GB2312" w:hAnsi="Times New Roman" w:eastAsia="仿宋_GB2312" w:cs="仿宋_GB2312"/>
          <w:bCs/>
          <w:color w:val="000000" w:themeColor="text1"/>
          <w:spacing w:val="-11"/>
          <w:kern w:val="0"/>
          <w:sz w:val="24"/>
          <w:szCs w:val="24"/>
          <w:lang w:val="en-US" w:eastAsia="zh-CN" w:bidi="ar-SA"/>
          <w14:textFill>
            <w14:solidFill>
              <w14:schemeClr w14:val="tx1"/>
            </w14:solidFill>
          </w14:textFill>
        </w:rPr>
      </w:pPr>
    </w:p>
    <w:p w14:paraId="44CEE6C3">
      <w:pPr>
        <w:keepNext w:val="0"/>
        <w:keepLines w:val="0"/>
        <w:pageBreakBefore w:val="0"/>
        <w:widowControl w:val="0"/>
        <w:kinsoku/>
        <w:wordWrap/>
        <w:overflowPunct/>
        <w:topLinePunct w:val="0"/>
        <w:autoSpaceDE/>
        <w:autoSpaceDN/>
        <w:bidi w:val="0"/>
        <w:adjustRightInd/>
        <w:snapToGrid/>
        <w:spacing w:line="460" w:lineRule="exact"/>
        <w:ind w:firstLine="436" w:firstLineChars="200"/>
        <w:textAlignment w:val="auto"/>
        <w:rPr>
          <w:rFonts w:hint="eastAsia" w:ascii="仿宋_GB2312" w:hAnsi="Times New Roman" w:eastAsia="仿宋_GB2312" w:cs="仿宋_GB2312"/>
          <w:bCs/>
          <w:color w:val="000000" w:themeColor="text1"/>
          <w:spacing w:val="-11"/>
          <w:kern w:val="0"/>
          <w:sz w:val="24"/>
          <w:szCs w:val="24"/>
          <w:lang w:val="en-US" w:eastAsia="zh-CN" w:bidi="ar-SA"/>
          <w14:textFill>
            <w14:solidFill>
              <w14:schemeClr w14:val="tx1"/>
            </w14:solidFill>
          </w14:textFill>
        </w:rPr>
      </w:pPr>
      <w:r>
        <w:rPr>
          <w:rFonts w:hint="eastAsia" w:ascii="仿宋_GB2312" w:hAnsi="Times New Roman" w:eastAsia="仿宋_GB2312" w:cs="仿宋_GB2312"/>
          <w:bCs/>
          <w:color w:val="000000" w:themeColor="text1"/>
          <w:spacing w:val="-11"/>
          <w:kern w:val="0"/>
          <w:sz w:val="24"/>
          <w:szCs w:val="24"/>
          <w:lang w:val="en-US" w:eastAsia="zh-CN" w:bidi="ar-SA"/>
          <w14:textFill>
            <w14:solidFill>
              <w14:schemeClr w14:val="tx1"/>
            </w14:solidFill>
          </w14:textFill>
        </w:rPr>
        <w:t xml:space="preserve">或委托代理人（签字）：             </w:t>
      </w:r>
      <w:r>
        <w:rPr>
          <w:rFonts w:hint="eastAsia" w:ascii="仿宋_GB2312" w:eastAsia="仿宋_GB2312" w:cs="仿宋_GB2312"/>
          <w:bCs/>
          <w:color w:val="000000" w:themeColor="text1"/>
          <w:spacing w:val="-11"/>
          <w:kern w:val="0"/>
          <w:sz w:val="24"/>
          <w:szCs w:val="24"/>
          <w:lang w:val="en-US" w:eastAsia="zh-CN" w:bidi="ar-SA"/>
          <w14:textFill>
            <w14:solidFill>
              <w14:schemeClr w14:val="tx1"/>
            </w14:solidFill>
          </w14:textFill>
        </w:rPr>
        <w:t xml:space="preserve">   </w:t>
      </w:r>
      <w:r>
        <w:rPr>
          <w:rFonts w:hint="eastAsia" w:ascii="仿宋_GB2312" w:hAnsi="Times New Roman" w:eastAsia="仿宋_GB2312" w:cs="仿宋_GB2312"/>
          <w:bCs/>
          <w:color w:val="000000" w:themeColor="text1"/>
          <w:spacing w:val="-11"/>
          <w:kern w:val="0"/>
          <w:sz w:val="24"/>
          <w:szCs w:val="24"/>
          <w:lang w:val="en-US" w:eastAsia="zh-CN" w:bidi="ar-SA"/>
          <w14:textFill>
            <w14:solidFill>
              <w14:schemeClr w14:val="tx1"/>
            </w14:solidFill>
          </w14:textFill>
        </w:rPr>
        <w:t>或委托代理人（签字）：</w:t>
      </w:r>
    </w:p>
    <w:p w14:paraId="0AEDD9CF">
      <w:pPr>
        <w:keepNext w:val="0"/>
        <w:keepLines w:val="0"/>
        <w:pageBreakBefore w:val="0"/>
        <w:widowControl w:val="0"/>
        <w:kinsoku/>
        <w:wordWrap/>
        <w:overflowPunct/>
        <w:topLinePunct w:val="0"/>
        <w:autoSpaceDE/>
        <w:autoSpaceDN/>
        <w:bidi w:val="0"/>
        <w:adjustRightInd/>
        <w:snapToGrid/>
        <w:spacing w:line="460" w:lineRule="exact"/>
        <w:ind w:firstLine="436" w:firstLineChars="200"/>
        <w:textAlignment w:val="auto"/>
        <w:rPr>
          <w:rFonts w:hint="eastAsia" w:ascii="仿宋_GB2312" w:hAnsi="Times New Roman" w:eastAsia="仿宋_GB2312" w:cs="仿宋_GB2312"/>
          <w:bCs/>
          <w:color w:val="000000" w:themeColor="text1"/>
          <w:spacing w:val="-11"/>
          <w:kern w:val="0"/>
          <w:sz w:val="24"/>
          <w:szCs w:val="24"/>
          <w:lang w:val="en-US" w:eastAsia="zh-CN" w:bidi="ar-SA"/>
          <w14:textFill>
            <w14:solidFill>
              <w14:schemeClr w14:val="tx1"/>
            </w14:solidFill>
          </w14:textFill>
        </w:rPr>
      </w:pPr>
    </w:p>
    <w:p w14:paraId="2F6E6983">
      <w:pPr>
        <w:keepNext w:val="0"/>
        <w:keepLines w:val="0"/>
        <w:pageBreakBefore w:val="0"/>
        <w:widowControl w:val="0"/>
        <w:kinsoku/>
        <w:wordWrap/>
        <w:overflowPunct/>
        <w:topLinePunct w:val="0"/>
        <w:autoSpaceDE/>
        <w:autoSpaceDN/>
        <w:bidi w:val="0"/>
        <w:adjustRightInd/>
        <w:snapToGrid/>
        <w:spacing w:line="460" w:lineRule="exact"/>
        <w:ind w:firstLine="436" w:firstLineChars="200"/>
        <w:textAlignment w:val="auto"/>
        <w:rPr>
          <w:rFonts w:hint="eastAsia" w:ascii="仿宋_GB2312" w:hAnsi="Times New Roman" w:eastAsia="仿宋_GB2312" w:cs="仿宋_GB2312"/>
          <w:bCs/>
          <w:color w:val="000000" w:themeColor="text1"/>
          <w:spacing w:val="-11"/>
          <w:kern w:val="0"/>
          <w:sz w:val="24"/>
          <w:szCs w:val="24"/>
          <w:lang w:val="en-US" w:eastAsia="zh-CN" w:bidi="ar-SA"/>
          <w14:textFill>
            <w14:solidFill>
              <w14:schemeClr w14:val="tx1"/>
            </w14:solidFill>
          </w14:textFill>
        </w:rPr>
      </w:pPr>
      <w:r>
        <w:rPr>
          <w:rFonts w:hint="eastAsia" w:ascii="仿宋_GB2312" w:hAnsi="Times New Roman" w:eastAsia="仿宋_GB2312" w:cs="仿宋_GB2312"/>
          <w:bCs/>
          <w:color w:val="000000" w:themeColor="text1"/>
          <w:spacing w:val="-11"/>
          <w:kern w:val="0"/>
          <w:sz w:val="24"/>
          <w:szCs w:val="24"/>
          <w:lang w:val="en-US" w:eastAsia="zh-CN" w:bidi="ar-SA"/>
          <w14:textFill>
            <w14:solidFill>
              <w14:schemeClr w14:val="tx1"/>
            </w14:solidFill>
          </w14:textFill>
        </w:rPr>
        <w:t xml:space="preserve">合同签订地履行地：娄底市娄星区    </w:t>
      </w:r>
      <w:r>
        <w:rPr>
          <w:rFonts w:hint="eastAsia" w:ascii="仿宋_GB2312" w:eastAsia="仿宋_GB2312" w:cs="仿宋_GB2312"/>
          <w:bCs/>
          <w:color w:val="000000" w:themeColor="text1"/>
          <w:spacing w:val="-11"/>
          <w:kern w:val="0"/>
          <w:sz w:val="24"/>
          <w:szCs w:val="24"/>
          <w:lang w:val="en-US" w:eastAsia="zh-CN" w:bidi="ar-SA"/>
          <w14:textFill>
            <w14:solidFill>
              <w14:schemeClr w14:val="tx1"/>
            </w14:solidFill>
          </w14:textFill>
        </w:rPr>
        <w:t xml:space="preserve">   </w:t>
      </w:r>
      <w:r>
        <w:rPr>
          <w:rFonts w:hint="eastAsia" w:ascii="仿宋_GB2312" w:hAnsi="Times New Roman" w:eastAsia="仿宋_GB2312" w:cs="仿宋_GB2312"/>
          <w:bCs/>
          <w:color w:val="000000" w:themeColor="text1"/>
          <w:spacing w:val="-11"/>
          <w:kern w:val="0"/>
          <w:sz w:val="24"/>
          <w:szCs w:val="24"/>
          <w:lang w:val="en-US" w:eastAsia="zh-CN" w:bidi="ar-SA"/>
          <w14:textFill>
            <w14:solidFill>
              <w14:schemeClr w14:val="tx1"/>
            </w14:solidFill>
          </w14:textFill>
        </w:rPr>
        <w:t xml:space="preserve">签订日期：  </w:t>
      </w:r>
      <w:r>
        <w:rPr>
          <w:rFonts w:hint="eastAsia" w:ascii="仿宋_GB2312" w:eastAsia="仿宋_GB2312" w:cs="仿宋_GB2312"/>
          <w:bCs/>
          <w:color w:val="000000" w:themeColor="text1"/>
          <w:spacing w:val="-11"/>
          <w:kern w:val="0"/>
          <w:sz w:val="24"/>
          <w:szCs w:val="24"/>
          <w:lang w:val="en-US" w:eastAsia="zh-CN" w:bidi="ar-SA"/>
          <w14:textFill>
            <w14:solidFill>
              <w14:schemeClr w14:val="tx1"/>
            </w14:solidFill>
          </w14:textFill>
        </w:rPr>
        <w:t xml:space="preserve">   </w:t>
      </w:r>
      <w:r>
        <w:rPr>
          <w:rFonts w:hint="eastAsia" w:ascii="仿宋_GB2312" w:hAnsi="Times New Roman" w:eastAsia="仿宋_GB2312" w:cs="仿宋_GB2312"/>
          <w:bCs/>
          <w:color w:val="000000" w:themeColor="text1"/>
          <w:spacing w:val="-11"/>
          <w:kern w:val="0"/>
          <w:sz w:val="24"/>
          <w:szCs w:val="24"/>
          <w:lang w:val="en-US" w:eastAsia="zh-CN" w:bidi="ar-SA"/>
          <w14:textFill>
            <w14:solidFill>
              <w14:schemeClr w14:val="tx1"/>
            </w14:solidFill>
          </w14:textFill>
        </w:rPr>
        <w:t xml:space="preserve">年  </w:t>
      </w:r>
      <w:r>
        <w:rPr>
          <w:rFonts w:hint="eastAsia" w:ascii="仿宋_GB2312" w:eastAsia="仿宋_GB2312" w:cs="仿宋_GB2312"/>
          <w:bCs/>
          <w:color w:val="000000" w:themeColor="text1"/>
          <w:spacing w:val="-11"/>
          <w:kern w:val="0"/>
          <w:sz w:val="24"/>
          <w:szCs w:val="24"/>
          <w:lang w:val="en-US" w:eastAsia="zh-CN" w:bidi="ar-SA"/>
          <w14:textFill>
            <w14:solidFill>
              <w14:schemeClr w14:val="tx1"/>
            </w14:solidFill>
          </w14:textFill>
        </w:rPr>
        <w:t xml:space="preserve"> </w:t>
      </w:r>
      <w:r>
        <w:rPr>
          <w:rFonts w:hint="eastAsia" w:ascii="仿宋_GB2312" w:hAnsi="Times New Roman" w:eastAsia="仿宋_GB2312" w:cs="仿宋_GB2312"/>
          <w:bCs/>
          <w:color w:val="000000" w:themeColor="text1"/>
          <w:spacing w:val="-11"/>
          <w:kern w:val="0"/>
          <w:sz w:val="24"/>
          <w:szCs w:val="24"/>
          <w:lang w:val="en-US" w:eastAsia="zh-CN" w:bidi="ar-SA"/>
          <w14:textFill>
            <w14:solidFill>
              <w14:schemeClr w14:val="tx1"/>
            </w14:solidFill>
          </w14:textFill>
        </w:rPr>
        <w:t xml:space="preserve">月  </w:t>
      </w:r>
      <w:r>
        <w:rPr>
          <w:rFonts w:hint="eastAsia" w:ascii="仿宋_GB2312" w:eastAsia="仿宋_GB2312" w:cs="仿宋_GB2312"/>
          <w:bCs/>
          <w:color w:val="000000" w:themeColor="text1"/>
          <w:spacing w:val="-11"/>
          <w:kern w:val="0"/>
          <w:sz w:val="24"/>
          <w:szCs w:val="24"/>
          <w:lang w:val="en-US" w:eastAsia="zh-CN" w:bidi="ar-SA"/>
          <w14:textFill>
            <w14:solidFill>
              <w14:schemeClr w14:val="tx1"/>
            </w14:solidFill>
          </w14:textFill>
        </w:rPr>
        <w:t xml:space="preserve"> </w:t>
      </w:r>
      <w:r>
        <w:rPr>
          <w:rFonts w:hint="eastAsia" w:ascii="仿宋_GB2312" w:hAnsi="Times New Roman" w:eastAsia="仿宋_GB2312" w:cs="仿宋_GB2312"/>
          <w:bCs/>
          <w:color w:val="000000" w:themeColor="text1"/>
          <w:spacing w:val="-11"/>
          <w:kern w:val="0"/>
          <w:sz w:val="24"/>
          <w:szCs w:val="24"/>
          <w:lang w:val="en-US" w:eastAsia="zh-CN" w:bidi="ar-SA"/>
          <w14:textFill>
            <w14:solidFill>
              <w14:schemeClr w14:val="tx1"/>
            </w14:solidFill>
          </w14:textFill>
        </w:rPr>
        <w:t>日</w:t>
      </w:r>
    </w:p>
    <w:p w14:paraId="43CDE728">
      <w:pPr>
        <w:pStyle w:val="5"/>
        <w:ind w:left="0" w:leftChars="0" w:firstLine="0" w:firstLineChars="0"/>
        <w:rPr>
          <w:rFonts w:hint="eastAsia" w:ascii="黑体" w:hAnsi="黑体" w:eastAsia="黑体" w:cs="黑体"/>
          <w:bCs/>
          <w:color w:val="000000" w:themeColor="text1"/>
          <w:kern w:val="0"/>
          <w:sz w:val="28"/>
          <w:szCs w:val="28"/>
          <w:lang w:val="en-US" w:eastAsia="zh-CN" w:bidi="ar-SA"/>
          <w14:textFill>
            <w14:solidFill>
              <w14:schemeClr w14:val="tx1"/>
            </w14:solidFill>
          </w14:textFill>
        </w:rPr>
      </w:pPr>
      <w:r>
        <w:rPr>
          <w:rFonts w:hint="eastAsia" w:ascii="黑体" w:hAnsi="黑体" w:eastAsia="黑体" w:cs="黑体"/>
          <w:bCs/>
          <w:color w:val="000000" w:themeColor="text1"/>
          <w:kern w:val="0"/>
          <w:sz w:val="28"/>
          <w:szCs w:val="28"/>
          <w:lang w:val="en-US" w:eastAsia="zh-CN" w:bidi="ar-SA"/>
          <w14:textFill>
            <w14:solidFill>
              <w14:schemeClr w14:val="tx1"/>
            </w14:solidFill>
          </w14:textFill>
        </w:rPr>
        <w:t>附件一</w:t>
      </w:r>
    </w:p>
    <w:p w14:paraId="5D3C7FC3">
      <w:pPr>
        <w:pStyle w:val="5"/>
        <w:ind w:left="0" w:leftChars="0" w:firstLine="0" w:firstLineChars="0"/>
        <w:rPr>
          <w:rFonts w:hint="default" w:ascii="仿宋_GB2312" w:eastAsia="仿宋_GB2312" w:cs="仿宋_GB2312"/>
          <w:bCs/>
          <w:color w:val="000000" w:themeColor="text1"/>
          <w:kern w:val="0"/>
          <w:sz w:val="28"/>
          <w:szCs w:val="28"/>
          <w:lang w:val="en-US" w:eastAsia="zh-CN" w:bidi="ar-SA"/>
          <w14:textFill>
            <w14:solidFill>
              <w14:schemeClr w14:val="tx1"/>
            </w14:solidFill>
          </w14:textFill>
        </w:rPr>
      </w:pPr>
      <w:r>
        <w:rPr>
          <w:rFonts w:hint="eastAsia" w:ascii="仿宋_GB2312" w:eastAsia="仿宋_GB2312" w:cs="仿宋_GB2312"/>
          <w:bCs/>
          <w:color w:val="000000" w:themeColor="text1"/>
          <w:kern w:val="0"/>
          <w:sz w:val="28"/>
          <w:szCs w:val="28"/>
          <w:lang w:val="en-US" w:eastAsia="zh-CN" w:bidi="ar-SA"/>
          <w14:textFill>
            <w14:solidFill>
              <w14:schemeClr w14:val="tx1"/>
            </w14:solidFill>
          </w14:textFill>
        </w:rPr>
        <w:t xml:space="preserve">                       </w:t>
      </w:r>
      <w:r>
        <w:rPr>
          <w:rFonts w:hint="eastAsia" w:ascii="仿宋_GB2312" w:eastAsia="仿宋_GB2312" w:cs="仿宋_GB2312"/>
          <w:b/>
          <w:bCs w:val="0"/>
          <w:color w:val="000000" w:themeColor="text1"/>
          <w:kern w:val="0"/>
          <w:sz w:val="30"/>
          <w:szCs w:val="30"/>
          <w:lang w:val="en-US" w:eastAsia="zh-CN" w:bidi="ar-SA"/>
          <w14:textFill>
            <w14:solidFill>
              <w14:schemeClr w14:val="tx1"/>
            </w14:solidFill>
          </w14:textFill>
        </w:rPr>
        <w:t>技术参数要求</w:t>
      </w:r>
    </w:p>
    <w:tbl>
      <w:tblPr>
        <w:tblStyle w:val="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2"/>
        <w:gridCol w:w="1968"/>
        <w:gridCol w:w="6836"/>
      </w:tblGrid>
      <w:tr w14:paraId="31DA4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22" w:type="pct"/>
            <w:vAlign w:val="center"/>
          </w:tcPr>
          <w:p w14:paraId="7D9E018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序号</w:t>
            </w:r>
          </w:p>
        </w:tc>
        <w:tc>
          <w:tcPr>
            <w:tcW w:w="1023" w:type="pct"/>
            <w:vAlign w:val="center"/>
          </w:tcPr>
          <w:p w14:paraId="20B1BCF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指标项</w:t>
            </w:r>
          </w:p>
        </w:tc>
        <w:tc>
          <w:tcPr>
            <w:tcW w:w="3554" w:type="pct"/>
            <w:vAlign w:val="center"/>
          </w:tcPr>
          <w:p w14:paraId="1510EE6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技术规格要求</w:t>
            </w:r>
          </w:p>
        </w:tc>
      </w:tr>
      <w:tr w14:paraId="514C6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22" w:type="pct"/>
            <w:vAlign w:val="center"/>
          </w:tcPr>
          <w:p w14:paraId="48A6365D">
            <w:pPr>
              <w:pStyle w:val="13"/>
              <w:keepNext w:val="0"/>
              <w:keepLines w:val="0"/>
              <w:pageBreakBefore w:val="0"/>
              <w:widowControl w:val="0"/>
              <w:numPr>
                <w:ilvl w:val="0"/>
                <w:numId w:val="2"/>
              </w:numPr>
              <w:kinsoku/>
              <w:wordWrap/>
              <w:overflowPunct/>
              <w:topLinePunct w:val="0"/>
              <w:autoSpaceDE/>
              <w:autoSpaceDN/>
              <w:bidi w:val="0"/>
              <w:adjustRightInd/>
              <w:snapToGrid/>
              <w:spacing w:line="400" w:lineRule="exact"/>
              <w:ind w:firstLineChars="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1023" w:type="pct"/>
            <w:vAlign w:val="center"/>
          </w:tcPr>
          <w:p w14:paraId="3BB7AED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基础要求</w:t>
            </w:r>
          </w:p>
        </w:tc>
        <w:tc>
          <w:tcPr>
            <w:tcW w:w="3554" w:type="pct"/>
            <w:vAlign w:val="center"/>
          </w:tcPr>
          <w:p w14:paraId="12DE9C9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基于linux开发的嵌入式专用系统，支持软硬件一体或虚拟化部署。</w:t>
            </w:r>
          </w:p>
        </w:tc>
      </w:tr>
      <w:tr w14:paraId="3846F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22" w:type="pct"/>
            <w:vAlign w:val="center"/>
          </w:tcPr>
          <w:p w14:paraId="5D852814">
            <w:pPr>
              <w:pStyle w:val="13"/>
              <w:keepNext w:val="0"/>
              <w:keepLines w:val="0"/>
              <w:pageBreakBefore w:val="0"/>
              <w:widowControl w:val="0"/>
              <w:numPr>
                <w:ilvl w:val="0"/>
                <w:numId w:val="2"/>
              </w:numPr>
              <w:kinsoku/>
              <w:wordWrap/>
              <w:overflowPunct/>
              <w:topLinePunct w:val="0"/>
              <w:autoSpaceDE/>
              <w:autoSpaceDN/>
              <w:bidi w:val="0"/>
              <w:adjustRightInd/>
              <w:snapToGrid/>
              <w:spacing w:line="400" w:lineRule="exact"/>
              <w:ind w:firstLineChars="0"/>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p>
        </w:tc>
        <w:tc>
          <w:tcPr>
            <w:tcW w:w="1023" w:type="pct"/>
            <w:vAlign w:val="center"/>
          </w:tcPr>
          <w:p w14:paraId="5FD3912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硬件指标</w:t>
            </w:r>
          </w:p>
        </w:tc>
        <w:tc>
          <w:tcPr>
            <w:tcW w:w="3554" w:type="pct"/>
            <w:vAlign w:val="center"/>
          </w:tcPr>
          <w:p w14:paraId="7806B3B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000000" w:themeColor="text1"/>
                <w:sz w:val="21"/>
                <w:szCs w:val="21"/>
                <w:shd w:val="clear" w:color="auto" w:fill="FFFFFF"/>
                <w:lang w:val="en-US" w:eastAsia="zh-CN"/>
                <w14:textFill>
                  <w14:solidFill>
                    <w14:schemeClr w14:val="tx1"/>
                  </w14:solidFill>
                </w14:textFill>
              </w:rPr>
            </w:pPr>
            <w:r>
              <w:rPr>
                <w:rFonts w:hint="eastAsia" w:ascii="宋体" w:hAnsi="宋体" w:eastAsia="宋体" w:cs="宋体"/>
                <w:b w:val="0"/>
                <w:bCs w:val="0"/>
                <w:color w:val="000000" w:themeColor="text1"/>
                <w:sz w:val="21"/>
                <w:szCs w:val="21"/>
                <w:shd w:val="clear" w:color="auto" w:fill="FFFFFF"/>
                <w14:textFill>
                  <w14:solidFill>
                    <w14:schemeClr w14:val="tx1"/>
                  </w14:solidFill>
                </w14:textFill>
              </w:rPr>
              <w:t>1U 机架结构;</w:t>
            </w:r>
            <w:r>
              <w:rPr>
                <w:rFonts w:hint="eastAsia" w:ascii="宋体" w:hAnsi="宋体" w:cs="宋体"/>
                <w:b w:val="0"/>
                <w:bCs w:val="0"/>
                <w:color w:val="000000" w:themeColor="text1"/>
                <w:sz w:val="21"/>
                <w:szCs w:val="21"/>
                <w:shd w:val="clear" w:color="auto" w:fill="FFFFFF"/>
                <w:lang w:val="en-US" w:eastAsia="zh-CN"/>
                <w14:textFill>
                  <w14:solidFill>
                    <w14:schemeClr w14:val="tx1"/>
                  </w14:solidFill>
                </w14:textFill>
              </w:rPr>
              <w:t>双</w:t>
            </w:r>
            <w:r>
              <w:rPr>
                <w:rFonts w:hint="eastAsia" w:ascii="宋体" w:hAnsi="宋体" w:eastAsia="宋体" w:cs="宋体"/>
                <w:b w:val="0"/>
                <w:bCs w:val="0"/>
                <w:color w:val="000000" w:themeColor="text1"/>
                <w:sz w:val="21"/>
                <w:szCs w:val="21"/>
                <w:shd w:val="clear" w:color="auto" w:fill="FFFFFF"/>
                <w14:textFill>
                  <w14:solidFill>
                    <w14:schemeClr w14:val="tx1"/>
                  </w14:solidFill>
                </w14:textFill>
              </w:rPr>
              <w:t>电源;标准配置6个1000MBASE-T接口,可配置1个接口卡;每秒事务数(TPS)</w:t>
            </w:r>
            <w:r>
              <w:rPr>
                <w:rFonts w:hint="eastAsia" w:ascii="宋体" w:hAnsi="宋体" w:eastAsia="宋体" w:cs="宋体"/>
                <w:b w:val="0"/>
                <w:bCs w:val="0"/>
                <w:color w:val="000000" w:themeColor="text1"/>
                <w:sz w:val="21"/>
                <w:szCs w:val="21"/>
                <w:shd w:val="clear" w:color="auto" w:fill="FFFFFF"/>
                <w:lang w:eastAsia="zh-CN"/>
                <w14:textFill>
                  <w14:solidFill>
                    <w14:schemeClr w14:val="tx1"/>
                  </w14:solidFill>
                </w14:textFill>
              </w:rPr>
              <w:t>：≥</w:t>
            </w:r>
            <w:r>
              <w:rPr>
                <w:rFonts w:hint="eastAsia" w:ascii="宋体" w:hAnsi="宋体" w:cs="宋体"/>
                <w:b w:val="0"/>
                <w:bCs w:val="0"/>
                <w:color w:val="000000" w:themeColor="text1"/>
                <w:sz w:val="21"/>
                <w:szCs w:val="21"/>
                <w:shd w:val="clear" w:color="auto" w:fill="FFFFFF"/>
                <w:lang w:val="en-US" w:eastAsia="zh-CN"/>
                <w14:textFill>
                  <w14:solidFill>
                    <w14:schemeClr w14:val="tx1"/>
                  </w14:solidFill>
                </w14:textFill>
              </w:rPr>
              <w:t>5</w:t>
            </w:r>
            <w:r>
              <w:rPr>
                <w:rFonts w:hint="eastAsia" w:ascii="宋体" w:hAnsi="宋体" w:eastAsia="宋体" w:cs="宋体"/>
                <w:b w:val="0"/>
                <w:bCs w:val="0"/>
                <w:color w:val="000000" w:themeColor="text1"/>
                <w:sz w:val="21"/>
                <w:szCs w:val="21"/>
                <w:shd w:val="clear" w:color="auto" w:fill="FFFFFF"/>
                <w14:textFill>
                  <w14:solidFill>
                    <w14:schemeClr w14:val="tx1"/>
                  </w14:solidFill>
                </w14:textFill>
              </w:rPr>
              <w:t>000(次/秒)，最大吞吐量:</w:t>
            </w:r>
            <w:r>
              <w:rPr>
                <w:rFonts w:hint="eastAsia" w:ascii="宋体" w:hAnsi="宋体" w:eastAsia="宋体" w:cs="宋体"/>
                <w:b w:val="0"/>
                <w:bCs w:val="0"/>
                <w:color w:val="000000" w:themeColor="text1"/>
                <w:sz w:val="21"/>
                <w:szCs w:val="21"/>
                <w:shd w:val="clear" w:color="auto" w:fill="FFFFFF"/>
                <w:lang w:eastAsia="zh-CN"/>
                <w14:textFill>
                  <w14:solidFill>
                    <w14:schemeClr w14:val="tx1"/>
                  </w14:solidFill>
                </w14:textFill>
              </w:rPr>
              <w:t>≥</w:t>
            </w:r>
            <w:r>
              <w:rPr>
                <w:rFonts w:hint="eastAsia" w:ascii="宋体" w:hAnsi="宋体" w:eastAsia="宋体" w:cs="宋体"/>
                <w:b w:val="0"/>
                <w:bCs w:val="0"/>
                <w:color w:val="000000" w:themeColor="text1"/>
                <w:sz w:val="21"/>
                <w:szCs w:val="21"/>
                <w:shd w:val="clear" w:color="auto" w:fill="FFFFFF"/>
                <w14:textFill>
                  <w14:solidFill>
                    <w14:schemeClr w14:val="tx1"/>
                  </w14:solidFill>
                </w14:textFill>
              </w:rPr>
              <w:t>2Gbps，最大并发连接数:</w:t>
            </w:r>
            <w:r>
              <w:rPr>
                <w:rFonts w:hint="eastAsia" w:ascii="宋体" w:hAnsi="宋体" w:cs="宋体"/>
                <w:b w:val="0"/>
                <w:bCs w:val="0"/>
                <w:color w:val="000000" w:themeColor="text1"/>
                <w:sz w:val="21"/>
                <w:szCs w:val="21"/>
                <w:shd w:val="clear" w:color="auto" w:fill="FFFFFF"/>
                <w:lang w:val="en-US" w:eastAsia="zh-CN"/>
                <w14:textFill>
                  <w14:solidFill>
                    <w14:schemeClr w14:val="tx1"/>
                  </w14:solidFill>
                </w14:textFill>
              </w:rPr>
              <w:t>4</w:t>
            </w:r>
            <w:r>
              <w:rPr>
                <w:rFonts w:hint="eastAsia" w:ascii="宋体" w:hAnsi="宋体" w:eastAsia="宋体" w:cs="宋体"/>
                <w:b w:val="0"/>
                <w:bCs w:val="0"/>
                <w:color w:val="000000" w:themeColor="text1"/>
                <w:sz w:val="21"/>
                <w:szCs w:val="21"/>
                <w:shd w:val="clear" w:color="auto" w:fill="FFFFFF"/>
                <w14:textFill>
                  <w14:solidFill>
                    <w14:schemeClr w14:val="tx1"/>
                  </w14:solidFill>
                </w14:textFill>
              </w:rPr>
              <w:t>000(条)</w:t>
            </w:r>
            <w:r>
              <w:rPr>
                <w:rFonts w:hint="eastAsia" w:ascii="宋体" w:hAnsi="宋体" w:eastAsia="宋体" w:cs="宋体"/>
                <w:b w:val="0"/>
                <w:bCs w:val="0"/>
                <w:color w:val="000000" w:themeColor="text1"/>
                <w:sz w:val="21"/>
                <w:szCs w:val="21"/>
                <w:shd w:val="clear" w:color="auto" w:fill="FFFFFF"/>
                <w:lang w:eastAsia="zh-CN"/>
                <w14:textFill>
                  <w14:solidFill>
                    <w14:schemeClr w14:val="tx1"/>
                  </w14:solidFill>
                </w14:textFill>
              </w:rPr>
              <w:t>；</w:t>
            </w:r>
            <w:r>
              <w:rPr>
                <w:rFonts w:hint="eastAsia" w:ascii="宋体" w:hAnsi="宋体" w:eastAsia="宋体" w:cs="宋体"/>
                <w:b w:val="0"/>
                <w:bCs w:val="0"/>
                <w:color w:val="000000" w:themeColor="text1"/>
                <w:sz w:val="21"/>
                <w:szCs w:val="21"/>
                <w:shd w:val="clear" w:color="auto" w:fill="FFFFFF"/>
                <w:lang w:val="en-US" w:eastAsia="zh-CN"/>
                <w14:textFill>
                  <w14:solidFill>
                    <w14:schemeClr w14:val="tx1"/>
                  </w14:solidFill>
                </w14:textFill>
              </w:rPr>
              <w:t>本次项目提供</w:t>
            </w:r>
            <w:r>
              <w:rPr>
                <w:rFonts w:hint="eastAsia" w:ascii="宋体" w:hAnsi="宋体" w:cs="宋体"/>
                <w:b w:val="0"/>
                <w:bCs w:val="0"/>
                <w:color w:val="000000" w:themeColor="text1"/>
                <w:sz w:val="21"/>
                <w:szCs w:val="21"/>
                <w:shd w:val="clear" w:color="auto" w:fill="FFFFFF"/>
                <w:lang w:val="en-US" w:eastAsia="zh-CN"/>
                <w14:textFill>
                  <w14:solidFill>
                    <w14:schemeClr w14:val="tx1"/>
                  </w14:solidFill>
                </w14:textFill>
              </w:rPr>
              <w:t>2000</w:t>
            </w:r>
            <w:r>
              <w:rPr>
                <w:rFonts w:hint="eastAsia" w:ascii="宋体" w:hAnsi="宋体" w:eastAsia="宋体" w:cs="宋体"/>
                <w:b w:val="0"/>
                <w:bCs w:val="0"/>
                <w:color w:val="000000" w:themeColor="text1"/>
                <w:sz w:val="21"/>
                <w:szCs w:val="21"/>
                <w:shd w:val="clear" w:color="auto" w:fill="FFFFFF"/>
                <w:lang w:val="en-US" w:eastAsia="zh-CN"/>
                <w14:textFill>
                  <w14:solidFill>
                    <w14:schemeClr w14:val="tx1"/>
                  </w14:solidFill>
                </w14:textFill>
              </w:rPr>
              <w:t>点终端接入授权</w:t>
            </w:r>
          </w:p>
        </w:tc>
      </w:tr>
      <w:tr w14:paraId="4D757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22" w:type="pct"/>
            <w:vAlign w:val="center"/>
          </w:tcPr>
          <w:p w14:paraId="7281BB17">
            <w:pPr>
              <w:pStyle w:val="13"/>
              <w:keepNext w:val="0"/>
              <w:keepLines w:val="0"/>
              <w:pageBreakBefore w:val="0"/>
              <w:widowControl w:val="0"/>
              <w:numPr>
                <w:ilvl w:val="0"/>
                <w:numId w:val="2"/>
              </w:numPr>
              <w:kinsoku/>
              <w:wordWrap/>
              <w:overflowPunct/>
              <w:topLinePunct w:val="0"/>
              <w:autoSpaceDE/>
              <w:autoSpaceDN/>
              <w:bidi w:val="0"/>
              <w:adjustRightInd/>
              <w:snapToGrid/>
              <w:spacing w:line="400" w:lineRule="exact"/>
              <w:ind w:firstLineChars="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1023" w:type="pct"/>
            <w:vAlign w:val="center"/>
          </w:tcPr>
          <w:p w14:paraId="7276CD4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安全登录</w:t>
            </w:r>
          </w:p>
        </w:tc>
        <w:tc>
          <w:tcPr>
            <w:tcW w:w="3554" w:type="pct"/>
            <w:vAlign w:val="center"/>
          </w:tcPr>
          <w:p w14:paraId="1FAC061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1"/>
                <w:szCs w:val="21"/>
                <w:shd w:val="clear" w:color="auto" w:fill="FFFFFF"/>
                <w14:textFill>
                  <w14:solidFill>
                    <w14:schemeClr w14:val="tx1"/>
                  </w14:solidFill>
                </w14:textFill>
              </w:rPr>
            </w:pPr>
            <w:r>
              <w:rPr>
                <w:rFonts w:hint="eastAsia" w:ascii="宋体" w:hAnsi="宋体" w:eastAsia="宋体" w:cs="宋体"/>
                <w:color w:val="000000" w:themeColor="text1"/>
                <w:sz w:val="21"/>
                <w:szCs w:val="21"/>
                <w:shd w:val="clear" w:color="auto" w:fill="FFFFFF"/>
                <w14:textFill>
                  <w14:solidFill>
                    <w14:schemeClr w14:val="tx1"/>
                  </w14:solidFill>
                </w14:textFill>
              </w:rPr>
              <w:t>使用安全登录组建替代域控账户控制，安全登录功能扩展了Windows系统原有</w:t>
            </w:r>
            <w:r>
              <w:rPr>
                <w:rFonts w:hint="eastAsia" w:ascii="宋体" w:hAnsi="宋体" w:cs="宋体"/>
                <w:color w:val="000000" w:themeColor="text1"/>
                <w:sz w:val="21"/>
                <w:szCs w:val="21"/>
                <w:shd w:val="clear" w:color="auto" w:fill="FFFFFF"/>
                <w:lang w:eastAsia="zh-CN"/>
                <w14:textFill>
                  <w14:solidFill>
                    <w14:schemeClr w14:val="tx1"/>
                  </w14:solidFill>
                </w14:textFill>
              </w:rPr>
              <w:t>的账号</w:t>
            </w:r>
            <w:r>
              <w:rPr>
                <w:rFonts w:hint="eastAsia" w:ascii="宋体" w:hAnsi="宋体" w:eastAsia="宋体" w:cs="宋体"/>
                <w:color w:val="000000" w:themeColor="text1"/>
                <w:sz w:val="21"/>
                <w:szCs w:val="21"/>
                <w:shd w:val="clear" w:color="auto" w:fill="FFFFFF"/>
                <w14:textFill>
                  <w14:solidFill>
                    <w14:schemeClr w14:val="tx1"/>
                  </w14:solidFill>
                </w14:textFill>
              </w:rPr>
              <w:t>+口令的登录方式，使之支持Ukey、智能卡、平台自</w:t>
            </w:r>
            <w:r>
              <w:rPr>
                <w:rFonts w:hint="eastAsia" w:ascii="宋体" w:hAnsi="宋体" w:cs="宋体"/>
                <w:color w:val="000000" w:themeColor="text1"/>
                <w:sz w:val="21"/>
                <w:szCs w:val="21"/>
                <w:shd w:val="clear" w:color="auto" w:fill="FFFFFF"/>
                <w:lang w:eastAsia="zh-CN"/>
                <w14:textFill>
                  <w14:solidFill>
                    <w14:schemeClr w14:val="tx1"/>
                  </w14:solidFill>
                </w14:textFill>
              </w:rPr>
              <w:t>建账号</w:t>
            </w:r>
            <w:r>
              <w:rPr>
                <w:rFonts w:hint="eastAsia" w:ascii="宋体" w:hAnsi="宋体" w:eastAsia="宋体" w:cs="宋体"/>
                <w:color w:val="000000" w:themeColor="text1"/>
                <w:sz w:val="21"/>
                <w:szCs w:val="21"/>
                <w:shd w:val="clear" w:color="auto" w:fill="FFFFFF"/>
                <w14:textFill>
                  <w14:solidFill>
                    <w14:schemeClr w14:val="tx1"/>
                  </w14:solidFill>
                </w14:textFill>
              </w:rPr>
              <w:t>、</w:t>
            </w:r>
            <w:r>
              <w:rPr>
                <w:rFonts w:hint="eastAsia" w:ascii="宋体" w:hAnsi="宋体" w:cs="宋体"/>
                <w:color w:val="000000" w:themeColor="text1"/>
                <w:sz w:val="21"/>
                <w:szCs w:val="21"/>
                <w:shd w:val="clear" w:color="auto" w:fill="FFFFFF"/>
                <w:lang w:eastAsia="zh-CN"/>
                <w14:textFill>
                  <w14:solidFill>
                    <w14:schemeClr w14:val="tx1"/>
                  </w14:solidFill>
                </w14:textFill>
              </w:rPr>
              <w:t>邮箱账号</w:t>
            </w:r>
            <w:r>
              <w:rPr>
                <w:rFonts w:hint="eastAsia" w:ascii="宋体" w:hAnsi="宋体" w:eastAsia="宋体" w:cs="宋体"/>
                <w:color w:val="000000" w:themeColor="text1"/>
                <w:sz w:val="21"/>
                <w:szCs w:val="21"/>
                <w:shd w:val="clear" w:color="auto" w:fill="FFFFFF"/>
                <w14:textFill>
                  <w14:solidFill>
                    <w14:schemeClr w14:val="tx1"/>
                  </w14:solidFill>
                </w14:textFill>
              </w:rPr>
              <w:t>、LDAP、Radius、动态验证码等各种方式认证并登录Windows系统</w:t>
            </w:r>
            <w:r>
              <w:rPr>
                <w:rFonts w:hint="eastAsia" w:ascii="宋体" w:hAnsi="宋体" w:cs="宋体"/>
                <w:color w:val="000000" w:themeColor="text1"/>
                <w:sz w:val="21"/>
                <w:szCs w:val="21"/>
                <w:shd w:val="clear" w:color="auto" w:fill="FFFFFF"/>
                <w:lang w:eastAsia="zh-CN"/>
                <w14:textFill>
                  <w14:solidFill>
                    <w14:schemeClr w14:val="tx1"/>
                  </w14:solidFill>
                </w14:textFill>
              </w:rPr>
              <w:t>，</w:t>
            </w:r>
            <w:r>
              <w:rPr>
                <w:rFonts w:hint="eastAsia" w:ascii="宋体" w:hAnsi="宋体" w:cs="宋体"/>
                <w:color w:val="000000" w:themeColor="text1"/>
                <w:sz w:val="21"/>
                <w:szCs w:val="21"/>
                <w:shd w:val="clear" w:color="auto" w:fill="FFFFFF"/>
                <w:lang w:val="en-US" w:eastAsia="zh-CN"/>
                <w14:textFill>
                  <w14:solidFill>
                    <w14:schemeClr w14:val="tx1"/>
                  </w14:solidFill>
                </w14:textFill>
              </w:rPr>
              <w:t>同时支持linux系统</w:t>
            </w:r>
            <w:r>
              <w:rPr>
                <w:rFonts w:hint="eastAsia" w:ascii="宋体" w:hAnsi="宋体" w:eastAsia="宋体" w:cs="宋体"/>
                <w:color w:val="000000" w:themeColor="text1"/>
                <w:sz w:val="21"/>
                <w:szCs w:val="21"/>
                <w:shd w:val="clear" w:color="auto" w:fill="FFFFFF"/>
                <w14:textFill>
                  <w14:solidFill>
                    <w14:schemeClr w14:val="tx1"/>
                  </w14:solidFill>
                </w14:textFill>
              </w:rPr>
              <w:t>。</w:t>
            </w:r>
            <w:r>
              <w:rPr>
                <w:rFonts w:hint="eastAsia"/>
                <w:color w:val="000000" w:themeColor="text1"/>
                <w:sz w:val="21"/>
                <w:szCs w:val="21"/>
                <w14:textFill>
                  <w14:solidFill>
                    <w14:schemeClr w14:val="tx1"/>
                  </w14:solidFill>
                </w14:textFill>
              </w:rPr>
              <w:t>提供产品功能截图并加盖原厂商公章</w:t>
            </w:r>
            <w:r>
              <w:rPr>
                <w:rFonts w:hint="eastAsia"/>
                <w:color w:val="000000" w:themeColor="text1"/>
                <w:sz w:val="21"/>
                <w:szCs w:val="21"/>
                <w:lang w:eastAsia="zh-CN"/>
                <w14:textFill>
                  <w14:solidFill>
                    <w14:schemeClr w14:val="tx1"/>
                  </w14:solidFill>
                </w14:textFill>
              </w:rPr>
              <w:t>）</w:t>
            </w:r>
          </w:p>
        </w:tc>
      </w:tr>
      <w:tr w14:paraId="5166D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22" w:type="pct"/>
            <w:vAlign w:val="center"/>
          </w:tcPr>
          <w:p w14:paraId="2B499D3F">
            <w:pPr>
              <w:pStyle w:val="13"/>
              <w:keepNext w:val="0"/>
              <w:keepLines w:val="0"/>
              <w:pageBreakBefore w:val="0"/>
              <w:widowControl w:val="0"/>
              <w:numPr>
                <w:ilvl w:val="0"/>
                <w:numId w:val="2"/>
              </w:numPr>
              <w:kinsoku/>
              <w:wordWrap/>
              <w:overflowPunct/>
              <w:topLinePunct w:val="0"/>
              <w:autoSpaceDE/>
              <w:autoSpaceDN/>
              <w:bidi w:val="0"/>
              <w:adjustRightInd/>
              <w:snapToGrid/>
              <w:spacing w:line="400" w:lineRule="exact"/>
              <w:ind w:firstLineChars="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1023" w:type="pct"/>
            <w:vMerge w:val="restart"/>
            <w:vAlign w:val="center"/>
          </w:tcPr>
          <w:p w14:paraId="28E3934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终端故障检测</w:t>
            </w:r>
          </w:p>
        </w:tc>
        <w:tc>
          <w:tcPr>
            <w:tcW w:w="3554" w:type="pct"/>
            <w:vAlign w:val="center"/>
          </w:tcPr>
          <w:p w14:paraId="492B79A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1"/>
                <w:szCs w:val="21"/>
                <w:shd w:val="clear" w:color="auto" w:fill="FFFFFF"/>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支持对终端cpu使用率过高、内存使用率过高、磁盘占用率过高等硬件性能故障进行智能监测，并提供自动修复方式；</w:t>
            </w:r>
          </w:p>
        </w:tc>
      </w:tr>
      <w:tr w14:paraId="70AFD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22" w:type="pct"/>
            <w:vAlign w:val="center"/>
          </w:tcPr>
          <w:p w14:paraId="2195C94B">
            <w:pPr>
              <w:pStyle w:val="13"/>
              <w:keepNext w:val="0"/>
              <w:keepLines w:val="0"/>
              <w:pageBreakBefore w:val="0"/>
              <w:widowControl w:val="0"/>
              <w:numPr>
                <w:ilvl w:val="0"/>
                <w:numId w:val="2"/>
              </w:numPr>
              <w:kinsoku/>
              <w:wordWrap/>
              <w:overflowPunct/>
              <w:topLinePunct w:val="0"/>
              <w:autoSpaceDE/>
              <w:autoSpaceDN/>
              <w:bidi w:val="0"/>
              <w:adjustRightInd/>
              <w:snapToGrid/>
              <w:spacing w:line="400" w:lineRule="exact"/>
              <w:ind w:firstLineChars="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1023" w:type="pct"/>
            <w:vMerge w:val="continue"/>
            <w:vAlign w:val="center"/>
          </w:tcPr>
          <w:p w14:paraId="59D0587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000000" w:themeColor="text1"/>
                <w:sz w:val="21"/>
                <w:szCs w:val="21"/>
                <w:lang w:val="en-US" w:eastAsia="zh-CN"/>
                <w14:textFill>
                  <w14:solidFill>
                    <w14:schemeClr w14:val="tx1"/>
                  </w14:solidFill>
                </w14:textFill>
              </w:rPr>
            </w:pPr>
          </w:p>
        </w:tc>
        <w:tc>
          <w:tcPr>
            <w:tcW w:w="3554" w:type="pct"/>
            <w:vAlign w:val="center"/>
          </w:tcPr>
          <w:p w14:paraId="27FC575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1"/>
                <w:szCs w:val="21"/>
                <w:shd w:val="clear" w:color="auto" w:fill="FFFFFF"/>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支持对终端网络连接异常、IP地址配置错误、网络连接质量差等网络故障进行智能监测，并提供自动修复的方式；</w:t>
            </w:r>
            <w:r>
              <w:rPr>
                <w:rFonts w:hint="eastAsia" w:ascii="宋体" w:hAnsi="宋体" w:cs="宋体"/>
                <w:color w:val="000000" w:themeColor="text1"/>
                <w:sz w:val="21"/>
                <w:szCs w:val="21"/>
                <w:shd w:val="clear" w:color="auto" w:fill="FFFFFF"/>
                <w:lang w:eastAsia="zh-CN"/>
                <w14:textFill>
                  <w14:solidFill>
                    <w14:schemeClr w14:val="tx1"/>
                  </w14:solidFill>
                </w14:textFill>
              </w:rPr>
              <w:t>（</w:t>
            </w:r>
            <w:r>
              <w:rPr>
                <w:rFonts w:hint="eastAsia"/>
                <w:color w:val="000000" w:themeColor="text1"/>
                <w:sz w:val="21"/>
                <w:szCs w:val="21"/>
                <w14:textFill>
                  <w14:solidFill>
                    <w14:schemeClr w14:val="tx1"/>
                  </w14:solidFill>
                </w14:textFill>
              </w:rPr>
              <w:t>提供产品功能截图并加盖原厂商公章</w:t>
            </w:r>
            <w:r>
              <w:rPr>
                <w:rFonts w:hint="eastAsia"/>
                <w:color w:val="000000" w:themeColor="text1"/>
                <w:sz w:val="21"/>
                <w:szCs w:val="21"/>
                <w:lang w:eastAsia="zh-CN"/>
                <w14:textFill>
                  <w14:solidFill>
                    <w14:schemeClr w14:val="tx1"/>
                  </w14:solidFill>
                </w14:textFill>
              </w:rPr>
              <w:t>）</w:t>
            </w:r>
          </w:p>
        </w:tc>
      </w:tr>
      <w:tr w14:paraId="7110F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22" w:type="pct"/>
            <w:vAlign w:val="center"/>
          </w:tcPr>
          <w:p w14:paraId="4845B799">
            <w:pPr>
              <w:pStyle w:val="13"/>
              <w:keepNext w:val="0"/>
              <w:keepLines w:val="0"/>
              <w:pageBreakBefore w:val="0"/>
              <w:widowControl w:val="0"/>
              <w:numPr>
                <w:ilvl w:val="0"/>
                <w:numId w:val="2"/>
              </w:numPr>
              <w:kinsoku/>
              <w:wordWrap/>
              <w:overflowPunct/>
              <w:topLinePunct w:val="0"/>
              <w:autoSpaceDE/>
              <w:autoSpaceDN/>
              <w:bidi w:val="0"/>
              <w:adjustRightInd/>
              <w:snapToGrid/>
              <w:spacing w:line="400" w:lineRule="exact"/>
              <w:ind w:firstLineChars="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1023" w:type="pct"/>
            <w:vMerge w:val="continue"/>
            <w:vAlign w:val="center"/>
          </w:tcPr>
          <w:p w14:paraId="22395B9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000000" w:themeColor="text1"/>
                <w:sz w:val="21"/>
                <w:szCs w:val="21"/>
                <w:lang w:val="en-US" w:eastAsia="zh-CN"/>
                <w14:textFill>
                  <w14:solidFill>
                    <w14:schemeClr w14:val="tx1"/>
                  </w14:solidFill>
                </w14:textFill>
              </w:rPr>
            </w:pPr>
          </w:p>
        </w:tc>
        <w:tc>
          <w:tcPr>
            <w:tcW w:w="3554" w:type="pct"/>
            <w:vAlign w:val="center"/>
          </w:tcPr>
          <w:p w14:paraId="5B30528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1"/>
                <w:szCs w:val="21"/>
                <w:shd w:val="clear" w:color="auto" w:fill="FFFFFF"/>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支持对终端超时长运行、异常进程、杀毒软件冲突等操作系统故障进行智能监测，并提供自动修复的方式</w:t>
            </w:r>
            <w:r>
              <w:rPr>
                <w:rFonts w:hint="eastAsia" w:ascii="宋体" w:hAnsi="宋体" w:cs="宋体"/>
                <w:color w:val="000000" w:themeColor="text1"/>
                <w:sz w:val="21"/>
                <w:szCs w:val="21"/>
                <w:lang w:eastAsia="zh-CN"/>
                <w14:textFill>
                  <w14:solidFill>
                    <w14:schemeClr w14:val="tx1"/>
                  </w14:solidFill>
                </w14:textFill>
              </w:rPr>
              <w:t>；</w:t>
            </w:r>
            <w:r>
              <w:rPr>
                <w:rFonts w:hint="eastAsia" w:ascii="宋体" w:hAnsi="宋体" w:cs="宋体"/>
                <w:color w:val="000000" w:themeColor="text1"/>
                <w:sz w:val="21"/>
                <w:szCs w:val="21"/>
                <w:shd w:val="clear" w:color="auto" w:fill="FFFFFF"/>
                <w:lang w:eastAsia="zh-CN"/>
                <w14:textFill>
                  <w14:solidFill>
                    <w14:schemeClr w14:val="tx1"/>
                  </w14:solidFill>
                </w14:textFill>
              </w:rPr>
              <w:t>（</w:t>
            </w:r>
            <w:r>
              <w:rPr>
                <w:rFonts w:hint="eastAsia"/>
                <w:color w:val="000000" w:themeColor="text1"/>
                <w:sz w:val="21"/>
                <w:szCs w:val="21"/>
                <w14:textFill>
                  <w14:solidFill>
                    <w14:schemeClr w14:val="tx1"/>
                  </w14:solidFill>
                </w14:textFill>
              </w:rPr>
              <w:t>提供产品功能截图并加盖原厂商公章</w:t>
            </w:r>
            <w:r>
              <w:rPr>
                <w:rFonts w:hint="eastAsia"/>
                <w:color w:val="000000" w:themeColor="text1"/>
                <w:sz w:val="21"/>
                <w:szCs w:val="21"/>
                <w:lang w:eastAsia="zh-CN"/>
                <w14:textFill>
                  <w14:solidFill>
                    <w14:schemeClr w14:val="tx1"/>
                  </w14:solidFill>
                </w14:textFill>
              </w:rPr>
              <w:t>）</w:t>
            </w:r>
          </w:p>
        </w:tc>
      </w:tr>
      <w:tr w14:paraId="40506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22" w:type="pct"/>
            <w:vAlign w:val="center"/>
          </w:tcPr>
          <w:p w14:paraId="60EF1557">
            <w:pPr>
              <w:pStyle w:val="13"/>
              <w:keepNext w:val="0"/>
              <w:keepLines w:val="0"/>
              <w:pageBreakBefore w:val="0"/>
              <w:widowControl w:val="0"/>
              <w:numPr>
                <w:ilvl w:val="0"/>
                <w:numId w:val="2"/>
              </w:numPr>
              <w:kinsoku/>
              <w:wordWrap/>
              <w:overflowPunct/>
              <w:topLinePunct w:val="0"/>
              <w:autoSpaceDE/>
              <w:autoSpaceDN/>
              <w:bidi w:val="0"/>
              <w:adjustRightInd/>
              <w:snapToGrid/>
              <w:spacing w:line="400" w:lineRule="exact"/>
              <w:ind w:firstLineChars="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1023" w:type="pct"/>
            <w:vMerge w:val="continue"/>
            <w:vAlign w:val="center"/>
          </w:tcPr>
          <w:p w14:paraId="0630AF3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000000" w:themeColor="text1"/>
                <w:sz w:val="21"/>
                <w:szCs w:val="21"/>
                <w:lang w:val="en-US" w:eastAsia="zh-CN"/>
                <w14:textFill>
                  <w14:solidFill>
                    <w14:schemeClr w14:val="tx1"/>
                  </w14:solidFill>
                </w14:textFill>
              </w:rPr>
            </w:pPr>
          </w:p>
        </w:tc>
        <w:tc>
          <w:tcPr>
            <w:tcW w:w="3554" w:type="pct"/>
            <w:vAlign w:val="center"/>
          </w:tcPr>
          <w:p w14:paraId="3530017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1"/>
                <w:szCs w:val="21"/>
                <w:shd w:val="clear" w:color="auto" w:fill="FFFFFF"/>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支持对终端打印机连接异常、打印服务未启用、打印队列阻塞等打印故障进行智能监测，并提供自动修复的方式</w:t>
            </w:r>
            <w:r>
              <w:rPr>
                <w:rFonts w:hint="eastAsia" w:ascii="宋体" w:hAnsi="宋体" w:cs="宋体"/>
                <w:color w:val="000000" w:themeColor="text1"/>
                <w:sz w:val="21"/>
                <w:szCs w:val="21"/>
                <w:lang w:eastAsia="zh-CN"/>
                <w14:textFill>
                  <w14:solidFill>
                    <w14:schemeClr w14:val="tx1"/>
                  </w14:solidFill>
                </w14:textFill>
              </w:rPr>
              <w:t>；</w:t>
            </w:r>
            <w:r>
              <w:rPr>
                <w:rFonts w:hint="eastAsia" w:ascii="宋体" w:hAnsi="宋体" w:cs="宋体"/>
                <w:color w:val="000000" w:themeColor="text1"/>
                <w:sz w:val="21"/>
                <w:szCs w:val="21"/>
                <w:shd w:val="clear" w:color="auto" w:fill="FFFFFF"/>
                <w:lang w:eastAsia="zh-CN"/>
                <w14:textFill>
                  <w14:solidFill>
                    <w14:schemeClr w14:val="tx1"/>
                  </w14:solidFill>
                </w14:textFill>
              </w:rPr>
              <w:t>（</w:t>
            </w:r>
            <w:r>
              <w:rPr>
                <w:rFonts w:hint="eastAsia"/>
                <w:color w:val="000000" w:themeColor="text1"/>
                <w:sz w:val="21"/>
                <w:szCs w:val="21"/>
                <w14:textFill>
                  <w14:solidFill>
                    <w14:schemeClr w14:val="tx1"/>
                  </w14:solidFill>
                </w14:textFill>
              </w:rPr>
              <w:t>提供产品功能截图并加盖原厂商公章</w:t>
            </w:r>
            <w:r>
              <w:rPr>
                <w:rFonts w:hint="eastAsia"/>
                <w:color w:val="000000" w:themeColor="text1"/>
                <w:sz w:val="21"/>
                <w:szCs w:val="21"/>
                <w:lang w:eastAsia="zh-CN"/>
                <w14:textFill>
                  <w14:solidFill>
                    <w14:schemeClr w14:val="tx1"/>
                  </w14:solidFill>
                </w14:textFill>
              </w:rPr>
              <w:t>）</w:t>
            </w:r>
          </w:p>
        </w:tc>
      </w:tr>
      <w:tr w14:paraId="13CA3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22" w:type="pct"/>
            <w:vAlign w:val="center"/>
          </w:tcPr>
          <w:p w14:paraId="3E1236EC">
            <w:pPr>
              <w:pStyle w:val="13"/>
              <w:keepNext w:val="0"/>
              <w:keepLines w:val="0"/>
              <w:pageBreakBefore w:val="0"/>
              <w:widowControl w:val="0"/>
              <w:numPr>
                <w:ilvl w:val="0"/>
                <w:numId w:val="2"/>
              </w:numPr>
              <w:kinsoku/>
              <w:wordWrap/>
              <w:overflowPunct/>
              <w:topLinePunct w:val="0"/>
              <w:autoSpaceDE/>
              <w:autoSpaceDN/>
              <w:bidi w:val="0"/>
              <w:adjustRightInd/>
              <w:snapToGrid/>
              <w:spacing w:line="400" w:lineRule="exact"/>
              <w:ind w:firstLineChars="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1023" w:type="pct"/>
            <w:vMerge w:val="continue"/>
            <w:vAlign w:val="center"/>
          </w:tcPr>
          <w:p w14:paraId="06D7E33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000000" w:themeColor="text1"/>
                <w:sz w:val="21"/>
                <w:szCs w:val="21"/>
                <w:lang w:val="en-US" w:eastAsia="zh-CN"/>
                <w14:textFill>
                  <w14:solidFill>
                    <w14:schemeClr w14:val="tx1"/>
                  </w14:solidFill>
                </w14:textFill>
              </w:rPr>
            </w:pPr>
          </w:p>
        </w:tc>
        <w:tc>
          <w:tcPr>
            <w:tcW w:w="3554" w:type="pct"/>
            <w:vAlign w:val="center"/>
          </w:tcPr>
          <w:p w14:paraId="0BAB4F4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1"/>
                <w:szCs w:val="21"/>
                <w:shd w:val="clear" w:color="auto" w:fill="FFFFFF"/>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支持一键故障诊断，在客户端侧支持对本机进行一键故障诊断；在管理后台，管理员可对指定终端进行远程一键故障诊断。</w:t>
            </w:r>
          </w:p>
        </w:tc>
      </w:tr>
      <w:tr w14:paraId="53378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6" w:hRule="atLeast"/>
          <w:jc w:val="center"/>
        </w:trPr>
        <w:tc>
          <w:tcPr>
            <w:tcW w:w="422" w:type="pct"/>
            <w:vAlign w:val="center"/>
          </w:tcPr>
          <w:p w14:paraId="45E2600B">
            <w:pPr>
              <w:pStyle w:val="13"/>
              <w:keepNext w:val="0"/>
              <w:keepLines w:val="0"/>
              <w:pageBreakBefore w:val="0"/>
              <w:widowControl w:val="0"/>
              <w:numPr>
                <w:ilvl w:val="0"/>
                <w:numId w:val="2"/>
              </w:numPr>
              <w:kinsoku/>
              <w:wordWrap/>
              <w:overflowPunct/>
              <w:topLinePunct w:val="0"/>
              <w:autoSpaceDE/>
              <w:autoSpaceDN/>
              <w:bidi w:val="0"/>
              <w:adjustRightInd/>
              <w:snapToGrid/>
              <w:spacing w:line="400" w:lineRule="exact"/>
              <w:ind w:firstLineChars="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1023" w:type="pct"/>
            <w:vMerge w:val="restart"/>
            <w:vAlign w:val="center"/>
          </w:tcPr>
          <w:p w14:paraId="53C4AD2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运维工作台</w:t>
            </w:r>
          </w:p>
        </w:tc>
        <w:tc>
          <w:tcPr>
            <w:tcW w:w="3554" w:type="pct"/>
            <w:vAlign w:val="center"/>
          </w:tcPr>
          <w:p w14:paraId="616811C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1"/>
                <w:szCs w:val="21"/>
                <w:shd w:val="clear" w:color="auto" w:fill="FFFFFF"/>
                <w14:textFill>
                  <w14:solidFill>
                    <w14:schemeClr w14:val="tx1"/>
                  </w14:solidFill>
                </w14:textFill>
              </w:rPr>
            </w:pPr>
            <w:r>
              <w:rPr>
                <w:rFonts w:hint="eastAsia" w:ascii="宋体" w:hAnsi="宋体" w:eastAsia="宋体" w:cs="宋体"/>
                <w:color w:val="000000" w:themeColor="text1"/>
                <w:sz w:val="21"/>
                <w:szCs w:val="21"/>
                <w:shd w:val="clear" w:color="auto" w:fill="FFFFFF"/>
                <w14:textFill>
                  <w14:solidFill>
                    <w14:schemeClr w14:val="tx1"/>
                  </w14:solidFill>
                </w14:textFill>
              </w:rPr>
              <w:t>支持以卡片形式对终端进行远程控制、IP地址更改、计算机名更改等操作；同时支持重启、关机、卸载客户端等批量操作</w:t>
            </w:r>
            <w:r>
              <w:rPr>
                <w:rFonts w:hint="eastAsia" w:ascii="宋体" w:hAnsi="宋体" w:cs="宋体"/>
                <w:color w:val="000000" w:themeColor="text1"/>
                <w:sz w:val="21"/>
                <w:szCs w:val="21"/>
                <w:shd w:val="clear" w:color="auto" w:fill="FFFFFF"/>
                <w:lang w:eastAsia="zh-CN"/>
                <w14:textFill>
                  <w14:solidFill>
                    <w14:schemeClr w14:val="tx1"/>
                  </w14:solidFill>
                </w14:textFill>
              </w:rPr>
              <w:t>（</w:t>
            </w:r>
            <w:r>
              <w:rPr>
                <w:rFonts w:hint="eastAsia"/>
                <w:color w:val="000000" w:themeColor="text1"/>
                <w:sz w:val="21"/>
                <w:szCs w:val="21"/>
                <w14:textFill>
                  <w14:solidFill>
                    <w14:schemeClr w14:val="tx1"/>
                  </w14:solidFill>
                </w14:textFill>
              </w:rPr>
              <w:t>提供产品功能截图并加盖原厂商公章</w:t>
            </w:r>
            <w:r>
              <w:rPr>
                <w:rFonts w:hint="eastAsia"/>
                <w:color w:val="000000" w:themeColor="text1"/>
                <w:sz w:val="21"/>
                <w:szCs w:val="21"/>
                <w:lang w:eastAsia="zh-CN"/>
                <w14:textFill>
                  <w14:solidFill>
                    <w14:schemeClr w14:val="tx1"/>
                  </w14:solidFill>
                </w14:textFill>
              </w:rPr>
              <w:t>）</w:t>
            </w:r>
          </w:p>
        </w:tc>
      </w:tr>
      <w:tr w14:paraId="27750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22" w:type="pct"/>
            <w:vAlign w:val="center"/>
          </w:tcPr>
          <w:p w14:paraId="7B877097">
            <w:pPr>
              <w:pStyle w:val="13"/>
              <w:keepNext w:val="0"/>
              <w:keepLines w:val="0"/>
              <w:pageBreakBefore w:val="0"/>
              <w:widowControl w:val="0"/>
              <w:numPr>
                <w:ilvl w:val="0"/>
                <w:numId w:val="2"/>
              </w:numPr>
              <w:kinsoku/>
              <w:wordWrap/>
              <w:overflowPunct/>
              <w:topLinePunct w:val="0"/>
              <w:autoSpaceDE/>
              <w:autoSpaceDN/>
              <w:bidi w:val="0"/>
              <w:adjustRightInd/>
              <w:snapToGrid/>
              <w:spacing w:line="400" w:lineRule="exact"/>
              <w:ind w:firstLineChars="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1023" w:type="pct"/>
            <w:vAlign w:val="center"/>
          </w:tcPr>
          <w:p w14:paraId="51A53E5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sz w:val="21"/>
                <w:szCs w:val="21"/>
                <w:shd w:val="clear" w:color="auto" w:fill="FFFFFF"/>
                <w:lang w:val="en-US" w:eastAsia="zh-CN"/>
                <w14:textFill>
                  <w14:solidFill>
                    <w14:schemeClr w14:val="tx1"/>
                  </w14:solidFill>
                </w14:textFill>
              </w:rPr>
            </w:pPr>
            <w:r>
              <w:rPr>
                <w:rFonts w:hint="eastAsia" w:ascii="宋体" w:hAnsi="宋体" w:cs="宋体"/>
                <w:color w:val="000000" w:themeColor="text1"/>
                <w:sz w:val="21"/>
                <w:szCs w:val="21"/>
                <w:shd w:val="clear" w:color="auto" w:fill="FFFFFF"/>
                <w:lang w:val="en-US" w:eastAsia="zh-CN"/>
                <w14:textFill>
                  <w14:solidFill>
                    <w14:schemeClr w14:val="tx1"/>
                  </w14:solidFill>
                </w14:textFill>
              </w:rPr>
              <w:t>水印管理</w:t>
            </w:r>
          </w:p>
        </w:tc>
        <w:tc>
          <w:tcPr>
            <w:tcW w:w="3554" w:type="pct"/>
            <w:vAlign w:val="center"/>
          </w:tcPr>
          <w:p w14:paraId="5EA562F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 xml:space="preserve">支持自定义配置水印类型、水印信息内容、大小、位置及应用范围等； </w:t>
            </w:r>
          </w:p>
          <w:p w14:paraId="111F0C1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水印内容支持标签管理，可以自定义IP、MAC、计算机账户等内容，不同的用户终端可以看到不同的水印信息；</w:t>
            </w:r>
          </w:p>
          <w:p w14:paraId="0005620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支持基于进程、窗口等方式触发水印</w:t>
            </w:r>
          </w:p>
          <w:p w14:paraId="688DD0B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1"/>
                <w:szCs w:val="21"/>
                <w:shd w:val="clear" w:color="auto" w:fill="FFFFFF"/>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支持矢量水印技术，可以将水印信息编码为矢量点阵水印；</w:t>
            </w:r>
          </w:p>
        </w:tc>
      </w:tr>
      <w:tr w14:paraId="3FAFE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22" w:type="pct"/>
            <w:vAlign w:val="center"/>
          </w:tcPr>
          <w:p w14:paraId="2354654E">
            <w:pPr>
              <w:pStyle w:val="13"/>
              <w:keepNext w:val="0"/>
              <w:keepLines w:val="0"/>
              <w:pageBreakBefore w:val="0"/>
              <w:widowControl w:val="0"/>
              <w:numPr>
                <w:ilvl w:val="0"/>
                <w:numId w:val="2"/>
              </w:numPr>
              <w:kinsoku/>
              <w:wordWrap/>
              <w:overflowPunct/>
              <w:topLinePunct w:val="0"/>
              <w:autoSpaceDE/>
              <w:autoSpaceDN/>
              <w:bidi w:val="0"/>
              <w:adjustRightInd/>
              <w:snapToGrid/>
              <w:spacing w:line="400" w:lineRule="exact"/>
              <w:ind w:firstLineChars="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1023" w:type="pct"/>
            <w:vMerge w:val="restart"/>
            <w:vAlign w:val="center"/>
          </w:tcPr>
          <w:p w14:paraId="6C91FFB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1"/>
                <w:szCs w:val="21"/>
                <w:shd w:val="clear" w:color="auto" w:fill="FFFFFF"/>
                <w14:textFill>
                  <w14:solidFill>
                    <w14:schemeClr w14:val="tx1"/>
                  </w14:solidFill>
                </w14:textFill>
              </w:rPr>
            </w:pPr>
            <w:r>
              <w:rPr>
                <w:rFonts w:hint="eastAsia" w:ascii="宋体" w:hAnsi="宋体" w:eastAsia="宋体" w:cs="宋体"/>
                <w:color w:val="000000" w:themeColor="text1"/>
                <w:sz w:val="21"/>
                <w:szCs w:val="21"/>
                <w:shd w:val="clear" w:color="auto" w:fill="FFFFFF"/>
                <w14:textFill>
                  <w14:solidFill>
                    <w14:schemeClr w14:val="tx1"/>
                  </w14:solidFill>
                </w14:textFill>
              </w:rPr>
              <w:t>远程协助方式</w:t>
            </w:r>
          </w:p>
        </w:tc>
        <w:tc>
          <w:tcPr>
            <w:tcW w:w="3554" w:type="pct"/>
            <w:vAlign w:val="center"/>
          </w:tcPr>
          <w:p w14:paraId="7B6F178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1"/>
                <w:szCs w:val="21"/>
                <w:shd w:val="clear" w:color="auto" w:fill="FFFFFF"/>
                <w14:textFill>
                  <w14:solidFill>
                    <w14:schemeClr w14:val="tx1"/>
                  </w14:solidFill>
                </w14:textFill>
              </w:rPr>
            </w:pPr>
            <w:r>
              <w:rPr>
                <w:rFonts w:hint="eastAsia" w:ascii="宋体" w:hAnsi="宋体" w:eastAsia="宋体" w:cs="宋体"/>
                <w:color w:val="000000" w:themeColor="text1"/>
                <w:sz w:val="21"/>
                <w:szCs w:val="21"/>
                <w:shd w:val="clear" w:color="auto" w:fill="FFFFFF"/>
                <w14:textFill>
                  <w14:solidFill>
                    <w14:schemeClr w14:val="tx1"/>
                  </w14:solidFill>
                </w14:textFill>
              </w:rPr>
              <w:t>管理员可通过web后台和客户端方式进行一键远程控制；</w:t>
            </w:r>
          </w:p>
          <w:p w14:paraId="7F8B0AB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1"/>
                <w:szCs w:val="21"/>
                <w:shd w:val="clear" w:color="auto" w:fill="FFFFFF"/>
                <w14:textFill>
                  <w14:solidFill>
                    <w14:schemeClr w14:val="tx1"/>
                  </w14:solidFill>
                </w14:textFill>
              </w:rPr>
            </w:pPr>
            <w:r>
              <w:rPr>
                <w:rFonts w:hint="eastAsia" w:ascii="宋体" w:hAnsi="宋体" w:eastAsia="宋体" w:cs="宋体"/>
                <w:color w:val="000000" w:themeColor="text1"/>
                <w:sz w:val="21"/>
                <w:szCs w:val="21"/>
                <w:shd w:val="clear" w:color="auto" w:fill="FFFFFF"/>
                <w14:textFill>
                  <w14:solidFill>
                    <w14:schemeClr w14:val="tx1"/>
                  </w14:solidFill>
                </w14:textFill>
              </w:rPr>
              <w:t>客户端侧支持使用系统管理员账号登录后才能远程控制，便于事后远程操作记录和审计；</w:t>
            </w:r>
          </w:p>
        </w:tc>
      </w:tr>
      <w:tr w14:paraId="64797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22" w:type="pct"/>
            <w:vAlign w:val="center"/>
          </w:tcPr>
          <w:p w14:paraId="48F7CE87">
            <w:pPr>
              <w:pStyle w:val="13"/>
              <w:keepNext w:val="0"/>
              <w:keepLines w:val="0"/>
              <w:pageBreakBefore w:val="0"/>
              <w:widowControl w:val="0"/>
              <w:numPr>
                <w:ilvl w:val="0"/>
                <w:numId w:val="2"/>
              </w:numPr>
              <w:kinsoku/>
              <w:wordWrap/>
              <w:overflowPunct/>
              <w:topLinePunct w:val="0"/>
              <w:autoSpaceDE/>
              <w:autoSpaceDN/>
              <w:bidi w:val="0"/>
              <w:adjustRightInd/>
              <w:snapToGrid/>
              <w:spacing w:line="400" w:lineRule="exact"/>
              <w:ind w:firstLineChars="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1023" w:type="pct"/>
            <w:vMerge w:val="continue"/>
            <w:vAlign w:val="center"/>
          </w:tcPr>
          <w:p w14:paraId="3CD23DC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1"/>
                <w:szCs w:val="21"/>
                <w:shd w:val="clear" w:color="auto" w:fill="FFFFFF"/>
                <w14:textFill>
                  <w14:solidFill>
                    <w14:schemeClr w14:val="tx1"/>
                  </w14:solidFill>
                </w14:textFill>
              </w:rPr>
            </w:pPr>
          </w:p>
        </w:tc>
        <w:tc>
          <w:tcPr>
            <w:tcW w:w="3554" w:type="pct"/>
            <w:vAlign w:val="center"/>
          </w:tcPr>
          <w:p w14:paraId="4907252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1"/>
                <w:szCs w:val="21"/>
                <w:shd w:val="clear" w:color="auto" w:fill="FFFFFF"/>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管理员计算机与被管理计算机采用专用tcp端口进行直接连接，远程协助时不占用服务器端口资源。远程协助支持双向穿透NAT或VPN的远程屏幕控制。</w:t>
            </w:r>
          </w:p>
        </w:tc>
      </w:tr>
      <w:tr w14:paraId="3C8A2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422" w:type="pct"/>
            <w:vAlign w:val="center"/>
          </w:tcPr>
          <w:p w14:paraId="3B7C47B0">
            <w:pPr>
              <w:pStyle w:val="13"/>
              <w:keepNext w:val="0"/>
              <w:keepLines w:val="0"/>
              <w:pageBreakBefore w:val="0"/>
              <w:widowControl w:val="0"/>
              <w:numPr>
                <w:ilvl w:val="0"/>
                <w:numId w:val="2"/>
              </w:numPr>
              <w:kinsoku/>
              <w:wordWrap/>
              <w:overflowPunct/>
              <w:topLinePunct w:val="0"/>
              <w:autoSpaceDE/>
              <w:autoSpaceDN/>
              <w:bidi w:val="0"/>
              <w:adjustRightInd/>
              <w:snapToGrid/>
              <w:spacing w:line="400" w:lineRule="exact"/>
              <w:ind w:firstLineChars="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1023" w:type="pct"/>
            <w:vMerge w:val="continue"/>
            <w:vAlign w:val="center"/>
          </w:tcPr>
          <w:p w14:paraId="0ABECE2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554" w:type="pct"/>
            <w:vAlign w:val="center"/>
          </w:tcPr>
          <w:p w14:paraId="3E3BAD6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1"/>
                <w:szCs w:val="21"/>
                <w:shd w:val="clear" w:color="auto" w:fill="FFFFFF"/>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远程查看、远程控制可以根据管理需要和网络状况，选择、配置适合管理员的窗口分辨率、显示比例、色彩、鼠标按键、光标等。</w:t>
            </w:r>
          </w:p>
        </w:tc>
      </w:tr>
      <w:tr w14:paraId="070FD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22" w:type="pct"/>
            <w:vAlign w:val="center"/>
          </w:tcPr>
          <w:p w14:paraId="56B63916">
            <w:pPr>
              <w:pStyle w:val="13"/>
              <w:keepNext w:val="0"/>
              <w:keepLines w:val="0"/>
              <w:pageBreakBefore w:val="0"/>
              <w:widowControl w:val="0"/>
              <w:numPr>
                <w:ilvl w:val="0"/>
                <w:numId w:val="2"/>
              </w:numPr>
              <w:kinsoku/>
              <w:wordWrap/>
              <w:overflowPunct/>
              <w:topLinePunct w:val="0"/>
              <w:autoSpaceDE/>
              <w:autoSpaceDN/>
              <w:bidi w:val="0"/>
              <w:adjustRightInd/>
              <w:snapToGrid/>
              <w:spacing w:line="400" w:lineRule="exact"/>
              <w:ind w:firstLineChars="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1023" w:type="pct"/>
            <w:vMerge w:val="continue"/>
            <w:vAlign w:val="center"/>
          </w:tcPr>
          <w:p w14:paraId="659CFDC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554" w:type="pct"/>
            <w:vAlign w:val="center"/>
          </w:tcPr>
          <w:p w14:paraId="2A72F5E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1"/>
                <w:szCs w:val="21"/>
                <w:shd w:val="clear" w:color="auto" w:fill="FFFFFF"/>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权限管理员支持限制操作管理员远程控制的权限，是否允许强制查看、控制和文件传输，允许指定必须申请管理的终端列表。</w:t>
            </w:r>
          </w:p>
        </w:tc>
      </w:tr>
      <w:tr w14:paraId="6A868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22" w:type="pct"/>
            <w:vAlign w:val="center"/>
          </w:tcPr>
          <w:p w14:paraId="136CE5D9">
            <w:pPr>
              <w:pStyle w:val="13"/>
              <w:keepNext w:val="0"/>
              <w:keepLines w:val="0"/>
              <w:pageBreakBefore w:val="0"/>
              <w:widowControl w:val="0"/>
              <w:numPr>
                <w:ilvl w:val="0"/>
                <w:numId w:val="2"/>
              </w:numPr>
              <w:kinsoku/>
              <w:wordWrap/>
              <w:overflowPunct/>
              <w:topLinePunct w:val="0"/>
              <w:autoSpaceDE/>
              <w:autoSpaceDN/>
              <w:bidi w:val="0"/>
              <w:adjustRightInd/>
              <w:snapToGrid/>
              <w:spacing w:line="400" w:lineRule="exact"/>
              <w:ind w:firstLineChars="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1023" w:type="pct"/>
            <w:vMerge w:val="continue"/>
            <w:vAlign w:val="center"/>
          </w:tcPr>
          <w:p w14:paraId="7DE4956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554" w:type="pct"/>
            <w:vAlign w:val="center"/>
          </w:tcPr>
          <w:p w14:paraId="3708E5B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1"/>
                <w:szCs w:val="21"/>
                <w:shd w:val="clear" w:color="auto" w:fill="FFFFFF"/>
                <w14:textFill>
                  <w14:solidFill>
                    <w14:schemeClr w14:val="tx1"/>
                  </w14:solidFill>
                </w14:textFill>
              </w:rPr>
            </w:pPr>
            <w:r>
              <w:rPr>
                <w:rFonts w:hint="eastAsia" w:ascii="宋体" w:hAnsi="宋体" w:eastAsia="宋体" w:cs="宋体"/>
                <w:color w:val="000000" w:themeColor="text1"/>
                <w:sz w:val="21"/>
                <w:szCs w:val="21"/>
                <w:shd w:val="clear" w:color="auto" w:fill="FFFFFF"/>
                <w14:textFill>
                  <w14:solidFill>
                    <w14:schemeClr w14:val="tx1"/>
                  </w14:solidFill>
                </w14:textFill>
              </w:rPr>
              <w:t>支持远程操作审计，可审计远程时间、主控端IP、被控端IP、远程时长、远程管理员等详细信息</w:t>
            </w:r>
          </w:p>
        </w:tc>
      </w:tr>
      <w:tr w14:paraId="40966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2" w:type="pct"/>
            <w:vAlign w:val="center"/>
          </w:tcPr>
          <w:p w14:paraId="4D6D8312">
            <w:pPr>
              <w:pStyle w:val="13"/>
              <w:keepNext w:val="0"/>
              <w:keepLines w:val="0"/>
              <w:pageBreakBefore w:val="0"/>
              <w:widowControl w:val="0"/>
              <w:numPr>
                <w:ilvl w:val="0"/>
                <w:numId w:val="2"/>
              </w:numPr>
              <w:kinsoku/>
              <w:wordWrap/>
              <w:overflowPunct/>
              <w:topLinePunct w:val="0"/>
              <w:autoSpaceDE/>
              <w:autoSpaceDN/>
              <w:bidi w:val="0"/>
              <w:adjustRightInd/>
              <w:snapToGrid/>
              <w:spacing w:line="400" w:lineRule="exact"/>
              <w:ind w:firstLineChars="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1023" w:type="pct"/>
            <w:vMerge w:val="restart"/>
            <w:vAlign w:val="center"/>
          </w:tcPr>
          <w:p w14:paraId="2ABFFC2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USB接入管理</w:t>
            </w:r>
          </w:p>
        </w:tc>
        <w:tc>
          <w:tcPr>
            <w:tcW w:w="3554" w:type="pct"/>
            <w:vAlign w:val="center"/>
          </w:tcPr>
          <w:p w14:paraId="2E37851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1"/>
                <w:szCs w:val="21"/>
                <w:shd w:val="clear" w:color="auto" w:fill="FFFFFF"/>
                <w14:textFill>
                  <w14:solidFill>
                    <w14:schemeClr w14:val="tx1"/>
                  </w14:solidFill>
                </w14:textFill>
              </w:rPr>
            </w:pPr>
            <w:r>
              <w:rPr>
                <w:rFonts w:hint="eastAsia" w:ascii="宋体" w:hAnsi="宋体" w:eastAsia="宋体" w:cs="宋体"/>
                <w:color w:val="000000" w:themeColor="text1"/>
                <w:sz w:val="21"/>
                <w:szCs w:val="21"/>
                <w:shd w:val="clear" w:color="auto" w:fill="FFFFFF"/>
                <w14:textFill>
                  <w14:solidFill>
                    <w14:schemeClr w14:val="tx1"/>
                  </w14:solidFill>
                </w14:textFill>
              </w:rPr>
              <w:t>支持usb口禁止接入、仅准许接入非存储介质策略，实现外盘外用；</w:t>
            </w:r>
          </w:p>
        </w:tc>
      </w:tr>
      <w:tr w14:paraId="0DFB4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22" w:type="pct"/>
            <w:vAlign w:val="center"/>
          </w:tcPr>
          <w:p w14:paraId="08288118">
            <w:pPr>
              <w:pStyle w:val="13"/>
              <w:keepNext w:val="0"/>
              <w:keepLines w:val="0"/>
              <w:pageBreakBefore w:val="0"/>
              <w:widowControl w:val="0"/>
              <w:numPr>
                <w:ilvl w:val="0"/>
                <w:numId w:val="2"/>
              </w:numPr>
              <w:kinsoku/>
              <w:wordWrap/>
              <w:overflowPunct/>
              <w:topLinePunct w:val="0"/>
              <w:autoSpaceDE/>
              <w:autoSpaceDN/>
              <w:bidi w:val="0"/>
              <w:adjustRightInd/>
              <w:snapToGrid/>
              <w:spacing w:line="400" w:lineRule="exact"/>
              <w:ind w:firstLineChars="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1023" w:type="pct"/>
            <w:vMerge w:val="continue"/>
            <w:vAlign w:val="center"/>
          </w:tcPr>
          <w:p w14:paraId="59E6412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554" w:type="pct"/>
            <w:vAlign w:val="center"/>
          </w:tcPr>
          <w:p w14:paraId="577CD58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1"/>
                <w:szCs w:val="21"/>
                <w:shd w:val="clear" w:color="auto" w:fill="FFFFFF"/>
                <w14:textFill>
                  <w14:solidFill>
                    <w14:schemeClr w14:val="tx1"/>
                  </w14:solidFill>
                </w14:textFill>
              </w:rPr>
            </w:pPr>
            <w:r>
              <w:rPr>
                <w:rFonts w:hint="eastAsia" w:ascii="宋体" w:hAnsi="宋体" w:eastAsia="宋体" w:cs="宋体"/>
                <w:color w:val="000000" w:themeColor="text1"/>
                <w:sz w:val="21"/>
                <w:szCs w:val="21"/>
                <w:shd w:val="clear" w:color="auto" w:fill="FFFFFF"/>
                <w14:textFill>
                  <w14:solidFill>
                    <w14:schemeClr w14:val="tx1"/>
                  </w14:solidFill>
                </w14:textFill>
              </w:rPr>
              <w:t>支持存储介质使用在线审批，终端用户在线发起申请，管理员在线审批、下发策略。策略包括但不限于强制分区、加密、读写权限限制、禁止可执行文件自运行；实现内部U盘只能在院内使用</w:t>
            </w:r>
          </w:p>
        </w:tc>
      </w:tr>
      <w:tr w14:paraId="3655D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22" w:type="pct"/>
            <w:vAlign w:val="center"/>
          </w:tcPr>
          <w:p w14:paraId="0BA50D82">
            <w:pPr>
              <w:pStyle w:val="13"/>
              <w:keepNext w:val="0"/>
              <w:keepLines w:val="0"/>
              <w:pageBreakBefore w:val="0"/>
              <w:widowControl w:val="0"/>
              <w:numPr>
                <w:ilvl w:val="0"/>
                <w:numId w:val="2"/>
              </w:numPr>
              <w:kinsoku/>
              <w:wordWrap/>
              <w:overflowPunct/>
              <w:topLinePunct w:val="0"/>
              <w:autoSpaceDE/>
              <w:autoSpaceDN/>
              <w:bidi w:val="0"/>
              <w:adjustRightInd/>
              <w:snapToGrid/>
              <w:spacing w:line="400" w:lineRule="exact"/>
              <w:ind w:firstLineChars="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1023" w:type="pct"/>
            <w:vMerge w:val="continue"/>
            <w:vAlign w:val="center"/>
          </w:tcPr>
          <w:p w14:paraId="39F22B5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554" w:type="pct"/>
            <w:vAlign w:val="center"/>
          </w:tcPr>
          <w:p w14:paraId="4E8372B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1"/>
                <w:szCs w:val="21"/>
                <w:shd w:val="clear" w:color="auto" w:fill="FFFFFF"/>
                <w14:textFill>
                  <w14:solidFill>
                    <w14:schemeClr w14:val="tx1"/>
                  </w14:solidFill>
                </w14:textFill>
              </w:rPr>
            </w:pPr>
            <w:r>
              <w:rPr>
                <w:rFonts w:hint="eastAsia" w:ascii="宋体" w:hAnsi="宋体" w:eastAsia="宋体" w:cs="宋体"/>
                <w:color w:val="000000" w:themeColor="text1"/>
                <w:sz w:val="21"/>
                <w:szCs w:val="21"/>
                <w:shd w:val="clear" w:color="auto" w:fill="FFFFFF"/>
                <w14:textFill>
                  <w14:solidFill>
                    <w14:schemeClr w14:val="tx1"/>
                  </w14:solidFill>
                </w14:textFill>
              </w:rPr>
              <w:t>支持指定USB使用范围，实现专盘专用；</w:t>
            </w:r>
            <w:r>
              <w:rPr>
                <w:rFonts w:hint="eastAsia" w:ascii="宋体" w:hAnsi="宋体" w:cs="宋体"/>
                <w:color w:val="000000" w:themeColor="text1"/>
                <w:sz w:val="21"/>
                <w:szCs w:val="21"/>
                <w:shd w:val="clear" w:color="auto" w:fill="FFFFFF"/>
                <w:lang w:eastAsia="zh-CN"/>
                <w14:textFill>
                  <w14:solidFill>
                    <w14:schemeClr w14:val="tx1"/>
                  </w14:solidFill>
                </w14:textFill>
              </w:rPr>
              <w:t>（</w:t>
            </w:r>
            <w:r>
              <w:rPr>
                <w:rFonts w:hint="eastAsia"/>
                <w:color w:val="000000" w:themeColor="text1"/>
                <w:sz w:val="21"/>
                <w:szCs w:val="21"/>
                <w14:textFill>
                  <w14:solidFill>
                    <w14:schemeClr w14:val="tx1"/>
                  </w14:solidFill>
                </w14:textFill>
              </w:rPr>
              <w:t>提供产品功能截图并加盖原厂商公章</w:t>
            </w:r>
            <w:r>
              <w:rPr>
                <w:rFonts w:hint="eastAsia"/>
                <w:color w:val="000000" w:themeColor="text1"/>
                <w:sz w:val="21"/>
                <w:szCs w:val="21"/>
                <w:lang w:eastAsia="zh-CN"/>
                <w14:textFill>
                  <w14:solidFill>
                    <w14:schemeClr w14:val="tx1"/>
                  </w14:solidFill>
                </w14:textFill>
              </w:rPr>
              <w:t>）</w:t>
            </w:r>
          </w:p>
        </w:tc>
      </w:tr>
      <w:tr w14:paraId="7E486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22" w:type="pct"/>
            <w:vAlign w:val="center"/>
          </w:tcPr>
          <w:p w14:paraId="47ABD5DB">
            <w:pPr>
              <w:pStyle w:val="13"/>
              <w:keepNext w:val="0"/>
              <w:keepLines w:val="0"/>
              <w:pageBreakBefore w:val="0"/>
              <w:widowControl w:val="0"/>
              <w:numPr>
                <w:ilvl w:val="0"/>
                <w:numId w:val="2"/>
              </w:numPr>
              <w:kinsoku/>
              <w:wordWrap/>
              <w:overflowPunct/>
              <w:topLinePunct w:val="0"/>
              <w:autoSpaceDE/>
              <w:autoSpaceDN/>
              <w:bidi w:val="0"/>
              <w:adjustRightInd/>
              <w:snapToGrid/>
              <w:spacing w:line="400" w:lineRule="exact"/>
              <w:ind w:firstLineChars="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1023" w:type="pct"/>
            <w:vMerge w:val="continue"/>
            <w:vAlign w:val="center"/>
          </w:tcPr>
          <w:p w14:paraId="3872F75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554" w:type="pct"/>
            <w:vAlign w:val="center"/>
          </w:tcPr>
          <w:p w14:paraId="778A72D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1"/>
                <w:szCs w:val="21"/>
                <w:shd w:val="clear" w:color="auto" w:fill="FFFFFF"/>
                <w14:textFill>
                  <w14:solidFill>
                    <w14:schemeClr w14:val="tx1"/>
                  </w14:solidFill>
                </w14:textFill>
              </w:rPr>
            </w:pPr>
            <w:r>
              <w:rPr>
                <w:rFonts w:hint="eastAsia" w:ascii="宋体" w:hAnsi="宋体" w:eastAsia="宋体" w:cs="宋体"/>
                <w:color w:val="000000" w:themeColor="text1"/>
                <w:sz w:val="21"/>
                <w:szCs w:val="21"/>
                <w:shd w:val="clear" w:color="auto" w:fill="FFFFFF"/>
                <w14:textFill>
                  <w14:solidFill>
                    <w14:schemeClr w14:val="tx1"/>
                  </w14:solidFill>
                </w14:textFill>
              </w:rPr>
              <w:t>支持对移动存储设备的读、写操作进行审计，包括文件创建、复制、删除、修改、改名等操作。移动存储介质的插入和拔出动作的详细记录，包括事件类型，移动存储介质的名称、用户、计算机IP地址和事件时间。</w:t>
            </w:r>
          </w:p>
        </w:tc>
      </w:tr>
      <w:tr w14:paraId="77452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22" w:type="pct"/>
            <w:vMerge w:val="restart"/>
            <w:vAlign w:val="center"/>
          </w:tcPr>
          <w:p w14:paraId="35AA8B7F">
            <w:pPr>
              <w:pStyle w:val="13"/>
              <w:keepNext w:val="0"/>
              <w:keepLines w:val="0"/>
              <w:pageBreakBefore w:val="0"/>
              <w:widowControl w:val="0"/>
              <w:numPr>
                <w:ilvl w:val="0"/>
                <w:numId w:val="2"/>
              </w:numPr>
              <w:kinsoku/>
              <w:wordWrap/>
              <w:overflowPunct/>
              <w:topLinePunct w:val="0"/>
              <w:autoSpaceDE/>
              <w:autoSpaceDN/>
              <w:bidi w:val="0"/>
              <w:adjustRightInd/>
              <w:snapToGrid/>
              <w:spacing w:line="400" w:lineRule="exact"/>
              <w:ind w:firstLineChars="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1023" w:type="pct"/>
            <w:vMerge w:val="restart"/>
            <w:vAlign w:val="center"/>
          </w:tcPr>
          <w:p w14:paraId="2F2263B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网卡绑定配置</w:t>
            </w:r>
          </w:p>
        </w:tc>
        <w:tc>
          <w:tcPr>
            <w:tcW w:w="3554" w:type="pct"/>
            <w:vAlign w:val="center"/>
          </w:tcPr>
          <w:p w14:paraId="0999F77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1"/>
                <w:szCs w:val="21"/>
                <w:shd w:val="clear" w:color="auto" w:fill="FFFFFF"/>
                <w14:textFill>
                  <w14:solidFill>
                    <w14:schemeClr w14:val="tx1"/>
                  </w14:solidFill>
                </w14:textFill>
              </w:rPr>
            </w:pPr>
            <w:r>
              <w:rPr>
                <w:rFonts w:hint="eastAsia" w:ascii="宋体" w:hAnsi="宋体" w:eastAsia="宋体" w:cs="宋体"/>
                <w:color w:val="000000" w:themeColor="text1"/>
                <w:sz w:val="21"/>
                <w:szCs w:val="21"/>
                <w:shd w:val="clear" w:color="auto" w:fill="FFFFFF"/>
                <w14:textFill>
                  <w14:solidFill>
                    <w14:schemeClr w14:val="tx1"/>
                  </w14:solidFill>
                </w14:textFill>
              </w:rPr>
              <w:t>能够实时监测终端IP地址、MAC地址、DNS配置等相关网络信息，支持对应信息的实时绑定，当IP或MAC发生改变时能够强制恢复至修改前。</w:t>
            </w:r>
          </w:p>
        </w:tc>
      </w:tr>
      <w:tr w14:paraId="23156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22" w:type="pct"/>
            <w:vMerge w:val="continue"/>
            <w:vAlign w:val="center"/>
          </w:tcPr>
          <w:p w14:paraId="1441E8C4">
            <w:pPr>
              <w:pStyle w:val="13"/>
              <w:keepNext w:val="0"/>
              <w:keepLines w:val="0"/>
              <w:pageBreakBefore w:val="0"/>
              <w:widowControl w:val="0"/>
              <w:numPr>
                <w:ilvl w:val="0"/>
                <w:numId w:val="2"/>
              </w:numPr>
              <w:kinsoku/>
              <w:wordWrap/>
              <w:overflowPunct/>
              <w:topLinePunct w:val="0"/>
              <w:autoSpaceDE/>
              <w:autoSpaceDN/>
              <w:bidi w:val="0"/>
              <w:adjustRightInd/>
              <w:snapToGrid/>
              <w:spacing w:line="400" w:lineRule="exact"/>
              <w:ind w:firstLineChars="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1023" w:type="pct"/>
            <w:vMerge w:val="continue"/>
            <w:vAlign w:val="center"/>
          </w:tcPr>
          <w:p w14:paraId="7B0F6AF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554" w:type="pct"/>
            <w:vAlign w:val="center"/>
          </w:tcPr>
          <w:p w14:paraId="09BEC47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1"/>
                <w:szCs w:val="21"/>
                <w:shd w:val="clear" w:color="auto" w:fill="FFFFFF"/>
                <w14:textFill>
                  <w14:solidFill>
                    <w14:schemeClr w14:val="tx1"/>
                  </w14:solidFill>
                </w14:textFill>
              </w:rPr>
            </w:pPr>
            <w:r>
              <w:rPr>
                <w:rFonts w:hint="eastAsia" w:ascii="宋体" w:hAnsi="宋体" w:eastAsia="宋体" w:cs="宋体"/>
                <w:color w:val="000000" w:themeColor="text1"/>
                <w:sz w:val="21"/>
                <w:szCs w:val="21"/>
                <w:shd w:val="clear" w:color="auto" w:fill="FFFFFF"/>
                <w14:textFill>
                  <w14:solidFill>
                    <w14:schemeClr w14:val="tx1"/>
                  </w14:solidFill>
                </w14:textFill>
              </w:rPr>
              <w:t>管理员可以授权部分用户修改IP地址</w:t>
            </w:r>
          </w:p>
        </w:tc>
      </w:tr>
      <w:tr w14:paraId="25146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22" w:type="pct"/>
            <w:vAlign w:val="center"/>
          </w:tcPr>
          <w:p w14:paraId="1660188F">
            <w:pPr>
              <w:pStyle w:val="13"/>
              <w:keepNext w:val="0"/>
              <w:keepLines w:val="0"/>
              <w:pageBreakBefore w:val="0"/>
              <w:widowControl w:val="0"/>
              <w:numPr>
                <w:ilvl w:val="0"/>
                <w:numId w:val="2"/>
              </w:numPr>
              <w:kinsoku/>
              <w:wordWrap/>
              <w:overflowPunct/>
              <w:topLinePunct w:val="0"/>
              <w:autoSpaceDE/>
              <w:autoSpaceDN/>
              <w:bidi w:val="0"/>
              <w:adjustRightInd/>
              <w:snapToGrid/>
              <w:spacing w:line="400" w:lineRule="exact"/>
              <w:ind w:firstLineChars="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1023" w:type="pct"/>
            <w:vAlign w:val="center"/>
          </w:tcPr>
          <w:p w14:paraId="688478F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行为控制</w:t>
            </w:r>
          </w:p>
        </w:tc>
        <w:tc>
          <w:tcPr>
            <w:tcW w:w="3554" w:type="pct"/>
            <w:vAlign w:val="center"/>
          </w:tcPr>
          <w:p w14:paraId="657F4E1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1"/>
                <w:szCs w:val="21"/>
                <w:shd w:val="clear" w:color="auto" w:fill="FFFFFF"/>
                <w14:textFill>
                  <w14:solidFill>
                    <w14:schemeClr w14:val="tx1"/>
                  </w14:solidFill>
                </w14:textFill>
              </w:rPr>
            </w:pPr>
            <w:r>
              <w:rPr>
                <w:rFonts w:hint="eastAsia" w:ascii="宋体" w:hAnsi="宋体" w:eastAsia="宋体" w:cs="宋体"/>
                <w:color w:val="000000" w:themeColor="text1"/>
                <w:sz w:val="21"/>
                <w:szCs w:val="21"/>
                <w:shd w:val="clear" w:color="auto" w:fill="FFFFFF"/>
                <w14:textFill>
                  <w14:solidFill>
                    <w14:schemeClr w14:val="tx1"/>
                  </w14:solidFill>
                </w14:textFill>
              </w:rPr>
              <w:t>支持对终端防火墙、外设、网站访问 、组策略、打印、文件访问等进行控制</w:t>
            </w:r>
          </w:p>
        </w:tc>
      </w:tr>
      <w:tr w14:paraId="6C88A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22" w:type="pct"/>
            <w:vAlign w:val="center"/>
          </w:tcPr>
          <w:p w14:paraId="58A46982">
            <w:pPr>
              <w:pStyle w:val="13"/>
              <w:keepNext w:val="0"/>
              <w:keepLines w:val="0"/>
              <w:pageBreakBefore w:val="0"/>
              <w:widowControl w:val="0"/>
              <w:numPr>
                <w:ilvl w:val="0"/>
                <w:numId w:val="2"/>
              </w:numPr>
              <w:kinsoku/>
              <w:wordWrap/>
              <w:overflowPunct/>
              <w:topLinePunct w:val="0"/>
              <w:autoSpaceDE/>
              <w:autoSpaceDN/>
              <w:bidi w:val="0"/>
              <w:adjustRightInd/>
              <w:snapToGrid/>
              <w:spacing w:line="400" w:lineRule="exact"/>
              <w:ind w:firstLineChars="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1023" w:type="pct"/>
            <w:vAlign w:val="center"/>
          </w:tcPr>
          <w:p w14:paraId="59CF210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资产管理</w:t>
            </w:r>
          </w:p>
        </w:tc>
        <w:tc>
          <w:tcPr>
            <w:tcW w:w="3554" w:type="pct"/>
            <w:vAlign w:val="center"/>
          </w:tcPr>
          <w:p w14:paraId="25A4D88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1"/>
                <w:szCs w:val="21"/>
                <w:shd w:val="clear" w:color="auto" w:fill="FFFFFF"/>
                <w14:textFill>
                  <w14:solidFill>
                    <w14:schemeClr w14:val="tx1"/>
                  </w14:solidFill>
                </w14:textFill>
              </w:rPr>
            </w:pPr>
            <w:r>
              <w:rPr>
                <w:rFonts w:hint="eastAsia" w:ascii="宋体" w:hAnsi="宋体" w:eastAsia="宋体" w:cs="宋体"/>
                <w:color w:val="000000" w:themeColor="text1"/>
                <w:sz w:val="21"/>
                <w:szCs w:val="21"/>
                <w:shd w:val="clear" w:color="auto" w:fill="FFFFFF"/>
                <w14:textFill>
                  <w14:solidFill>
                    <w14:schemeClr w14:val="tx1"/>
                  </w14:solidFill>
                </w14:textFill>
              </w:rPr>
              <w:t>支持软硬件资产管理，可对软硬件资产变动提供报警</w:t>
            </w:r>
          </w:p>
        </w:tc>
      </w:tr>
      <w:tr w14:paraId="7751E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22" w:type="pct"/>
            <w:vAlign w:val="center"/>
          </w:tcPr>
          <w:p w14:paraId="55B60120">
            <w:pPr>
              <w:pStyle w:val="13"/>
              <w:keepNext w:val="0"/>
              <w:keepLines w:val="0"/>
              <w:pageBreakBefore w:val="0"/>
              <w:widowControl w:val="0"/>
              <w:numPr>
                <w:ilvl w:val="0"/>
                <w:numId w:val="2"/>
              </w:numPr>
              <w:kinsoku/>
              <w:wordWrap/>
              <w:overflowPunct/>
              <w:topLinePunct w:val="0"/>
              <w:autoSpaceDE/>
              <w:autoSpaceDN/>
              <w:bidi w:val="0"/>
              <w:adjustRightInd/>
              <w:snapToGrid/>
              <w:spacing w:line="400" w:lineRule="exact"/>
              <w:ind w:firstLineChars="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1023" w:type="pct"/>
            <w:vAlign w:val="center"/>
          </w:tcPr>
          <w:p w14:paraId="4BEB1DB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shd w:val="clear" w:color="auto" w:fill="FFFFFF"/>
                <w14:textFill>
                  <w14:solidFill>
                    <w14:schemeClr w14:val="tx1"/>
                  </w14:solidFill>
                </w14:textFill>
              </w:rPr>
              <w:t>终端外设管控</w:t>
            </w:r>
          </w:p>
        </w:tc>
        <w:tc>
          <w:tcPr>
            <w:tcW w:w="3554" w:type="pct"/>
            <w:vAlign w:val="center"/>
          </w:tcPr>
          <w:p w14:paraId="5A0048B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1"/>
                <w:szCs w:val="21"/>
                <w:shd w:val="clear" w:color="auto" w:fill="FFFFFF"/>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支持对终端上正在使用的外设设备进行识别和报表展示，包括不限于名称、型号、插入时间、插入终端信息等，并支持对该外设进行一键禁用</w:t>
            </w:r>
          </w:p>
        </w:tc>
      </w:tr>
      <w:tr w14:paraId="322A9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22" w:type="pct"/>
            <w:vAlign w:val="center"/>
          </w:tcPr>
          <w:p w14:paraId="421E8D94">
            <w:pPr>
              <w:pStyle w:val="13"/>
              <w:keepNext w:val="0"/>
              <w:keepLines w:val="0"/>
              <w:pageBreakBefore w:val="0"/>
              <w:widowControl w:val="0"/>
              <w:numPr>
                <w:ilvl w:val="0"/>
                <w:numId w:val="2"/>
              </w:numPr>
              <w:kinsoku/>
              <w:wordWrap/>
              <w:overflowPunct/>
              <w:topLinePunct w:val="0"/>
              <w:autoSpaceDE/>
              <w:autoSpaceDN/>
              <w:bidi w:val="0"/>
              <w:adjustRightInd/>
              <w:snapToGrid/>
              <w:spacing w:line="400" w:lineRule="exact"/>
              <w:ind w:firstLineChars="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1023" w:type="pct"/>
            <w:vAlign w:val="center"/>
          </w:tcPr>
          <w:p w14:paraId="301A9BB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策略应用</w:t>
            </w:r>
          </w:p>
        </w:tc>
        <w:tc>
          <w:tcPr>
            <w:tcW w:w="3554" w:type="pct"/>
            <w:vAlign w:val="center"/>
          </w:tcPr>
          <w:p w14:paraId="7C0B21C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1"/>
                <w:szCs w:val="21"/>
                <w:shd w:val="clear" w:color="auto" w:fill="FFFFFF"/>
                <w14:textFill>
                  <w14:solidFill>
                    <w14:schemeClr w14:val="tx1"/>
                  </w14:solidFill>
                </w14:textFill>
              </w:rPr>
            </w:pPr>
            <w:r>
              <w:rPr>
                <w:rFonts w:hint="eastAsia" w:ascii="宋体" w:hAnsi="宋体" w:eastAsia="宋体" w:cs="宋体"/>
                <w:color w:val="000000" w:themeColor="text1"/>
                <w:sz w:val="21"/>
                <w:szCs w:val="21"/>
                <w:shd w:val="clear" w:color="auto" w:fill="FFFFFF"/>
                <w14:textFill>
                  <w14:solidFill>
                    <w14:schemeClr w14:val="tx1"/>
                  </w14:solidFill>
                </w14:textFill>
              </w:rPr>
              <w:t>违规预警、安全审计、安全基线、usb接入管理、行为控制、资产管理等均支持灵活的策略应用，包括但不限于根据角色、部门、指定终端、用户、ip段、等应用。</w:t>
            </w:r>
          </w:p>
        </w:tc>
      </w:tr>
      <w:tr w14:paraId="3AA00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22" w:type="pct"/>
            <w:vAlign w:val="center"/>
          </w:tcPr>
          <w:p w14:paraId="3CAFF1FF">
            <w:pPr>
              <w:pStyle w:val="13"/>
              <w:keepNext w:val="0"/>
              <w:keepLines w:val="0"/>
              <w:pageBreakBefore w:val="0"/>
              <w:widowControl w:val="0"/>
              <w:numPr>
                <w:ilvl w:val="0"/>
                <w:numId w:val="2"/>
              </w:numPr>
              <w:kinsoku/>
              <w:wordWrap/>
              <w:overflowPunct/>
              <w:topLinePunct w:val="0"/>
              <w:autoSpaceDE/>
              <w:autoSpaceDN/>
              <w:bidi w:val="0"/>
              <w:adjustRightInd/>
              <w:snapToGrid/>
              <w:spacing w:line="400" w:lineRule="exact"/>
              <w:ind w:firstLineChars="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1023" w:type="pct"/>
            <w:vAlign w:val="center"/>
          </w:tcPr>
          <w:p w14:paraId="725AB14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终端智能分组</w:t>
            </w:r>
          </w:p>
        </w:tc>
        <w:tc>
          <w:tcPr>
            <w:tcW w:w="3554" w:type="pct"/>
            <w:vAlign w:val="center"/>
          </w:tcPr>
          <w:p w14:paraId="04A6C94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1"/>
                <w:szCs w:val="21"/>
                <w:shd w:val="clear" w:color="auto" w:fill="FFFFFF"/>
                <w14:textFill>
                  <w14:solidFill>
                    <w14:schemeClr w14:val="tx1"/>
                  </w14:solidFill>
                </w14:textFill>
              </w:rPr>
            </w:pPr>
            <w:r>
              <w:rPr>
                <w:rFonts w:hint="eastAsia" w:ascii="宋体" w:hAnsi="宋体" w:cs="Segoe UI Symbol"/>
                <w:color w:val="000000" w:themeColor="text1"/>
                <w:szCs w:val="21"/>
                <w:shd w:val="clear" w:color="auto" w:fill="FFFFFF"/>
                <w14:textFill>
                  <w14:solidFill>
                    <w14:schemeClr w14:val="tx1"/>
                  </w14:solidFill>
                </w14:textFill>
              </w:rPr>
              <w:t>支持基于终端行为对终端进行智能分组，实现基于终端业务属性进行分类，比如医护电脑、自助机、移动查房车、云桌面主机、老旧电脑、低配电脑等。</w:t>
            </w:r>
            <w:r>
              <w:rPr>
                <w:rFonts w:hint="eastAsia" w:ascii="宋体" w:hAnsi="宋体" w:cs="宋体"/>
                <w:color w:val="000000" w:themeColor="text1"/>
                <w:sz w:val="21"/>
                <w:szCs w:val="21"/>
                <w:shd w:val="clear" w:color="auto" w:fill="FFFFFF"/>
                <w:lang w:eastAsia="zh-CN"/>
                <w14:textFill>
                  <w14:solidFill>
                    <w14:schemeClr w14:val="tx1"/>
                  </w14:solidFill>
                </w14:textFill>
              </w:rPr>
              <w:t>（</w:t>
            </w:r>
            <w:r>
              <w:rPr>
                <w:rFonts w:hint="eastAsia"/>
                <w:color w:val="000000" w:themeColor="text1"/>
                <w:sz w:val="21"/>
                <w:szCs w:val="21"/>
                <w14:textFill>
                  <w14:solidFill>
                    <w14:schemeClr w14:val="tx1"/>
                  </w14:solidFill>
                </w14:textFill>
              </w:rPr>
              <w:t>提供产品功能截图并加盖原厂商公章</w:t>
            </w:r>
            <w:r>
              <w:rPr>
                <w:rFonts w:hint="eastAsia"/>
                <w:color w:val="000000" w:themeColor="text1"/>
                <w:sz w:val="21"/>
                <w:szCs w:val="21"/>
                <w:lang w:eastAsia="zh-CN"/>
                <w14:textFill>
                  <w14:solidFill>
                    <w14:schemeClr w14:val="tx1"/>
                  </w14:solidFill>
                </w14:textFill>
              </w:rPr>
              <w:t>）</w:t>
            </w:r>
          </w:p>
        </w:tc>
      </w:tr>
      <w:tr w14:paraId="5F410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22" w:type="pct"/>
            <w:vAlign w:val="center"/>
          </w:tcPr>
          <w:p w14:paraId="06FEFBDB">
            <w:pPr>
              <w:pStyle w:val="13"/>
              <w:keepNext w:val="0"/>
              <w:keepLines w:val="0"/>
              <w:pageBreakBefore w:val="0"/>
              <w:widowControl w:val="0"/>
              <w:numPr>
                <w:ilvl w:val="0"/>
                <w:numId w:val="2"/>
              </w:numPr>
              <w:kinsoku/>
              <w:wordWrap/>
              <w:overflowPunct/>
              <w:topLinePunct w:val="0"/>
              <w:autoSpaceDE/>
              <w:autoSpaceDN/>
              <w:bidi w:val="0"/>
              <w:adjustRightInd/>
              <w:snapToGrid/>
              <w:spacing w:line="400" w:lineRule="exact"/>
              <w:ind w:firstLineChars="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1023" w:type="pct"/>
            <w:vMerge w:val="restart"/>
            <w:vAlign w:val="center"/>
          </w:tcPr>
          <w:p w14:paraId="36BD4FA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软件分发</w:t>
            </w:r>
          </w:p>
        </w:tc>
        <w:tc>
          <w:tcPr>
            <w:tcW w:w="3554" w:type="pct"/>
            <w:vAlign w:val="center"/>
          </w:tcPr>
          <w:p w14:paraId="7C77394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能够支持可执行程序、MSI安装包或者文档数据文件自动下发与安装</w:t>
            </w:r>
          </w:p>
        </w:tc>
      </w:tr>
      <w:tr w14:paraId="63213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22" w:type="pct"/>
            <w:vAlign w:val="center"/>
          </w:tcPr>
          <w:p w14:paraId="2AB4AF5A">
            <w:pPr>
              <w:pStyle w:val="13"/>
              <w:keepNext w:val="0"/>
              <w:keepLines w:val="0"/>
              <w:pageBreakBefore w:val="0"/>
              <w:widowControl w:val="0"/>
              <w:numPr>
                <w:ilvl w:val="0"/>
                <w:numId w:val="2"/>
              </w:numPr>
              <w:kinsoku/>
              <w:wordWrap/>
              <w:overflowPunct/>
              <w:topLinePunct w:val="0"/>
              <w:autoSpaceDE/>
              <w:autoSpaceDN/>
              <w:bidi w:val="0"/>
              <w:adjustRightInd/>
              <w:snapToGrid/>
              <w:spacing w:line="400" w:lineRule="exact"/>
              <w:ind w:firstLineChars="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1023" w:type="pct"/>
            <w:vMerge w:val="continue"/>
            <w:vAlign w:val="center"/>
          </w:tcPr>
          <w:p w14:paraId="44EAA59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554" w:type="pct"/>
            <w:vAlign w:val="center"/>
          </w:tcPr>
          <w:p w14:paraId="745452B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能够自动统计分发成功率及软件安装成功率，支持进程、注册表、安装路径等多种参数判断方式</w:t>
            </w:r>
          </w:p>
        </w:tc>
      </w:tr>
      <w:tr w14:paraId="4AD48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22" w:type="pct"/>
            <w:vAlign w:val="center"/>
          </w:tcPr>
          <w:p w14:paraId="5310F90A">
            <w:pPr>
              <w:pStyle w:val="13"/>
              <w:keepNext w:val="0"/>
              <w:keepLines w:val="0"/>
              <w:pageBreakBefore w:val="0"/>
              <w:widowControl w:val="0"/>
              <w:numPr>
                <w:ilvl w:val="0"/>
                <w:numId w:val="2"/>
              </w:numPr>
              <w:kinsoku/>
              <w:wordWrap/>
              <w:overflowPunct/>
              <w:topLinePunct w:val="0"/>
              <w:autoSpaceDE/>
              <w:autoSpaceDN/>
              <w:bidi w:val="0"/>
              <w:adjustRightInd/>
              <w:snapToGrid/>
              <w:spacing w:line="400" w:lineRule="exact"/>
              <w:ind w:firstLineChars="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1023" w:type="pct"/>
            <w:vMerge w:val="continue"/>
            <w:vAlign w:val="center"/>
          </w:tcPr>
          <w:p w14:paraId="5445A56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554" w:type="pct"/>
            <w:vAlign w:val="center"/>
          </w:tcPr>
          <w:p w14:paraId="0331329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支持根据操作系统不同分发不同升级包，提高软件分发功能对操作系统的适应性</w:t>
            </w:r>
          </w:p>
        </w:tc>
      </w:tr>
      <w:tr w14:paraId="2339D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22" w:type="pct"/>
            <w:vAlign w:val="center"/>
          </w:tcPr>
          <w:p w14:paraId="3BED0BF9">
            <w:pPr>
              <w:pStyle w:val="13"/>
              <w:keepNext w:val="0"/>
              <w:keepLines w:val="0"/>
              <w:pageBreakBefore w:val="0"/>
              <w:widowControl w:val="0"/>
              <w:numPr>
                <w:ilvl w:val="0"/>
                <w:numId w:val="2"/>
              </w:numPr>
              <w:kinsoku/>
              <w:wordWrap/>
              <w:overflowPunct/>
              <w:topLinePunct w:val="0"/>
              <w:autoSpaceDE/>
              <w:autoSpaceDN/>
              <w:bidi w:val="0"/>
              <w:adjustRightInd/>
              <w:snapToGrid/>
              <w:spacing w:line="400" w:lineRule="exact"/>
              <w:ind w:firstLineChars="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1023" w:type="pct"/>
            <w:vMerge w:val="restart"/>
            <w:vAlign w:val="center"/>
          </w:tcPr>
          <w:p w14:paraId="4FE5771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客户端</w:t>
            </w:r>
          </w:p>
        </w:tc>
        <w:tc>
          <w:tcPr>
            <w:tcW w:w="3554" w:type="pct"/>
            <w:vAlign w:val="center"/>
          </w:tcPr>
          <w:p w14:paraId="0080A03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1"/>
                <w:szCs w:val="21"/>
                <w:shd w:val="clear" w:color="auto" w:fill="FFFFFF"/>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客户端支持自定义，包括但不限于是否显示客户端图标、自定义客户端名称、客户端安装包名称是否加密、是否启用万能卸载码等</w:t>
            </w:r>
          </w:p>
        </w:tc>
      </w:tr>
      <w:tr w14:paraId="662FD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22" w:type="pct"/>
            <w:vAlign w:val="center"/>
          </w:tcPr>
          <w:p w14:paraId="7BB174E0">
            <w:pPr>
              <w:pStyle w:val="13"/>
              <w:keepNext w:val="0"/>
              <w:keepLines w:val="0"/>
              <w:pageBreakBefore w:val="0"/>
              <w:widowControl w:val="0"/>
              <w:numPr>
                <w:ilvl w:val="0"/>
                <w:numId w:val="2"/>
              </w:numPr>
              <w:kinsoku/>
              <w:wordWrap/>
              <w:overflowPunct/>
              <w:topLinePunct w:val="0"/>
              <w:autoSpaceDE/>
              <w:autoSpaceDN/>
              <w:bidi w:val="0"/>
              <w:adjustRightInd/>
              <w:snapToGrid/>
              <w:spacing w:line="400" w:lineRule="exact"/>
              <w:ind w:firstLineChars="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1023" w:type="pct"/>
            <w:vMerge w:val="continue"/>
            <w:vAlign w:val="center"/>
          </w:tcPr>
          <w:p w14:paraId="428C791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554" w:type="pct"/>
            <w:vAlign w:val="center"/>
          </w:tcPr>
          <w:p w14:paraId="33188882">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宋体" w:hAnsi="宋体" w:eastAsia="宋体" w:cs="宋体"/>
                <w:color w:val="000000" w:themeColor="text1"/>
                <w:sz w:val="21"/>
                <w:szCs w:val="21"/>
                <w:shd w:val="clear" w:color="auto" w:fill="FFFFFF"/>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客户端版本支持逐步升级，管理员可自定义全部、部分网段更新或禁止指定网段更新的策略</w:t>
            </w:r>
            <w:r>
              <w:rPr>
                <w:rFonts w:hint="eastAsia" w:ascii="宋体" w:hAnsi="宋体" w:cs="宋体"/>
                <w:color w:val="000000" w:themeColor="text1"/>
                <w:sz w:val="21"/>
                <w:szCs w:val="21"/>
                <w:lang w:eastAsia="zh-CN"/>
                <w14:textFill>
                  <w14:solidFill>
                    <w14:schemeClr w14:val="tx1"/>
                  </w14:solidFill>
                </w14:textFill>
              </w:rPr>
              <w:t>；</w:t>
            </w:r>
            <w:r>
              <w:rPr>
                <w:rFonts w:hint="eastAsia" w:ascii="宋体" w:hAnsi="宋体" w:cs="宋体"/>
                <w:color w:val="000000" w:themeColor="text1"/>
                <w:sz w:val="21"/>
                <w:szCs w:val="21"/>
                <w:lang w:val="en-US" w:eastAsia="zh-CN"/>
                <w14:textFill>
                  <w14:solidFill>
                    <w14:schemeClr w14:val="tx1"/>
                  </w14:solidFill>
                </w14:textFill>
              </w:rPr>
              <w:t>支持与网内入网管理系统客户端进行客户端融合，实现客户端快速部署；</w:t>
            </w:r>
            <w:r>
              <w:rPr>
                <w:rFonts w:hint="eastAsia" w:ascii="宋体" w:hAnsi="宋体" w:cs="宋体"/>
                <w:color w:val="000000" w:themeColor="text1"/>
                <w:sz w:val="21"/>
                <w:szCs w:val="21"/>
                <w:shd w:val="clear" w:color="auto" w:fill="FFFFFF"/>
                <w:lang w:eastAsia="zh-CN"/>
                <w14:textFill>
                  <w14:solidFill>
                    <w14:schemeClr w14:val="tx1"/>
                  </w14:solidFill>
                </w14:textFill>
              </w:rPr>
              <w:t>（</w:t>
            </w:r>
            <w:r>
              <w:rPr>
                <w:rFonts w:hint="eastAsia"/>
                <w:color w:val="000000" w:themeColor="text1"/>
                <w:sz w:val="21"/>
                <w:szCs w:val="21"/>
                <w14:textFill>
                  <w14:solidFill>
                    <w14:schemeClr w14:val="tx1"/>
                  </w14:solidFill>
                </w14:textFill>
              </w:rPr>
              <w:t>提供产品功能截图并加盖原厂商公章</w:t>
            </w:r>
            <w:r>
              <w:rPr>
                <w:rFonts w:hint="eastAsia"/>
                <w:color w:val="000000" w:themeColor="text1"/>
                <w:sz w:val="21"/>
                <w:szCs w:val="21"/>
                <w:lang w:eastAsia="zh-CN"/>
                <w14:textFill>
                  <w14:solidFill>
                    <w14:schemeClr w14:val="tx1"/>
                  </w14:solidFill>
                </w14:textFill>
              </w:rPr>
              <w:t>）</w:t>
            </w:r>
          </w:p>
        </w:tc>
      </w:tr>
    </w:tbl>
    <w:p w14:paraId="18F787F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000000" w:themeColor="text1"/>
          <w:kern w:val="0"/>
          <w:sz w:val="28"/>
          <w:szCs w:val="28"/>
          <w:lang w:val="en-US" w:eastAsia="zh-CN" w:bidi="ar-SA"/>
          <w14:textFill>
            <w14:solidFill>
              <w14:schemeClr w14:val="tx1"/>
            </w14:solidFill>
          </w14:textFill>
        </w:rPr>
      </w:pPr>
    </w:p>
    <w:p w14:paraId="7A3600F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000000" w:themeColor="text1"/>
          <w:kern w:val="0"/>
          <w:sz w:val="28"/>
          <w:szCs w:val="28"/>
          <w:lang w:val="en-US" w:eastAsia="zh-CN" w:bidi="ar-SA"/>
          <w14:textFill>
            <w14:solidFill>
              <w14:schemeClr w14:val="tx1"/>
            </w14:solidFill>
          </w14:textFill>
        </w:rPr>
      </w:pPr>
    </w:p>
    <w:p w14:paraId="69D45F8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000000" w:themeColor="text1"/>
          <w:kern w:val="0"/>
          <w:sz w:val="28"/>
          <w:szCs w:val="28"/>
          <w:lang w:val="en-US" w:eastAsia="zh-CN" w:bidi="ar-SA"/>
          <w14:textFill>
            <w14:solidFill>
              <w14:schemeClr w14:val="tx1"/>
            </w14:solidFill>
          </w14:textFill>
        </w:rPr>
      </w:pPr>
    </w:p>
    <w:p w14:paraId="7435D64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000000" w:themeColor="text1"/>
          <w:kern w:val="0"/>
          <w:sz w:val="28"/>
          <w:szCs w:val="28"/>
          <w:lang w:val="en-US" w:eastAsia="zh-CN" w:bidi="ar-SA"/>
          <w14:textFill>
            <w14:solidFill>
              <w14:schemeClr w14:val="tx1"/>
            </w14:solidFill>
          </w14:textFill>
        </w:rPr>
      </w:pPr>
    </w:p>
    <w:p w14:paraId="5C83393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000000" w:themeColor="text1"/>
          <w:kern w:val="0"/>
          <w:sz w:val="28"/>
          <w:szCs w:val="28"/>
          <w:lang w:val="en-US" w:eastAsia="zh-CN" w:bidi="ar-SA"/>
          <w14:textFill>
            <w14:solidFill>
              <w14:schemeClr w14:val="tx1"/>
            </w14:solidFill>
          </w14:textFill>
        </w:rPr>
      </w:pPr>
    </w:p>
    <w:p w14:paraId="75F6861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000000" w:themeColor="text1"/>
          <w:kern w:val="0"/>
          <w:sz w:val="28"/>
          <w:szCs w:val="28"/>
          <w:lang w:val="en-US" w:eastAsia="zh-CN" w:bidi="ar-SA"/>
          <w14:textFill>
            <w14:solidFill>
              <w14:schemeClr w14:val="tx1"/>
            </w14:solidFill>
          </w14:textFill>
        </w:rPr>
      </w:pPr>
    </w:p>
    <w:p w14:paraId="6B36883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000000" w:themeColor="text1"/>
          <w:kern w:val="0"/>
          <w:sz w:val="28"/>
          <w:szCs w:val="28"/>
          <w:lang w:val="en-US" w:eastAsia="zh-CN" w:bidi="ar-SA"/>
          <w14:textFill>
            <w14:solidFill>
              <w14:schemeClr w14:val="tx1"/>
            </w14:solidFill>
          </w14:textFill>
        </w:rPr>
      </w:pPr>
    </w:p>
    <w:p w14:paraId="11BDDD2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textAlignment w:val="auto"/>
        <w:rPr>
          <w:rFonts w:hint="eastAsia" w:ascii="黑体" w:hAnsi="黑体" w:eastAsia="黑体" w:cs="黑体"/>
          <w:bCs/>
          <w:color w:val="000000" w:themeColor="text1"/>
          <w:kern w:val="0"/>
          <w:sz w:val="28"/>
          <w:szCs w:val="28"/>
          <w:lang w:val="en-US" w:eastAsia="zh-CN" w:bidi="ar-SA"/>
          <w14:textFill>
            <w14:solidFill>
              <w14:schemeClr w14:val="tx1"/>
            </w14:solidFill>
          </w14:textFill>
        </w:rPr>
      </w:pPr>
      <w:r>
        <w:rPr>
          <w:rFonts w:hint="eastAsia" w:ascii="黑体" w:hAnsi="黑体" w:eastAsia="黑体" w:cs="黑体"/>
          <w:bCs/>
          <w:color w:val="000000" w:themeColor="text1"/>
          <w:kern w:val="0"/>
          <w:sz w:val="28"/>
          <w:szCs w:val="28"/>
          <w:lang w:val="en-US" w:eastAsia="zh-CN" w:bidi="ar-SA"/>
          <w14:textFill>
            <w14:solidFill>
              <w14:schemeClr w14:val="tx1"/>
            </w14:solidFill>
          </w14:textFill>
        </w:rPr>
        <w:t>附件二</w:t>
      </w:r>
    </w:p>
    <w:p w14:paraId="1B6E84E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right="0"/>
        <w:jc w:val="center"/>
        <w:textAlignment w:val="auto"/>
        <w:rPr>
          <w:rFonts w:hint="eastAsia" w:ascii="方正小标宋简体" w:hAnsi="方正小标宋简体" w:eastAsia="方正小标宋简体" w:cs="方正小标宋简体"/>
          <w:bCs/>
          <w:color w:val="000000" w:themeColor="text1"/>
          <w:kern w:val="0"/>
          <w:sz w:val="36"/>
          <w:szCs w:val="36"/>
          <w:lang w:val="en-US" w:eastAsia="zh-CN" w:bidi="ar-SA"/>
          <w14:textFill>
            <w14:solidFill>
              <w14:schemeClr w14:val="tx1"/>
            </w14:solidFill>
          </w14:textFill>
        </w:rPr>
      </w:pPr>
      <w:r>
        <w:rPr>
          <w:rFonts w:hint="eastAsia" w:ascii="方正小标宋简体" w:hAnsi="方正小标宋简体" w:eastAsia="方正小标宋简体" w:cs="方正小标宋简体"/>
          <w:bCs/>
          <w:color w:val="000000" w:themeColor="text1"/>
          <w:kern w:val="0"/>
          <w:sz w:val="36"/>
          <w:szCs w:val="36"/>
          <w:lang w:val="en-US" w:eastAsia="zh-CN" w:bidi="ar-SA"/>
          <w14:textFill>
            <w14:solidFill>
              <w14:schemeClr w14:val="tx1"/>
            </w14:solidFill>
          </w14:textFill>
        </w:rPr>
        <w:t>多维终端安全管理平台（第二次）软件维保要求</w:t>
      </w:r>
    </w:p>
    <w:p w14:paraId="2E8BDAD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right="0"/>
        <w:jc w:val="center"/>
        <w:textAlignment w:val="auto"/>
        <w:rPr>
          <w:rFonts w:hint="eastAsia" w:ascii="方正小标宋简体" w:hAnsi="方正小标宋简体" w:eastAsia="方正小标宋简体" w:cs="方正小标宋简体"/>
          <w:bCs/>
          <w:color w:val="000000" w:themeColor="text1"/>
          <w:kern w:val="0"/>
          <w:sz w:val="36"/>
          <w:szCs w:val="36"/>
          <w:lang w:val="en-US" w:eastAsia="zh-CN" w:bidi="ar-SA"/>
          <w14:textFill>
            <w14:solidFill>
              <w14:schemeClr w14:val="tx1"/>
            </w14:solidFill>
          </w14:textFill>
        </w:rPr>
      </w:pPr>
    </w:p>
    <w:p w14:paraId="48F0EC47">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
          <w:bCs w:val="0"/>
          <w:color w:val="000000" w:themeColor="text1"/>
          <w:kern w:val="0"/>
          <w:sz w:val="24"/>
          <w:szCs w:val="24"/>
          <w:lang w:val="en-US" w:eastAsia="zh-CN" w:bidi="ar-SA"/>
          <w14:textFill>
            <w14:solidFill>
              <w14:schemeClr w14:val="tx1"/>
            </w14:solidFill>
          </w14:textFill>
        </w:rPr>
        <w:t xml:space="preserve">1. </w:t>
      </w:r>
      <w:r>
        <w:rPr>
          <w:rFonts w:hint="eastAsia" w:ascii="仿宋_GB2312" w:hAnsi="Times New Roman" w:eastAsia="仿宋_GB2312" w:cs="仿宋_GB2312"/>
          <w:b/>
          <w:bCs w:val="0"/>
          <w:color w:val="000000" w:themeColor="text1"/>
          <w:kern w:val="0"/>
          <w:sz w:val="24"/>
          <w:szCs w:val="24"/>
          <w:lang w:val="en-US" w:eastAsia="zh-CN" w:bidi="ar-SA"/>
          <w14:textFill>
            <w14:solidFill>
              <w14:schemeClr w14:val="tx1"/>
            </w14:solidFill>
          </w14:textFill>
        </w:rPr>
        <w:t>支持服务：</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乙方通过线下支持、电话或者邮件、微信、VPN远程、网站信息服务等形式提供如下技术支持：</w:t>
      </w:r>
    </w:p>
    <w:p w14:paraId="050817B5">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1.1 在维保期内，</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对</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甲方使用平台</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出现的问题</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提供7天×24小时</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电话</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技术</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支持</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（电话号码：</w:t>
      </w:r>
      <w:r>
        <w:rPr>
          <w:rFonts w:hint="eastAsia" w:ascii="仿宋_GB2312" w:eastAsia="仿宋_GB2312" w:cs="仿宋_GB2312"/>
          <w:bCs/>
          <w:color w:val="000000" w:themeColor="text1"/>
          <w:kern w:val="0"/>
          <w:sz w:val="24"/>
          <w:szCs w:val="24"/>
          <w:u w:val="single"/>
          <w:lang w:val="en-US" w:eastAsia="zh-CN" w:bidi="ar-SA"/>
          <w14:textFill>
            <w14:solidFill>
              <w14:schemeClr w14:val="tx1"/>
            </w14:solidFill>
          </w14:textFill>
        </w:rPr>
        <w:t xml:space="preserve">          </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并</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出具</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解决方案，按需派遣工程师来</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甲方</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现场解决</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w:t>
      </w:r>
    </w:p>
    <w:p w14:paraId="2EAE5F1B">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 xml:space="preserve">1.2 </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对</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甲方</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早期没有确认解决的问题进行跟踪回访；</w:t>
      </w:r>
    </w:p>
    <w:p w14:paraId="1BBA259D">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 xml:space="preserve">1.3 </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不定期电话回访</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甲方</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，了解</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甲方</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使用情况和需求</w:t>
      </w:r>
    </w:p>
    <w:p w14:paraId="1DF531E6">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1.4 为甲方提供</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技术资料下载</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w:t>
      </w:r>
    </w:p>
    <w:p w14:paraId="7535216E">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
          <w:bCs w:val="0"/>
          <w:color w:val="000000" w:themeColor="text1"/>
          <w:kern w:val="0"/>
          <w:sz w:val="24"/>
          <w:szCs w:val="24"/>
          <w:lang w:val="en-US" w:eastAsia="zh-CN" w:bidi="ar-SA"/>
          <w14:textFill>
            <w14:solidFill>
              <w14:schemeClr w14:val="tx1"/>
            </w14:solidFill>
          </w14:textFill>
        </w:rPr>
        <w:t xml:space="preserve">2. </w:t>
      </w:r>
      <w:r>
        <w:rPr>
          <w:rFonts w:hint="eastAsia" w:ascii="仿宋_GB2312" w:hAnsi="Times New Roman" w:eastAsia="仿宋_GB2312" w:cs="仿宋_GB2312"/>
          <w:b/>
          <w:bCs w:val="0"/>
          <w:color w:val="000000" w:themeColor="text1"/>
          <w:kern w:val="0"/>
          <w:sz w:val="24"/>
          <w:szCs w:val="24"/>
          <w:lang w:val="en-US" w:eastAsia="zh-CN" w:bidi="ar-SA"/>
          <w14:textFill>
            <w14:solidFill>
              <w14:schemeClr w14:val="tx1"/>
            </w14:solidFill>
          </w14:textFill>
        </w:rPr>
        <w:t>用户培训：</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乙方负责软件更改后造成软件操作变化的使用培训，培训对象为甲方的医生、护士、技术工程师、业务科室的关键用户。乙方同时向甲方提供新功能使用说明和电子版操作手册。</w:t>
      </w:r>
    </w:p>
    <w:p w14:paraId="080C0D5D">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
          <w:bCs w:val="0"/>
          <w:color w:val="000000" w:themeColor="text1"/>
          <w:kern w:val="0"/>
          <w:sz w:val="24"/>
          <w:szCs w:val="24"/>
          <w:lang w:val="en-US" w:eastAsia="zh-CN" w:bidi="ar-SA"/>
          <w14:textFill>
            <w14:solidFill>
              <w14:schemeClr w14:val="tx1"/>
            </w14:solidFill>
          </w14:textFill>
        </w:rPr>
        <w:t xml:space="preserve">3. </w:t>
      </w:r>
      <w:r>
        <w:rPr>
          <w:rFonts w:hint="eastAsia" w:ascii="仿宋_GB2312" w:hAnsi="Times New Roman" w:eastAsia="仿宋_GB2312" w:cs="仿宋_GB2312"/>
          <w:b/>
          <w:bCs w:val="0"/>
          <w:color w:val="000000" w:themeColor="text1"/>
          <w:kern w:val="0"/>
          <w:sz w:val="24"/>
          <w:szCs w:val="24"/>
          <w:lang w:val="en-US" w:eastAsia="zh-CN" w:bidi="ar-SA"/>
          <w14:textFill>
            <w14:solidFill>
              <w14:schemeClr w14:val="tx1"/>
            </w14:solidFill>
          </w14:textFill>
        </w:rPr>
        <w:t>需求的更新：</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乙方保证提供的软件</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（包括</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病毒库和产品功能</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在</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维保</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期内均为最新版本，且提供最新版本的升级服务，确保该软件能够正常、顺畅、安全</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地</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使用；并确保与甲方其他系统的数据传输，全程配合</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甲方</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数据的采集、传输、分析、治理需求。</w:t>
      </w:r>
    </w:p>
    <w:p w14:paraId="150F26C9">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
          <w:bCs w:val="0"/>
          <w:color w:val="000000" w:themeColor="text1"/>
          <w:kern w:val="0"/>
          <w:sz w:val="24"/>
          <w:szCs w:val="24"/>
          <w:lang w:val="en-US" w:eastAsia="zh-CN" w:bidi="ar-SA"/>
          <w14:textFill>
            <w14:solidFill>
              <w14:schemeClr w14:val="tx1"/>
            </w14:solidFill>
          </w14:textFill>
        </w:rPr>
        <w:t xml:space="preserve">4. </w:t>
      </w:r>
      <w:r>
        <w:rPr>
          <w:rFonts w:hint="eastAsia" w:ascii="仿宋_GB2312" w:hAnsi="Times New Roman" w:eastAsia="仿宋_GB2312" w:cs="仿宋_GB2312"/>
          <w:b/>
          <w:bCs w:val="0"/>
          <w:color w:val="000000" w:themeColor="text1"/>
          <w:kern w:val="0"/>
          <w:sz w:val="24"/>
          <w:szCs w:val="24"/>
          <w:lang w:val="en-US" w:eastAsia="zh-CN" w:bidi="ar-SA"/>
          <w14:textFill>
            <w14:solidFill>
              <w14:schemeClr w14:val="tx1"/>
            </w14:solidFill>
          </w14:textFill>
        </w:rPr>
        <w:t>系统建设建议：</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系统在运行过程中，乙方不定期地向甲方提供科室软件建设建议方案。</w:t>
      </w:r>
    </w:p>
    <w:p w14:paraId="1096E9C9">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
          <w:bCs w:val="0"/>
          <w:color w:val="000000" w:themeColor="text1"/>
          <w:kern w:val="0"/>
          <w:sz w:val="24"/>
          <w:szCs w:val="24"/>
          <w:lang w:val="en-US" w:eastAsia="zh-CN" w:bidi="ar-SA"/>
          <w14:textFill>
            <w14:solidFill>
              <w14:schemeClr w14:val="tx1"/>
            </w14:solidFill>
          </w14:textFill>
        </w:rPr>
        <w:t xml:space="preserve">5. </w:t>
      </w:r>
      <w:r>
        <w:rPr>
          <w:rFonts w:hint="eastAsia" w:ascii="仿宋_GB2312" w:hAnsi="Times New Roman" w:eastAsia="仿宋_GB2312" w:cs="仿宋_GB2312"/>
          <w:b/>
          <w:bCs w:val="0"/>
          <w:color w:val="000000" w:themeColor="text1"/>
          <w:kern w:val="0"/>
          <w:sz w:val="24"/>
          <w:szCs w:val="24"/>
          <w:lang w:val="en-US" w:eastAsia="zh-CN" w:bidi="ar-SA"/>
          <w14:textFill>
            <w14:solidFill>
              <w14:schemeClr w14:val="tx1"/>
            </w14:solidFill>
          </w14:textFill>
        </w:rPr>
        <w:t>客户回应承诺：</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在维护期内，如软件系统故障，乙方</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须</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在接到</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甲方</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通知后30分钟内予以响应，共同协商解决方案。若需要工程师前往现场，除约定到达时间外，一般要求在</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接到甲方通知后</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4小时到达甲方指定现场。</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乙方</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工程师在到达现场后，经现场调查后，除约定时间外，一般要求</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在到达现场后</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6小时内排除故障。</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对于有数据丢失风险的故障，乙方承诺在到达现场后6小时内解决。</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如甲方因需求修改要求工程师现场维护的，乙方应在</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接到甲方要求后</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24小时内予以回应，给出具体解决方案和时间表，经甲方批准后，遵照方案、时间表及本合同约定执行。</w:t>
      </w:r>
    </w:p>
    <w:p w14:paraId="419258E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2"/>
        <w:textAlignment w:val="auto"/>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
          <w:bCs w:val="0"/>
          <w:color w:val="000000" w:themeColor="text1"/>
          <w:kern w:val="0"/>
          <w:sz w:val="24"/>
          <w:szCs w:val="24"/>
          <w:lang w:val="en-US" w:eastAsia="zh-CN" w:bidi="ar-SA"/>
          <w14:textFill>
            <w14:solidFill>
              <w14:schemeClr w14:val="tx1"/>
            </w14:solidFill>
          </w14:textFill>
        </w:rPr>
        <w:t xml:space="preserve">6. </w:t>
      </w:r>
      <w:r>
        <w:rPr>
          <w:rFonts w:hint="eastAsia" w:ascii="仿宋_GB2312" w:hAnsi="Times New Roman" w:eastAsia="仿宋_GB2312" w:cs="仿宋_GB2312"/>
          <w:b/>
          <w:bCs w:val="0"/>
          <w:color w:val="000000" w:themeColor="text1"/>
          <w:kern w:val="0"/>
          <w:sz w:val="24"/>
          <w:szCs w:val="24"/>
          <w:lang w:val="en-US" w:eastAsia="zh-CN" w:bidi="ar-SA"/>
          <w14:textFill>
            <w14:solidFill>
              <w14:schemeClr w14:val="tx1"/>
            </w14:solidFill>
          </w14:textFill>
        </w:rPr>
        <w:t>文档管理：</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为甲方</w:t>
      </w:r>
      <w:r>
        <w:rPr>
          <w:rFonts w:hint="eastAsia" w:ascii="仿宋_GB2312" w:hAnsi="Times New Roman" w:eastAsia="仿宋_GB2312" w:cs="仿宋_GB2312"/>
          <w:bCs/>
          <w:color w:val="000000" w:themeColor="text1"/>
          <w:kern w:val="0"/>
          <w:sz w:val="24"/>
          <w:szCs w:val="24"/>
          <w:lang w:val="en-US" w:eastAsia="zh-CN" w:bidi="ar-SA"/>
          <w14:textFill>
            <w14:solidFill>
              <w14:schemeClr w14:val="tx1"/>
            </w14:solidFill>
          </w14:textFill>
        </w:rPr>
        <w:t>提供和完善相关服务工作文档（软件更新的内容说明和常见问题的解决方法说明）。</w:t>
      </w:r>
    </w:p>
    <w:p w14:paraId="27B5A64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2"/>
        <w:textAlignment w:val="auto"/>
        <w:rPr>
          <w:rFonts w:hint="default" w:ascii="仿宋_GB2312" w:eastAsia="仿宋_GB2312" w:cs="仿宋_GB2312"/>
          <w:bCs/>
          <w:color w:val="000000" w:themeColor="text1"/>
          <w:kern w:val="0"/>
          <w:sz w:val="24"/>
          <w:szCs w:val="24"/>
          <w:lang w:val="en-US" w:eastAsia="zh-CN" w:bidi="ar-SA"/>
          <w14:textFill>
            <w14:solidFill>
              <w14:schemeClr w14:val="tx1"/>
            </w14:solidFill>
          </w14:textFill>
        </w:rPr>
      </w:pPr>
      <w:r>
        <w:rPr>
          <w:rFonts w:hint="eastAsia" w:ascii="仿宋_GB2312" w:eastAsia="仿宋_GB2312" w:cs="仿宋_GB2312"/>
          <w:b/>
          <w:bCs w:val="0"/>
          <w:color w:val="000000" w:themeColor="text1"/>
          <w:kern w:val="0"/>
          <w:sz w:val="24"/>
          <w:szCs w:val="24"/>
          <w:lang w:val="en-US" w:eastAsia="zh-CN" w:bidi="ar-SA"/>
          <w14:textFill>
            <w14:solidFill>
              <w14:schemeClr w14:val="tx1"/>
            </w14:solidFill>
          </w14:textFill>
        </w:rPr>
        <w:t>7.数据存储、备份、恢复：</w:t>
      </w:r>
      <w:r>
        <w:rPr>
          <w:rFonts w:hint="eastAsia" w:ascii="仿宋_GB2312" w:eastAsia="仿宋_GB2312" w:cs="仿宋_GB2312"/>
          <w:bCs/>
          <w:color w:val="000000" w:themeColor="text1"/>
          <w:kern w:val="0"/>
          <w:sz w:val="24"/>
          <w:szCs w:val="24"/>
          <w:lang w:val="en-US" w:eastAsia="zh-CN" w:bidi="ar-SA"/>
          <w14:textFill>
            <w14:solidFill>
              <w14:schemeClr w14:val="tx1"/>
            </w14:solidFill>
          </w14:textFill>
        </w:rPr>
        <w:t>协助甲方定期对系统数据存储、备份、恢复。如本合同服务期满或中途解除，乙方应在本合同终止后协助甲方对服务期间所有数据进行备份。</w:t>
      </w:r>
    </w:p>
    <w:p w14:paraId="6126853D">
      <w:pPr>
        <w:spacing w:line="440" w:lineRule="exact"/>
        <w:ind w:firstLine="480" w:firstLineChars="200"/>
      </w:pPr>
      <w:r>
        <w:rPr>
          <w:rFonts w:hint="eastAsia" w:ascii="宋体" w:hAnsi="宋体" w:eastAsia="宋体" w:cs="宋体"/>
          <w:sz w:val="24"/>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sz w:val="24"/>
        </w:rPr>
        <w:t xml:space="preserve">                                                </w:t>
      </w:r>
    </w:p>
    <w:p w14:paraId="6B5713C1"/>
    <w:p w14:paraId="691820E8">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color w:val="000000" w:themeColor="text1"/>
          <w:highlight w:val="none"/>
          <w14:textFill>
            <w14:solidFill>
              <w14:schemeClr w14:val="tx1"/>
            </w14:solidFill>
          </w14:textFill>
        </w:rPr>
      </w:pPr>
    </w:p>
    <w:p w14:paraId="1CE1F898">
      <w:pPr>
        <w:spacing w:line="360" w:lineRule="auto"/>
        <w:ind w:firstLine="480" w:firstLineChars="200"/>
        <w:rPr>
          <w:rFonts w:hint="eastAsia" w:ascii="仿宋" w:hAnsi="仿宋" w:eastAsia="仿宋" w:cs="仿宋"/>
          <w:bCs/>
          <w:color w:val="auto"/>
          <w:kern w:val="0"/>
          <w:sz w:val="24"/>
          <w:szCs w:val="24"/>
          <w:lang w:val="en-US" w:eastAsia="zh-CN" w:bidi="ar-SA"/>
        </w:rPr>
      </w:pPr>
    </w:p>
    <w:p w14:paraId="1DD251CA">
      <w:pPr>
        <w:pStyle w:val="3"/>
        <w:numPr>
          <w:ilvl w:val="0"/>
          <w:numId w:val="0"/>
        </w:numPr>
        <w:spacing w:line="240" w:lineRule="auto"/>
        <w:jc w:val="center"/>
        <w:rPr>
          <w:rFonts w:hint="eastAsia" w:ascii="仿宋" w:hAnsi="仿宋" w:eastAsia="仿宋" w:cs="仿宋"/>
          <w:color w:val="auto"/>
          <w:sz w:val="24"/>
          <w:szCs w:val="24"/>
          <w:lang w:val="en-US" w:eastAsia="zh-CN"/>
        </w:rPr>
      </w:pPr>
      <w:bookmarkStart w:id="2" w:name="_Toc16523574"/>
    </w:p>
    <w:p w14:paraId="76D2BE39">
      <w:pPr>
        <w:pStyle w:val="3"/>
        <w:numPr>
          <w:ilvl w:val="0"/>
          <w:numId w:val="0"/>
        </w:numPr>
        <w:spacing w:line="240" w:lineRule="auto"/>
        <w:jc w:val="center"/>
        <w:rPr>
          <w:rFonts w:hint="eastAsia" w:ascii="仿宋" w:hAnsi="仿宋" w:eastAsia="仿宋" w:cs="仿宋"/>
          <w:color w:val="auto"/>
          <w:sz w:val="24"/>
          <w:szCs w:val="24"/>
          <w:lang w:val="en-US" w:eastAsia="zh-CN"/>
        </w:rPr>
      </w:pPr>
    </w:p>
    <w:p w14:paraId="1B24DBFF">
      <w:pPr>
        <w:pStyle w:val="3"/>
        <w:numPr>
          <w:ilvl w:val="0"/>
          <w:numId w:val="0"/>
        </w:numPr>
        <w:spacing w:line="24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 xml:space="preserve">第三章   </w:t>
      </w:r>
      <w:r>
        <w:rPr>
          <w:rFonts w:hint="eastAsia" w:ascii="仿宋" w:hAnsi="仿宋" w:eastAsia="仿宋" w:cs="仿宋"/>
          <w:color w:val="auto"/>
          <w:sz w:val="24"/>
          <w:szCs w:val="24"/>
        </w:rPr>
        <w:t>投标文件的格式</w:t>
      </w:r>
    </w:p>
    <w:p w14:paraId="10AEC8F2">
      <w:pPr>
        <w:pStyle w:val="3"/>
        <w:numPr>
          <w:ilvl w:val="0"/>
          <w:numId w:val="0"/>
        </w:numPr>
        <w:spacing w:line="24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（必须按以下标题和顺序进行编制）</w:t>
      </w:r>
    </w:p>
    <w:p w14:paraId="2122998B">
      <w:pPr>
        <w:rPr>
          <w:rFonts w:hint="eastAsia" w:ascii="仿宋" w:hAnsi="仿宋" w:eastAsia="仿宋" w:cs="仿宋"/>
          <w:color w:val="auto"/>
          <w:sz w:val="24"/>
          <w:szCs w:val="24"/>
        </w:rPr>
      </w:pPr>
    </w:p>
    <w:bookmarkEnd w:id="2"/>
    <w:p w14:paraId="4112E651">
      <w:pPr>
        <w:rPr>
          <w:rFonts w:hint="eastAsia" w:ascii="仿宋" w:hAnsi="仿宋" w:eastAsia="仿宋" w:cs="仿宋"/>
          <w:color w:val="auto"/>
          <w:sz w:val="24"/>
          <w:szCs w:val="24"/>
        </w:rPr>
      </w:pPr>
    </w:p>
    <w:p w14:paraId="7BED1D8A">
      <w:pPr>
        <w:jc w:val="center"/>
        <w:rPr>
          <w:rFonts w:hint="eastAsia" w:ascii="仿宋" w:hAnsi="仿宋" w:eastAsia="仿宋" w:cs="仿宋"/>
          <w:b/>
          <w:color w:val="auto"/>
          <w:sz w:val="24"/>
          <w:szCs w:val="24"/>
        </w:rPr>
      </w:pPr>
      <w:r>
        <w:rPr>
          <w:rFonts w:hint="eastAsia" w:ascii="仿宋" w:hAnsi="仿宋" w:eastAsia="仿宋" w:cs="仿宋"/>
          <w:b/>
          <w:color w:val="auto"/>
          <w:sz w:val="24"/>
          <w:szCs w:val="24"/>
        </w:rPr>
        <w:t>第一部分、开标一览表</w:t>
      </w:r>
    </w:p>
    <w:p w14:paraId="6154215B">
      <w:pPr>
        <w:jc w:val="center"/>
        <w:rPr>
          <w:rFonts w:hint="eastAsia" w:ascii="仿宋" w:hAnsi="仿宋" w:eastAsia="仿宋" w:cs="仿宋"/>
          <w:b/>
          <w:color w:val="auto"/>
          <w:sz w:val="24"/>
          <w:szCs w:val="24"/>
        </w:rPr>
      </w:pPr>
    </w:p>
    <w:p w14:paraId="1347C8BB">
      <w:pPr>
        <w:jc w:val="center"/>
        <w:rPr>
          <w:rFonts w:hint="eastAsia" w:ascii="仿宋" w:hAnsi="仿宋" w:eastAsia="仿宋" w:cs="仿宋"/>
          <w:b/>
          <w:color w:val="auto"/>
          <w:sz w:val="24"/>
          <w:szCs w:val="24"/>
          <w:lang w:eastAsia="zh-CN"/>
        </w:rPr>
      </w:pPr>
      <w:r>
        <w:rPr>
          <w:rFonts w:hint="eastAsia" w:ascii="仿宋" w:hAnsi="仿宋" w:eastAsia="仿宋" w:cs="仿宋"/>
          <w:b/>
          <w:color w:val="auto"/>
          <w:sz w:val="24"/>
          <w:szCs w:val="24"/>
          <w:lang w:eastAsia="zh-CN"/>
        </w:rPr>
        <w:t>注：此项内容需包含投标</w:t>
      </w:r>
      <w:r>
        <w:rPr>
          <w:rFonts w:hint="eastAsia" w:ascii="仿宋" w:hAnsi="仿宋" w:eastAsia="仿宋" w:cs="仿宋"/>
          <w:b/>
          <w:color w:val="auto"/>
          <w:sz w:val="24"/>
          <w:szCs w:val="24"/>
          <w:lang w:val="en-US" w:eastAsia="zh-CN"/>
        </w:rPr>
        <w:t>项目</w:t>
      </w:r>
      <w:r>
        <w:rPr>
          <w:rFonts w:hint="eastAsia" w:ascii="仿宋" w:hAnsi="仿宋" w:eastAsia="仿宋" w:cs="仿宋"/>
          <w:b/>
          <w:color w:val="auto"/>
          <w:sz w:val="24"/>
          <w:szCs w:val="24"/>
          <w:lang w:eastAsia="zh-CN"/>
        </w:rPr>
        <w:t>名称、数量、品牌、型号、单价、总价、等信息</w:t>
      </w:r>
    </w:p>
    <w:p w14:paraId="7FA6607A">
      <w:pPr>
        <w:pStyle w:val="14"/>
        <w:rPr>
          <w:rFonts w:hint="eastAsia" w:ascii="仿宋" w:hAnsi="仿宋" w:eastAsia="仿宋" w:cs="仿宋"/>
          <w:color w:val="auto"/>
          <w:sz w:val="24"/>
          <w:szCs w:val="24"/>
        </w:rPr>
      </w:pPr>
    </w:p>
    <w:p w14:paraId="28874686">
      <w:pPr>
        <w:adjustRightInd w:val="0"/>
        <w:snapToGrid w:val="0"/>
        <w:spacing w:line="360" w:lineRule="auto"/>
        <w:jc w:val="center"/>
        <w:rPr>
          <w:rFonts w:hint="eastAsia" w:ascii="仿宋" w:hAnsi="仿宋" w:eastAsia="仿宋" w:cs="仿宋"/>
          <w:b/>
          <w:color w:val="auto"/>
          <w:sz w:val="24"/>
          <w:szCs w:val="24"/>
        </w:rPr>
      </w:pPr>
    </w:p>
    <w:p w14:paraId="096C96EF">
      <w:pPr>
        <w:adjustRightInd w:val="0"/>
        <w:snapToGrid w:val="0"/>
        <w:spacing w:line="360" w:lineRule="auto"/>
        <w:jc w:val="center"/>
        <w:rPr>
          <w:rFonts w:hint="eastAsia" w:ascii="仿宋" w:hAnsi="仿宋" w:eastAsia="仿宋" w:cs="仿宋"/>
          <w:b/>
          <w:color w:val="auto"/>
          <w:sz w:val="24"/>
          <w:szCs w:val="24"/>
        </w:rPr>
      </w:pPr>
    </w:p>
    <w:p w14:paraId="7584A0E9">
      <w:pPr>
        <w:adjustRightInd w:val="0"/>
        <w:snapToGrid w:val="0"/>
        <w:spacing w:line="360" w:lineRule="auto"/>
        <w:jc w:val="center"/>
        <w:rPr>
          <w:rFonts w:hint="eastAsia" w:ascii="仿宋" w:hAnsi="仿宋" w:eastAsia="仿宋" w:cs="仿宋"/>
          <w:b/>
          <w:color w:val="auto"/>
          <w:sz w:val="24"/>
          <w:szCs w:val="24"/>
        </w:rPr>
      </w:pPr>
    </w:p>
    <w:p w14:paraId="3E2E7999">
      <w:pPr>
        <w:adjustRightInd w:val="0"/>
        <w:snapToGrid w:val="0"/>
        <w:spacing w:line="360" w:lineRule="auto"/>
        <w:jc w:val="center"/>
        <w:rPr>
          <w:rFonts w:hint="eastAsia" w:ascii="仿宋" w:hAnsi="仿宋" w:eastAsia="仿宋" w:cs="仿宋"/>
          <w:b/>
          <w:color w:val="auto"/>
          <w:sz w:val="24"/>
          <w:szCs w:val="24"/>
        </w:rPr>
      </w:pPr>
    </w:p>
    <w:p w14:paraId="27418B53">
      <w:pPr>
        <w:adjustRightInd w:val="0"/>
        <w:snapToGrid w:val="0"/>
        <w:spacing w:line="360" w:lineRule="auto"/>
        <w:jc w:val="center"/>
        <w:rPr>
          <w:rFonts w:hint="eastAsia" w:ascii="仿宋" w:hAnsi="仿宋" w:eastAsia="仿宋" w:cs="仿宋"/>
          <w:b/>
          <w:color w:val="auto"/>
          <w:sz w:val="24"/>
          <w:szCs w:val="24"/>
          <w:lang w:eastAsia="zh-CN"/>
        </w:rPr>
      </w:pPr>
      <w:r>
        <w:rPr>
          <w:rFonts w:hint="eastAsia" w:ascii="仿宋" w:hAnsi="仿宋" w:eastAsia="仿宋" w:cs="仿宋"/>
          <w:b/>
          <w:color w:val="auto"/>
          <w:sz w:val="24"/>
          <w:szCs w:val="24"/>
        </w:rPr>
        <w:t>第二部分、资格证明文件</w:t>
      </w:r>
    </w:p>
    <w:p w14:paraId="20051BAF">
      <w:pPr>
        <w:pStyle w:val="12"/>
        <w:rPr>
          <w:rFonts w:hint="eastAsia" w:ascii="仿宋" w:hAnsi="仿宋" w:eastAsia="仿宋" w:cs="仿宋"/>
          <w:color w:val="auto"/>
          <w:sz w:val="24"/>
          <w:szCs w:val="24"/>
          <w:lang w:eastAsia="zh-CN"/>
        </w:rPr>
      </w:pPr>
    </w:p>
    <w:p w14:paraId="76383466">
      <w:pPr>
        <w:adjustRightInd w:val="0"/>
        <w:snapToGrid w:val="0"/>
        <w:spacing w:line="360" w:lineRule="auto"/>
        <w:jc w:val="center"/>
        <w:rPr>
          <w:rFonts w:hint="eastAsia" w:ascii="仿宋" w:hAnsi="仿宋" w:eastAsia="仿宋" w:cs="仿宋"/>
          <w:b/>
          <w:color w:val="auto"/>
          <w:sz w:val="24"/>
          <w:szCs w:val="24"/>
        </w:rPr>
      </w:pPr>
    </w:p>
    <w:p w14:paraId="177F9770">
      <w:pPr>
        <w:adjustRightInd w:val="0"/>
        <w:snapToGrid w:val="0"/>
        <w:spacing w:line="360" w:lineRule="auto"/>
        <w:jc w:val="center"/>
        <w:rPr>
          <w:rFonts w:hint="eastAsia" w:ascii="仿宋" w:hAnsi="仿宋" w:eastAsia="仿宋" w:cs="仿宋"/>
          <w:b/>
          <w:color w:val="auto"/>
          <w:sz w:val="24"/>
          <w:szCs w:val="24"/>
        </w:rPr>
      </w:pPr>
      <w:r>
        <w:rPr>
          <w:rFonts w:hint="eastAsia" w:ascii="仿宋" w:hAnsi="仿宋" w:eastAsia="仿宋" w:cs="仿宋"/>
          <w:b/>
          <w:color w:val="auto"/>
          <w:sz w:val="24"/>
          <w:szCs w:val="24"/>
        </w:rPr>
        <w:t>一、法定代表人授权委托书</w:t>
      </w:r>
    </w:p>
    <w:p w14:paraId="502CF71A">
      <w:pPr>
        <w:adjustRightInd w:val="0"/>
        <w:snapToGrid w:val="0"/>
        <w:spacing w:line="360" w:lineRule="auto"/>
        <w:rPr>
          <w:rFonts w:hint="eastAsia" w:ascii="仿宋" w:hAnsi="仿宋" w:eastAsia="仿宋" w:cs="仿宋"/>
          <w:b/>
          <w:color w:val="auto"/>
          <w:sz w:val="24"/>
          <w:szCs w:val="24"/>
        </w:rPr>
      </w:pPr>
    </w:p>
    <w:p w14:paraId="33AFB1D1">
      <w:pPr>
        <w:autoSpaceDE w:val="0"/>
        <w:autoSpaceDN w:val="0"/>
        <w:adjustRightInd w:val="0"/>
        <w:snapToGrid w:val="0"/>
        <w:spacing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本人</w:t>
      </w:r>
      <w:r>
        <w:rPr>
          <w:rFonts w:hint="eastAsia" w:ascii="仿宋" w:hAnsi="仿宋" w:eastAsia="仿宋" w:cs="仿宋"/>
          <w:color w:val="auto"/>
          <w:kern w:val="0"/>
          <w:sz w:val="24"/>
          <w:szCs w:val="24"/>
          <w:u w:val="single"/>
        </w:rPr>
        <w:t>（姓名、职务）</w:t>
      </w:r>
      <w:r>
        <w:rPr>
          <w:rFonts w:hint="eastAsia" w:ascii="仿宋" w:hAnsi="仿宋" w:eastAsia="仿宋" w:cs="仿宋"/>
          <w:color w:val="auto"/>
          <w:kern w:val="0"/>
          <w:sz w:val="24"/>
          <w:szCs w:val="24"/>
        </w:rPr>
        <w:t>系</w:t>
      </w:r>
      <w:r>
        <w:rPr>
          <w:rFonts w:hint="eastAsia" w:ascii="仿宋" w:hAnsi="仿宋" w:eastAsia="仿宋" w:cs="仿宋"/>
          <w:color w:val="auto"/>
          <w:kern w:val="0"/>
          <w:sz w:val="24"/>
          <w:szCs w:val="24"/>
          <w:u w:val="single"/>
        </w:rPr>
        <w:t xml:space="preserve"> （</w:t>
      </w:r>
      <w:r>
        <w:rPr>
          <w:rFonts w:hint="eastAsia" w:ascii="仿宋" w:hAnsi="仿宋" w:eastAsia="仿宋" w:cs="仿宋"/>
          <w:color w:val="auto"/>
          <w:sz w:val="24"/>
          <w:szCs w:val="24"/>
          <w:u w:val="single"/>
        </w:rPr>
        <w:t>投标人</w:t>
      </w:r>
      <w:r>
        <w:rPr>
          <w:rFonts w:hint="eastAsia" w:ascii="仿宋" w:hAnsi="仿宋" w:eastAsia="仿宋" w:cs="仿宋"/>
          <w:color w:val="auto"/>
          <w:kern w:val="0"/>
          <w:sz w:val="24"/>
          <w:szCs w:val="24"/>
          <w:u w:val="single"/>
        </w:rPr>
        <w:t>名称）</w:t>
      </w:r>
      <w:r>
        <w:rPr>
          <w:rFonts w:hint="eastAsia" w:ascii="仿宋" w:hAnsi="仿宋" w:eastAsia="仿宋" w:cs="仿宋"/>
          <w:color w:val="auto"/>
          <w:kern w:val="0"/>
          <w:sz w:val="24"/>
          <w:szCs w:val="24"/>
        </w:rPr>
        <w:t>的法定代表人，现授权</w:t>
      </w:r>
      <w:r>
        <w:rPr>
          <w:rFonts w:hint="eastAsia" w:ascii="仿宋" w:hAnsi="仿宋" w:eastAsia="仿宋" w:cs="仿宋"/>
          <w:color w:val="auto"/>
          <w:kern w:val="0"/>
          <w:sz w:val="24"/>
          <w:szCs w:val="24"/>
          <w:u w:val="single"/>
        </w:rPr>
        <w:t>（姓名、职务）</w:t>
      </w:r>
      <w:r>
        <w:rPr>
          <w:rFonts w:hint="eastAsia" w:ascii="仿宋" w:hAnsi="仿宋" w:eastAsia="仿宋" w:cs="仿宋"/>
          <w:color w:val="auto"/>
          <w:kern w:val="0"/>
          <w:sz w:val="24"/>
          <w:szCs w:val="24"/>
        </w:rPr>
        <w:t>为我方代理人。代理人根据授权，以我方名义签署、澄清、说明、补正、递交、撤回、修改</w:t>
      </w:r>
      <w:r>
        <w:rPr>
          <w:rFonts w:hint="eastAsia" w:ascii="仿宋" w:hAnsi="仿宋" w:eastAsia="仿宋" w:cs="仿宋"/>
          <w:color w:val="auto"/>
          <w:kern w:val="0"/>
          <w:sz w:val="24"/>
          <w:szCs w:val="24"/>
          <w:u w:val="single"/>
        </w:rPr>
        <w:t>（项目名称）</w:t>
      </w:r>
      <w:r>
        <w:rPr>
          <w:rFonts w:hint="eastAsia" w:ascii="仿宋" w:hAnsi="仿宋" w:eastAsia="仿宋" w:cs="仿宋"/>
          <w:color w:val="auto"/>
          <w:kern w:val="0"/>
          <w:sz w:val="24"/>
          <w:szCs w:val="24"/>
        </w:rPr>
        <w:t>（采购编号：</w:t>
      </w:r>
      <w:r>
        <w:rPr>
          <w:rFonts w:hint="eastAsia" w:ascii="仿宋" w:hAnsi="仿宋" w:eastAsia="仿宋" w:cs="仿宋"/>
          <w:color w:val="auto"/>
          <w:kern w:val="0"/>
          <w:sz w:val="24"/>
          <w:szCs w:val="24"/>
          <w:u w:val="single"/>
        </w:rPr>
        <w:t xml:space="preserve">     </w:t>
      </w:r>
      <w:r>
        <w:rPr>
          <w:rFonts w:hint="eastAsia" w:ascii="仿宋" w:hAnsi="仿宋" w:eastAsia="仿宋" w:cs="仿宋"/>
          <w:color w:val="auto"/>
          <w:kern w:val="0"/>
          <w:sz w:val="24"/>
          <w:szCs w:val="24"/>
        </w:rPr>
        <w:t>）投标文件、签订合同和处理有关事宜，其法律后果由我方承担。</w:t>
      </w:r>
    </w:p>
    <w:p w14:paraId="68C81D2C">
      <w:pPr>
        <w:autoSpaceDE w:val="0"/>
        <w:autoSpaceDN w:val="0"/>
        <w:adjustRightInd w:val="0"/>
        <w:snapToGrid w:val="0"/>
        <w:spacing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委托期限：</w:t>
      </w:r>
      <w:r>
        <w:rPr>
          <w:rFonts w:hint="eastAsia" w:ascii="仿宋" w:hAnsi="仿宋" w:eastAsia="仿宋" w:cs="仿宋"/>
          <w:color w:val="auto"/>
          <w:kern w:val="0"/>
          <w:sz w:val="24"/>
          <w:szCs w:val="24"/>
          <w:u w:val="single"/>
        </w:rPr>
        <w:t xml:space="preserve">       </w:t>
      </w:r>
      <w:r>
        <w:rPr>
          <w:rFonts w:hint="eastAsia" w:ascii="仿宋" w:hAnsi="仿宋" w:eastAsia="仿宋" w:cs="仿宋"/>
          <w:color w:val="auto"/>
          <w:kern w:val="0"/>
          <w:sz w:val="24"/>
          <w:szCs w:val="24"/>
        </w:rPr>
        <w:t>。</w:t>
      </w:r>
    </w:p>
    <w:p w14:paraId="304A8B05">
      <w:pPr>
        <w:adjustRightInd w:val="0"/>
        <w:snapToGrid w:val="0"/>
        <w:spacing w:line="360" w:lineRule="auto"/>
        <w:ind w:firstLine="435"/>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代理人无转委托权。</w:t>
      </w:r>
    </w:p>
    <w:p w14:paraId="592C6A13">
      <w:pPr>
        <w:adjustRightInd w:val="0"/>
        <w:snapToGrid w:val="0"/>
        <w:spacing w:line="360" w:lineRule="auto"/>
        <w:ind w:firstLine="435"/>
        <w:rPr>
          <w:rFonts w:hint="eastAsia" w:ascii="仿宋" w:hAnsi="仿宋" w:eastAsia="仿宋" w:cs="仿宋"/>
          <w:color w:val="auto"/>
          <w:sz w:val="24"/>
          <w:szCs w:val="24"/>
        </w:rPr>
      </w:pPr>
      <w:r>
        <w:rPr>
          <w:rFonts w:hint="eastAsia" w:ascii="仿宋" w:hAnsi="仿宋" w:eastAsia="仿宋" w:cs="仿宋"/>
          <w:color w:val="auto"/>
          <w:sz w:val="24"/>
          <w:szCs w:val="24"/>
        </w:rPr>
        <w:t>本授权书于日期：</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年</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月</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日签字生效，特此声明。</w:t>
      </w:r>
    </w:p>
    <w:p w14:paraId="0CCE82F9">
      <w:pPr>
        <w:adjustRightInd w:val="0"/>
        <w:snapToGrid w:val="0"/>
        <w:spacing w:line="360" w:lineRule="auto"/>
        <w:ind w:firstLine="480" w:firstLineChars="200"/>
        <w:rPr>
          <w:rFonts w:hint="eastAsia" w:ascii="仿宋" w:hAnsi="仿宋" w:eastAsia="仿宋" w:cs="仿宋"/>
          <w:color w:val="auto"/>
          <w:sz w:val="24"/>
          <w:szCs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69E68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54B25471">
            <w:pPr>
              <w:adjustRightInd w:val="0"/>
              <w:snapToGrid w:val="0"/>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委托代理人身份证（正面、反面）复印件</w:t>
            </w:r>
          </w:p>
        </w:tc>
      </w:tr>
    </w:tbl>
    <w:p w14:paraId="5C033F20">
      <w:pPr>
        <w:adjustRightInd w:val="0"/>
        <w:snapToGrid w:val="0"/>
        <w:spacing w:line="360" w:lineRule="auto"/>
        <w:rPr>
          <w:rFonts w:hint="eastAsia" w:ascii="仿宋" w:hAnsi="仿宋" w:eastAsia="仿宋" w:cs="仿宋"/>
          <w:color w:val="auto"/>
          <w:sz w:val="24"/>
          <w:szCs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27932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7C248A0A">
            <w:pPr>
              <w:adjustRightInd w:val="0"/>
              <w:snapToGrid w:val="0"/>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法定代表人身份证（正面、反面）复印件</w:t>
            </w:r>
          </w:p>
        </w:tc>
      </w:tr>
    </w:tbl>
    <w:p w14:paraId="74AA6451">
      <w:pPr>
        <w:adjustRightInd w:val="0"/>
        <w:snapToGrid w:val="0"/>
        <w:spacing w:line="360" w:lineRule="auto"/>
        <w:rPr>
          <w:rFonts w:hint="eastAsia" w:ascii="仿宋" w:hAnsi="仿宋" w:eastAsia="仿宋" w:cs="仿宋"/>
          <w:color w:val="auto"/>
          <w:sz w:val="24"/>
          <w:szCs w:val="24"/>
        </w:rPr>
      </w:pPr>
    </w:p>
    <w:p w14:paraId="45197FBA">
      <w:pPr>
        <w:adjustRightInd w:val="0"/>
        <w:snapToGrid w:val="0"/>
        <w:spacing w:line="360" w:lineRule="auto"/>
        <w:rPr>
          <w:rFonts w:hint="eastAsia" w:ascii="仿宋" w:hAnsi="仿宋" w:eastAsia="仿宋" w:cs="仿宋"/>
          <w:color w:val="auto"/>
          <w:sz w:val="24"/>
          <w:szCs w:val="24"/>
        </w:rPr>
      </w:pPr>
    </w:p>
    <w:p w14:paraId="6082DAC1">
      <w:pPr>
        <w:adjustRightInd w:val="0"/>
        <w:snapToGrid w:val="0"/>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投标人名称（盖单位章）：</w:t>
      </w:r>
    </w:p>
    <w:p w14:paraId="7835EE63">
      <w:pPr>
        <w:adjustRightInd w:val="0"/>
        <w:snapToGrid w:val="0"/>
        <w:spacing w:line="360" w:lineRule="auto"/>
        <w:ind w:right="420"/>
        <w:rPr>
          <w:rFonts w:hint="eastAsia" w:ascii="仿宋" w:hAnsi="仿宋" w:eastAsia="仿宋" w:cs="仿宋"/>
          <w:color w:val="auto"/>
          <w:sz w:val="24"/>
          <w:szCs w:val="24"/>
        </w:rPr>
      </w:pPr>
      <w:r>
        <w:rPr>
          <w:rFonts w:hint="eastAsia" w:ascii="仿宋" w:hAnsi="仿宋" w:eastAsia="仿宋" w:cs="仿宋"/>
          <w:color w:val="auto"/>
          <w:sz w:val="24"/>
          <w:szCs w:val="24"/>
        </w:rPr>
        <w:t>法定代表人（签字）：</w:t>
      </w:r>
    </w:p>
    <w:p w14:paraId="73C72B23">
      <w:pPr>
        <w:adjustRightInd w:val="0"/>
        <w:snapToGrid w:val="0"/>
        <w:spacing w:line="360" w:lineRule="auto"/>
        <w:ind w:right="420"/>
        <w:rPr>
          <w:rFonts w:hint="eastAsia" w:ascii="仿宋" w:hAnsi="仿宋" w:eastAsia="仿宋" w:cs="仿宋"/>
          <w:color w:val="auto"/>
          <w:sz w:val="24"/>
          <w:szCs w:val="24"/>
        </w:rPr>
      </w:pPr>
      <w:r>
        <w:rPr>
          <w:rFonts w:hint="eastAsia" w:ascii="仿宋" w:hAnsi="仿宋" w:eastAsia="仿宋" w:cs="仿宋"/>
          <w:color w:val="auto"/>
          <w:sz w:val="24"/>
          <w:szCs w:val="24"/>
        </w:rPr>
        <w:t>委托代理人（签字）：</w:t>
      </w:r>
    </w:p>
    <w:p w14:paraId="43042B74">
      <w:pPr>
        <w:adjustRightInd w:val="0"/>
        <w:snapToGrid w:val="0"/>
        <w:spacing w:line="360" w:lineRule="auto"/>
        <w:rPr>
          <w:rFonts w:hint="eastAsia" w:ascii="仿宋" w:hAnsi="仿宋" w:eastAsia="仿宋" w:cs="仿宋"/>
          <w:b/>
          <w:color w:val="auto"/>
          <w:sz w:val="24"/>
          <w:szCs w:val="24"/>
        </w:rPr>
      </w:pPr>
      <w:r>
        <w:rPr>
          <w:rFonts w:hint="eastAsia" w:ascii="仿宋" w:hAnsi="仿宋" w:eastAsia="仿宋" w:cs="仿宋"/>
          <w:color w:val="auto"/>
          <w:sz w:val="24"/>
          <w:szCs w:val="24"/>
        </w:rPr>
        <w:t>日期：</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年</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月</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日</w:t>
      </w:r>
    </w:p>
    <w:p w14:paraId="46972FD2">
      <w:pPr>
        <w:adjustRightInd w:val="0"/>
        <w:snapToGrid w:val="0"/>
        <w:spacing w:line="360" w:lineRule="auto"/>
        <w:rPr>
          <w:rFonts w:hint="eastAsia" w:ascii="仿宋" w:hAnsi="仿宋" w:eastAsia="仿宋" w:cs="仿宋"/>
          <w:b/>
          <w:color w:val="auto"/>
          <w:sz w:val="24"/>
          <w:szCs w:val="24"/>
        </w:rPr>
      </w:pPr>
    </w:p>
    <w:p w14:paraId="1FF3CAA1">
      <w:pPr>
        <w:adjustRightInd w:val="0"/>
        <w:snapToGrid w:val="0"/>
        <w:spacing w:line="360" w:lineRule="auto"/>
        <w:jc w:val="center"/>
        <w:rPr>
          <w:rFonts w:hint="eastAsia" w:ascii="仿宋" w:hAnsi="仿宋" w:eastAsia="仿宋" w:cs="仿宋"/>
          <w:color w:val="auto"/>
          <w:sz w:val="24"/>
          <w:szCs w:val="24"/>
        </w:rPr>
      </w:pPr>
      <w:r>
        <w:rPr>
          <w:rFonts w:hint="eastAsia" w:ascii="仿宋" w:hAnsi="仿宋" w:eastAsia="仿宋" w:cs="仿宋"/>
          <w:b/>
          <w:color w:val="auto"/>
          <w:sz w:val="24"/>
          <w:szCs w:val="24"/>
        </w:rPr>
        <w:t>二、投标人资格声明</w:t>
      </w:r>
    </w:p>
    <w:p w14:paraId="46599C6D">
      <w:pPr>
        <w:widowControl/>
        <w:adjustRightInd w:val="0"/>
        <w:snapToGrid w:val="0"/>
        <w:spacing w:before="120" w:beforeLines="50" w:line="360" w:lineRule="auto"/>
        <w:jc w:val="left"/>
        <w:rPr>
          <w:rFonts w:hint="eastAsia" w:ascii="仿宋" w:hAnsi="仿宋" w:eastAsia="仿宋" w:cs="仿宋"/>
          <w:color w:val="auto"/>
          <w:kern w:val="0"/>
          <w:sz w:val="24"/>
          <w:szCs w:val="24"/>
        </w:rPr>
      </w:pPr>
      <w:r>
        <w:rPr>
          <w:rFonts w:hint="eastAsia" w:ascii="仿宋" w:hAnsi="仿宋" w:eastAsia="仿宋" w:cs="仿宋"/>
          <w:color w:val="auto"/>
          <w:sz w:val="24"/>
          <w:szCs w:val="24"/>
        </w:rPr>
        <w:t>致(</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w:t>
      </w:r>
    </w:p>
    <w:p w14:paraId="089DEC85">
      <w:pPr>
        <w:widowControl/>
        <w:adjustRightInd w:val="0"/>
        <w:snapToGrid w:val="0"/>
        <w:spacing w:before="120" w:beforeLines="50"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sz w:val="24"/>
          <w:szCs w:val="24"/>
        </w:rPr>
        <w:t>按照招标文件的规定，我单位郑重声明如下：</w:t>
      </w:r>
    </w:p>
    <w:p w14:paraId="7425A4C3">
      <w:pPr>
        <w:widowControl/>
        <w:adjustRightInd w:val="0"/>
        <w:snapToGrid w:val="0"/>
        <w:spacing w:before="120" w:beforeLines="50"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sz w:val="24"/>
          <w:szCs w:val="24"/>
        </w:rPr>
        <w:t>一、我单位是按照中华人民共和国法律规定登记注册的，注册地点为</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，全称为</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，统一社会信用代码为</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，法定代表人为</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，具有独立承担民事责任的能力。</w:t>
      </w:r>
    </w:p>
    <w:p w14:paraId="31E15CF3">
      <w:pPr>
        <w:widowControl/>
        <w:adjustRightInd w:val="0"/>
        <w:snapToGrid w:val="0"/>
        <w:spacing w:before="120" w:beforeLines="50"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二、我单位具有良好的商业信誉和健全的财务会计制度。</w:t>
      </w:r>
    </w:p>
    <w:p w14:paraId="46BA265F">
      <w:pPr>
        <w:widowControl/>
        <w:adjustRightInd w:val="0"/>
        <w:snapToGrid w:val="0"/>
        <w:spacing w:before="120" w:beforeLines="50"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三、</w:t>
      </w:r>
      <w:r>
        <w:rPr>
          <w:rFonts w:hint="eastAsia" w:ascii="仿宋" w:hAnsi="仿宋" w:eastAsia="仿宋" w:cs="仿宋"/>
          <w:color w:val="auto"/>
          <w:sz w:val="24"/>
          <w:szCs w:val="24"/>
        </w:rPr>
        <w:t>我单位具有履行本项目采购合同所必需的设备和专业技术能力。</w:t>
      </w:r>
    </w:p>
    <w:p w14:paraId="77B8C973">
      <w:pPr>
        <w:widowControl/>
        <w:adjustRightInd w:val="0"/>
        <w:snapToGrid w:val="0"/>
        <w:spacing w:before="120" w:beforeLines="50"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1F3C91A7">
      <w:pPr>
        <w:widowControl/>
        <w:adjustRightInd w:val="0"/>
        <w:snapToGrid w:val="0"/>
        <w:spacing w:before="120" w:beforeLines="50"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五、我单位具备法律、行政法规规定的其他条件。</w:t>
      </w:r>
    </w:p>
    <w:p w14:paraId="7BCEBBAF">
      <w:pPr>
        <w:widowControl/>
        <w:adjustRightInd w:val="0"/>
        <w:snapToGrid w:val="0"/>
        <w:spacing w:before="120" w:beforeLines="50"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kern w:val="0"/>
          <w:sz w:val="24"/>
          <w:szCs w:val="24"/>
        </w:rPr>
        <w:t>六、</w:t>
      </w:r>
      <w:r>
        <w:rPr>
          <w:rFonts w:hint="eastAsia" w:ascii="仿宋" w:hAnsi="仿宋" w:eastAsia="仿宋" w:cs="仿宋"/>
          <w:color w:val="auto"/>
          <w:sz w:val="24"/>
          <w:szCs w:val="24"/>
        </w:rPr>
        <w:t>与我单位存在“单位负责人为同一人或者存在直接控股、管理关系”的其他法人单位信息如下（如无，填写“无”）：</w:t>
      </w:r>
    </w:p>
    <w:p w14:paraId="191BEECA">
      <w:pPr>
        <w:adjustRightInd w:val="0"/>
        <w:snapToGrid w:val="0"/>
        <w:spacing w:before="120" w:beforeLines="50" w:line="360" w:lineRule="auto"/>
        <w:ind w:firstLine="480" w:firstLineChars="200"/>
        <w:rPr>
          <w:rFonts w:hint="eastAsia" w:ascii="仿宋" w:hAnsi="仿宋" w:eastAsia="仿宋" w:cs="仿宋"/>
          <w:color w:val="auto"/>
          <w:sz w:val="24"/>
          <w:szCs w:val="24"/>
          <w:u w:val="single"/>
        </w:rPr>
      </w:pPr>
      <w:r>
        <w:rPr>
          <w:rFonts w:hint="eastAsia" w:ascii="仿宋" w:hAnsi="仿宋" w:eastAsia="仿宋" w:cs="仿宋"/>
          <w:color w:val="auto"/>
          <w:sz w:val="24"/>
          <w:szCs w:val="24"/>
        </w:rPr>
        <w:t>1、与我单位的法定代表人（单位负责人）为同一人的其他法人单位如下：</w:t>
      </w:r>
      <w:r>
        <w:rPr>
          <w:rFonts w:hint="eastAsia" w:ascii="仿宋" w:hAnsi="仿宋" w:eastAsia="仿宋" w:cs="仿宋"/>
          <w:color w:val="auto"/>
          <w:sz w:val="24"/>
          <w:szCs w:val="24"/>
          <w:u w:val="single"/>
        </w:rPr>
        <w:t xml:space="preserve">               </w:t>
      </w:r>
    </w:p>
    <w:p w14:paraId="34BBC33E">
      <w:pPr>
        <w:adjustRightInd w:val="0"/>
        <w:snapToGrid w:val="0"/>
        <w:spacing w:before="120"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2、我单位直接控股的其他法人单位如下：</w:t>
      </w:r>
      <w:r>
        <w:rPr>
          <w:rFonts w:hint="eastAsia" w:ascii="仿宋" w:hAnsi="仿宋" w:eastAsia="仿宋" w:cs="仿宋"/>
          <w:color w:val="auto"/>
          <w:sz w:val="24"/>
          <w:szCs w:val="24"/>
          <w:u w:val="single"/>
        </w:rPr>
        <w:t xml:space="preserve">                                            </w:t>
      </w:r>
    </w:p>
    <w:p w14:paraId="6808D36D">
      <w:pPr>
        <w:adjustRightInd w:val="0"/>
        <w:snapToGrid w:val="0"/>
        <w:spacing w:before="120"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3、与我单位存在管理关系的其他法人单位如下：</w:t>
      </w:r>
      <w:r>
        <w:rPr>
          <w:rFonts w:hint="eastAsia" w:ascii="仿宋" w:hAnsi="仿宋" w:eastAsia="仿宋" w:cs="仿宋"/>
          <w:color w:val="auto"/>
          <w:sz w:val="24"/>
          <w:szCs w:val="24"/>
          <w:u w:val="single"/>
        </w:rPr>
        <w:t xml:space="preserve">                                      </w:t>
      </w:r>
    </w:p>
    <w:p w14:paraId="14D3CF47">
      <w:pPr>
        <w:widowControl/>
        <w:adjustRightInd w:val="0"/>
        <w:snapToGrid w:val="0"/>
        <w:spacing w:before="120" w:beforeLines="50"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sz w:val="24"/>
          <w:szCs w:val="24"/>
        </w:rPr>
        <w:t>我单位保证上述声明的事项都是真实的，如有虚假，我单位愿意承担相应的法律责任，并承担因此所造成的一切损失。</w:t>
      </w:r>
    </w:p>
    <w:p w14:paraId="2524CA35">
      <w:pPr>
        <w:widowControl/>
        <w:adjustRightInd w:val="0"/>
        <w:snapToGrid w:val="0"/>
        <w:spacing w:before="120" w:beforeLines="50"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我单位保证随时按照要求提供能够证明上述声明事项真实性的任何有效文件。</w:t>
      </w:r>
    </w:p>
    <w:p w14:paraId="1F67F9C2">
      <w:pPr>
        <w:widowControl/>
        <w:adjustRightInd w:val="0"/>
        <w:snapToGrid w:val="0"/>
        <w:spacing w:before="120" w:beforeLines="50" w:line="360" w:lineRule="auto"/>
        <w:jc w:val="left"/>
        <w:rPr>
          <w:rFonts w:hint="eastAsia" w:ascii="仿宋" w:hAnsi="仿宋" w:eastAsia="仿宋" w:cs="仿宋"/>
          <w:color w:val="auto"/>
          <w:kern w:val="0"/>
          <w:sz w:val="24"/>
          <w:szCs w:val="24"/>
        </w:rPr>
      </w:pPr>
      <w:r>
        <w:rPr>
          <w:rFonts w:hint="eastAsia" w:ascii="仿宋" w:hAnsi="仿宋" w:eastAsia="仿宋" w:cs="仿宋"/>
          <w:color w:val="auto"/>
          <w:sz w:val="24"/>
          <w:szCs w:val="24"/>
        </w:rPr>
        <w:t>投标人名称（盖单位公章）：</w:t>
      </w:r>
    </w:p>
    <w:p w14:paraId="58DD5F02">
      <w:pPr>
        <w:widowControl/>
        <w:adjustRightInd w:val="0"/>
        <w:snapToGrid w:val="0"/>
        <w:spacing w:before="120" w:beforeLines="50" w:line="360" w:lineRule="auto"/>
        <w:jc w:val="left"/>
        <w:rPr>
          <w:rFonts w:hint="eastAsia" w:ascii="仿宋" w:hAnsi="仿宋" w:eastAsia="仿宋" w:cs="仿宋"/>
          <w:b/>
          <w:bCs/>
          <w:color w:val="auto"/>
          <w:kern w:val="0"/>
          <w:sz w:val="24"/>
          <w:szCs w:val="24"/>
        </w:rPr>
      </w:pPr>
      <w:r>
        <w:rPr>
          <w:rFonts w:hint="eastAsia" w:ascii="仿宋" w:hAnsi="仿宋" w:eastAsia="仿宋" w:cs="仿宋"/>
          <w:color w:val="auto"/>
          <w:sz w:val="24"/>
          <w:szCs w:val="24"/>
        </w:rPr>
        <w:t>法定代表人或委托代理人（签字）：</w:t>
      </w:r>
    </w:p>
    <w:p w14:paraId="5BB486C5">
      <w:pPr>
        <w:widowControl/>
        <w:adjustRightInd w:val="0"/>
        <w:snapToGrid w:val="0"/>
        <w:spacing w:before="120" w:beforeLines="50" w:line="360" w:lineRule="auto"/>
        <w:jc w:val="left"/>
        <w:rPr>
          <w:rFonts w:hint="eastAsia" w:ascii="仿宋" w:hAnsi="仿宋" w:eastAsia="仿宋" w:cs="仿宋"/>
          <w:color w:val="auto"/>
          <w:sz w:val="24"/>
          <w:szCs w:val="24"/>
        </w:rPr>
      </w:pPr>
      <w:r>
        <w:rPr>
          <w:rFonts w:hint="eastAsia" w:ascii="仿宋" w:hAnsi="仿宋" w:eastAsia="仿宋" w:cs="仿宋"/>
          <w:color w:val="auto"/>
          <w:sz w:val="24"/>
          <w:szCs w:val="24"/>
        </w:rPr>
        <w:t>日期：</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年</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月</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日</w:t>
      </w:r>
    </w:p>
    <w:p w14:paraId="29762F83">
      <w:pPr>
        <w:adjustRightInd w:val="0"/>
        <w:snapToGrid w:val="0"/>
        <w:spacing w:line="360" w:lineRule="auto"/>
        <w:rPr>
          <w:rFonts w:hint="eastAsia" w:ascii="仿宋" w:hAnsi="仿宋" w:eastAsia="仿宋" w:cs="仿宋"/>
          <w:b/>
          <w:color w:val="auto"/>
          <w:sz w:val="24"/>
          <w:szCs w:val="24"/>
        </w:rPr>
      </w:pPr>
    </w:p>
    <w:p w14:paraId="78229773">
      <w:pPr>
        <w:adjustRightInd w:val="0"/>
        <w:snapToGrid w:val="0"/>
        <w:spacing w:line="360" w:lineRule="auto"/>
        <w:jc w:val="center"/>
        <w:rPr>
          <w:rFonts w:hint="eastAsia" w:ascii="仿宋" w:hAnsi="仿宋" w:eastAsia="仿宋" w:cs="仿宋"/>
          <w:b/>
          <w:color w:val="auto"/>
          <w:sz w:val="24"/>
          <w:szCs w:val="24"/>
        </w:rPr>
      </w:pPr>
      <w:r>
        <w:rPr>
          <w:rFonts w:hint="eastAsia" w:ascii="仿宋" w:hAnsi="仿宋" w:eastAsia="仿宋" w:cs="仿宋"/>
          <w:b/>
          <w:color w:val="auto"/>
          <w:sz w:val="24"/>
          <w:szCs w:val="24"/>
        </w:rPr>
        <w:t>三、符合基本资格条件证明材料复印件或者情况说明</w:t>
      </w:r>
    </w:p>
    <w:p w14:paraId="54735C03">
      <w:pPr>
        <w:adjustRightInd w:val="0"/>
        <w:snapToGrid w:val="0"/>
        <w:spacing w:line="360" w:lineRule="auto"/>
        <w:jc w:val="center"/>
        <w:rPr>
          <w:rFonts w:hint="eastAsia" w:ascii="仿宋" w:hAnsi="仿宋" w:eastAsia="仿宋" w:cs="仿宋"/>
          <w:b/>
          <w:color w:val="auto"/>
          <w:sz w:val="24"/>
          <w:szCs w:val="24"/>
        </w:rPr>
      </w:pPr>
    </w:p>
    <w:p w14:paraId="0FED4E0A">
      <w:pPr>
        <w:pStyle w:val="4"/>
        <w:keepLines w:val="0"/>
        <w:snapToGrid w:val="0"/>
        <w:spacing w:before="0" w:after="0" w:line="520" w:lineRule="exact"/>
        <w:jc w:val="left"/>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color w:val="auto"/>
          <w:sz w:val="24"/>
          <w:szCs w:val="24"/>
        </w:rPr>
        <w:t>注：</w:t>
      </w:r>
      <w:r>
        <w:rPr>
          <w:rFonts w:hint="eastAsia" w:ascii="仿宋" w:hAnsi="仿宋" w:eastAsia="仿宋" w:cs="仿宋"/>
          <w:b w:val="0"/>
          <w:color w:val="auto"/>
          <w:sz w:val="24"/>
          <w:szCs w:val="24"/>
          <w:lang w:bidi="zh-CN"/>
        </w:rPr>
        <w:t>投标公司的营业执照</w:t>
      </w:r>
      <w:r>
        <w:rPr>
          <w:rFonts w:hint="eastAsia" w:ascii="仿宋" w:hAnsi="仿宋" w:eastAsia="仿宋" w:cs="仿宋"/>
          <w:b w:val="0"/>
          <w:color w:val="auto"/>
          <w:sz w:val="24"/>
          <w:szCs w:val="24"/>
          <w:lang w:val="en-US" w:bidi="zh-CN"/>
        </w:rPr>
        <w:t>及资格要求的证明材料，提供信用中国网页查询截图，</w:t>
      </w:r>
      <w:r>
        <w:rPr>
          <w:rFonts w:hint="eastAsia" w:ascii="仿宋" w:hAnsi="仿宋" w:eastAsia="仿宋" w:cs="仿宋"/>
          <w:b w:val="0"/>
          <w:color w:val="auto"/>
          <w:sz w:val="24"/>
          <w:szCs w:val="24"/>
          <w:lang w:bidi="zh-CN"/>
        </w:rPr>
        <w:t>并加盖单位公章（按顺序装订）。</w:t>
      </w:r>
      <w:r>
        <w:rPr>
          <w:rFonts w:hint="eastAsia" w:ascii="仿宋" w:hAnsi="仿宋" w:eastAsia="仿宋" w:cs="仿宋"/>
          <w:b w:val="0"/>
          <w:bCs w:val="0"/>
          <w:color w:val="auto"/>
          <w:kern w:val="2"/>
          <w:sz w:val="24"/>
          <w:szCs w:val="24"/>
          <w:lang w:val="en-US" w:eastAsia="zh-CN" w:bidi="ar-SA"/>
        </w:rPr>
        <w:t>附件    湖南省政府采购供应商资格承诺函</w:t>
      </w:r>
    </w:p>
    <w:p w14:paraId="4E5CCDEF">
      <w:pPr>
        <w:widowControl/>
        <w:spacing w:after="100" w:afterAutospacing="1" w:line="360" w:lineRule="auto"/>
        <w:ind w:right="113" w:firstLine="480" w:firstLineChars="200"/>
        <w:jc w:val="left"/>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3C2F2CEF">
      <w:pPr>
        <w:widowControl/>
        <w:spacing w:after="100" w:afterAutospacing="1" w:line="360" w:lineRule="auto"/>
        <w:ind w:left="246"/>
        <w:jc w:val="left"/>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 xml:space="preserve">统一社会信用代码：                        、注册登记机构：                 、 注册日期：                 、有效期：               、注册资本：                、地址：               、经济行业：                 、经济性质：              </w:t>
      </w:r>
    </w:p>
    <w:p w14:paraId="7506E915">
      <w:pPr>
        <w:widowControl/>
        <w:spacing w:after="100" w:afterAutospacing="1" w:line="360" w:lineRule="auto"/>
        <w:ind w:left="246"/>
        <w:jc w:val="left"/>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法定代表人姓名 (签字)：             、身份证号：                           、</w:t>
      </w:r>
    </w:p>
    <w:p w14:paraId="4444F748">
      <w:pPr>
        <w:widowControl/>
        <w:spacing w:after="100" w:afterAutospacing="1" w:line="360" w:lineRule="auto"/>
        <w:ind w:left="246"/>
        <w:jc w:val="left"/>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手机号：             ；</w:t>
      </w:r>
    </w:p>
    <w:p w14:paraId="57E1888B">
      <w:pPr>
        <w:widowControl/>
        <w:spacing w:after="100" w:afterAutospacing="1" w:line="360" w:lineRule="auto"/>
        <w:ind w:left="246" w:hanging="16"/>
        <w:jc w:val="left"/>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 xml:space="preserve">授权代表人姓名 (签字)：                、身份证号：                     </w:t>
      </w:r>
    </w:p>
    <w:p w14:paraId="36828CDF">
      <w:pPr>
        <w:widowControl/>
        <w:spacing w:after="100" w:afterAutospacing="1" w:line="360" w:lineRule="auto"/>
        <w:ind w:left="246" w:hanging="16"/>
        <w:jc w:val="left"/>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 xml:space="preserve">手机号：             。  </w:t>
      </w:r>
    </w:p>
    <w:p w14:paraId="269D08E1">
      <w:pPr>
        <w:adjustRightInd w:val="0"/>
        <w:snapToGrid w:val="0"/>
        <w:spacing w:line="360" w:lineRule="auto"/>
        <w:ind w:left="4406" w:leftChars="-302" w:hanging="5040" w:hangingChars="2100"/>
        <w:jc w:val="left"/>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 xml:space="preserve">                           供应商名称（盖公章）：                                    </w:t>
      </w:r>
    </w:p>
    <w:p w14:paraId="0A6C8559">
      <w:pPr>
        <w:adjustRightInd w:val="0"/>
        <w:snapToGrid w:val="0"/>
        <w:spacing w:line="360" w:lineRule="auto"/>
        <w:ind w:left="4406" w:leftChars="-302" w:hanging="5040" w:hangingChars="2100"/>
        <w:jc w:val="right"/>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2023年     月     日</w:t>
      </w:r>
    </w:p>
    <w:p w14:paraId="5C0889F1">
      <w:pPr>
        <w:jc w:val="center"/>
        <w:rPr>
          <w:rFonts w:hint="eastAsia" w:ascii="仿宋" w:hAnsi="仿宋" w:eastAsia="仿宋" w:cs="仿宋"/>
          <w:b/>
          <w:color w:val="auto"/>
          <w:sz w:val="24"/>
          <w:szCs w:val="24"/>
        </w:rPr>
        <w:sectPr>
          <w:headerReference r:id="rId3" w:type="default"/>
          <w:footerReference r:id="rId4" w:type="default"/>
          <w:pgSz w:w="11906" w:h="16838"/>
          <w:pgMar w:top="1440" w:right="1253" w:bottom="1440" w:left="1253" w:header="567" w:footer="283" w:gutter="0"/>
          <w:pgNumType w:fmt="decimal" w:start="1"/>
          <w:cols w:space="720" w:num="1"/>
          <w:docGrid w:linePitch="312" w:charSpace="0"/>
        </w:sectPr>
      </w:pPr>
    </w:p>
    <w:p w14:paraId="278B230C">
      <w:pPr>
        <w:spacing w:before="120" w:beforeLines="50" w:after="120" w:afterLines="50" w:line="276" w:lineRule="auto"/>
        <w:jc w:val="center"/>
        <w:rPr>
          <w:rFonts w:hint="eastAsia" w:ascii="仿宋" w:hAnsi="仿宋" w:eastAsia="仿宋" w:cs="仿宋"/>
          <w:b/>
          <w:color w:val="auto"/>
          <w:sz w:val="24"/>
          <w:szCs w:val="24"/>
          <w:lang w:eastAsia="zh-CN"/>
        </w:rPr>
      </w:pPr>
      <w:r>
        <w:rPr>
          <w:rFonts w:hint="eastAsia" w:ascii="仿宋" w:hAnsi="仿宋" w:eastAsia="仿宋" w:cs="仿宋"/>
          <w:b/>
          <w:color w:val="auto"/>
          <w:sz w:val="24"/>
          <w:szCs w:val="24"/>
        </w:rPr>
        <w:t>第三部分、采购需求响应程度</w:t>
      </w:r>
      <w:bookmarkStart w:id="3" w:name="_Toc476514128"/>
      <w:bookmarkStart w:id="4" w:name="_Toc486424819"/>
    </w:p>
    <w:p w14:paraId="54FE56EB">
      <w:pPr>
        <w:pStyle w:val="12"/>
        <w:rPr>
          <w:rFonts w:hint="eastAsia" w:ascii="仿宋" w:hAnsi="仿宋" w:eastAsia="仿宋" w:cs="仿宋"/>
          <w:color w:val="auto"/>
          <w:sz w:val="24"/>
          <w:szCs w:val="24"/>
          <w:lang w:eastAsia="zh-CN"/>
        </w:rPr>
      </w:pPr>
    </w:p>
    <w:p w14:paraId="183F5001">
      <w:pPr>
        <w:spacing w:before="120" w:beforeLines="50" w:after="120" w:afterLines="50" w:line="276" w:lineRule="auto"/>
        <w:jc w:val="center"/>
        <w:rPr>
          <w:rFonts w:hint="eastAsia" w:ascii="仿宋" w:hAnsi="仿宋" w:eastAsia="仿宋" w:cs="仿宋"/>
          <w:b/>
          <w:color w:val="auto"/>
          <w:sz w:val="24"/>
          <w:szCs w:val="24"/>
        </w:rPr>
      </w:pPr>
      <w:r>
        <w:rPr>
          <w:rFonts w:hint="eastAsia" w:ascii="仿宋" w:hAnsi="仿宋" w:eastAsia="仿宋" w:cs="仿宋"/>
          <w:b/>
          <w:color w:val="auto"/>
          <w:sz w:val="24"/>
          <w:szCs w:val="24"/>
        </w:rPr>
        <w:t>采购需求响应/偏离表</w:t>
      </w:r>
    </w:p>
    <w:p w14:paraId="62A95FFC">
      <w:pPr>
        <w:adjustRightInd w:val="0"/>
        <w:snapToGrid w:val="0"/>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项目编号：                    项目名称：                     包号：</w:t>
      </w:r>
    </w:p>
    <w:tbl>
      <w:tblPr>
        <w:tblStyle w:val="9"/>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0AFE9C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28855A64">
            <w:pPr>
              <w:adjustRightInd w:val="0"/>
              <w:snapToGrid w:val="0"/>
              <w:spacing w:before="50" w:line="360" w:lineRule="auto"/>
              <w:ind w:left="-88" w:leftChars="-42"/>
              <w:jc w:val="center"/>
              <w:rPr>
                <w:rFonts w:hint="eastAsia" w:ascii="仿宋" w:hAnsi="仿宋" w:eastAsia="仿宋" w:cs="仿宋"/>
                <w:color w:val="auto"/>
                <w:sz w:val="24"/>
                <w:szCs w:val="24"/>
              </w:rPr>
            </w:pPr>
            <w:r>
              <w:rPr>
                <w:rFonts w:hint="eastAsia" w:ascii="仿宋" w:hAnsi="仿宋" w:eastAsia="仿宋" w:cs="仿宋"/>
                <w:bCs/>
                <w:color w:val="auto"/>
                <w:sz w:val="24"/>
                <w:szCs w:val="24"/>
              </w:rPr>
              <w:t>序</w:t>
            </w:r>
            <w:r>
              <w:rPr>
                <w:rFonts w:hint="eastAsia" w:ascii="仿宋" w:hAnsi="仿宋" w:eastAsia="仿宋" w:cs="仿宋"/>
                <w:color w:val="auto"/>
                <w:sz w:val="24"/>
                <w:szCs w:val="24"/>
              </w:rPr>
              <w:t>号</w:t>
            </w:r>
          </w:p>
        </w:tc>
        <w:tc>
          <w:tcPr>
            <w:tcW w:w="1123" w:type="pct"/>
            <w:noWrap w:val="0"/>
            <w:vAlign w:val="center"/>
          </w:tcPr>
          <w:p w14:paraId="4C398DFE">
            <w:pPr>
              <w:adjustRightInd w:val="0"/>
              <w:snapToGrid w:val="0"/>
              <w:spacing w:before="50" w:line="360" w:lineRule="auto"/>
              <w:ind w:left="-88" w:leftChars="-42"/>
              <w:jc w:val="center"/>
              <w:rPr>
                <w:rFonts w:hint="eastAsia" w:ascii="仿宋" w:hAnsi="仿宋" w:eastAsia="仿宋" w:cs="仿宋"/>
                <w:color w:val="auto"/>
                <w:sz w:val="24"/>
                <w:szCs w:val="24"/>
              </w:rPr>
            </w:pPr>
            <w:r>
              <w:rPr>
                <w:rFonts w:hint="eastAsia" w:ascii="仿宋" w:hAnsi="仿宋" w:eastAsia="仿宋" w:cs="仿宋"/>
                <w:color w:val="auto"/>
                <w:sz w:val="24"/>
                <w:szCs w:val="24"/>
              </w:rPr>
              <w:t>招标文件章节</w:t>
            </w:r>
            <w:r>
              <w:rPr>
                <w:rFonts w:hint="eastAsia" w:ascii="仿宋" w:hAnsi="仿宋" w:eastAsia="仿宋" w:cs="仿宋"/>
                <w:bCs/>
                <w:color w:val="auto"/>
                <w:sz w:val="24"/>
                <w:szCs w:val="24"/>
              </w:rPr>
              <w:t>条</w:t>
            </w:r>
            <w:r>
              <w:rPr>
                <w:rFonts w:hint="eastAsia" w:ascii="仿宋" w:hAnsi="仿宋" w:eastAsia="仿宋" w:cs="仿宋"/>
                <w:color w:val="auto"/>
                <w:sz w:val="24"/>
                <w:szCs w:val="24"/>
              </w:rPr>
              <w:t>款号</w:t>
            </w:r>
          </w:p>
        </w:tc>
        <w:tc>
          <w:tcPr>
            <w:tcW w:w="1000" w:type="pct"/>
            <w:noWrap w:val="0"/>
            <w:vAlign w:val="top"/>
          </w:tcPr>
          <w:p w14:paraId="421C1418">
            <w:pPr>
              <w:adjustRightInd w:val="0"/>
              <w:snapToGrid w:val="0"/>
              <w:spacing w:before="50"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招标文件要求</w:t>
            </w:r>
          </w:p>
        </w:tc>
        <w:tc>
          <w:tcPr>
            <w:tcW w:w="962" w:type="pct"/>
            <w:noWrap w:val="0"/>
            <w:vAlign w:val="top"/>
          </w:tcPr>
          <w:p w14:paraId="2FC388AC">
            <w:pPr>
              <w:adjustRightInd w:val="0"/>
              <w:snapToGrid w:val="0"/>
              <w:spacing w:before="50"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投标文件应答</w:t>
            </w:r>
          </w:p>
        </w:tc>
        <w:tc>
          <w:tcPr>
            <w:tcW w:w="905" w:type="pct"/>
            <w:noWrap w:val="0"/>
            <w:vAlign w:val="center"/>
          </w:tcPr>
          <w:p w14:paraId="4D187CAD">
            <w:pPr>
              <w:adjustRightInd w:val="0"/>
              <w:snapToGrid w:val="0"/>
              <w:spacing w:before="50" w:line="360" w:lineRule="auto"/>
              <w:ind w:left="-88" w:leftChars="-42"/>
              <w:jc w:val="center"/>
              <w:rPr>
                <w:rFonts w:hint="eastAsia" w:ascii="仿宋" w:hAnsi="仿宋" w:eastAsia="仿宋" w:cs="仿宋"/>
                <w:color w:val="auto"/>
                <w:sz w:val="24"/>
                <w:szCs w:val="24"/>
              </w:rPr>
            </w:pPr>
            <w:r>
              <w:rPr>
                <w:rFonts w:hint="eastAsia" w:ascii="仿宋" w:hAnsi="仿宋" w:eastAsia="仿宋" w:cs="仿宋"/>
                <w:color w:val="auto"/>
                <w:sz w:val="24"/>
                <w:szCs w:val="24"/>
              </w:rPr>
              <w:t>响应/偏离</w:t>
            </w:r>
          </w:p>
        </w:tc>
        <w:tc>
          <w:tcPr>
            <w:tcW w:w="634" w:type="pct"/>
            <w:noWrap w:val="0"/>
            <w:vAlign w:val="center"/>
          </w:tcPr>
          <w:p w14:paraId="4ECE675F">
            <w:pPr>
              <w:adjustRightInd w:val="0"/>
              <w:snapToGrid w:val="0"/>
              <w:spacing w:before="50" w:line="360" w:lineRule="auto"/>
              <w:ind w:left="-88" w:leftChars="-42"/>
              <w:jc w:val="center"/>
              <w:rPr>
                <w:rFonts w:hint="eastAsia" w:ascii="仿宋" w:hAnsi="仿宋" w:eastAsia="仿宋" w:cs="仿宋"/>
                <w:color w:val="auto"/>
                <w:sz w:val="24"/>
                <w:szCs w:val="24"/>
              </w:rPr>
            </w:pPr>
            <w:r>
              <w:rPr>
                <w:rFonts w:hint="eastAsia" w:ascii="仿宋" w:hAnsi="仿宋" w:eastAsia="仿宋" w:cs="仿宋"/>
                <w:color w:val="auto"/>
                <w:sz w:val="24"/>
                <w:szCs w:val="24"/>
              </w:rPr>
              <w:t>偏离说明</w:t>
            </w:r>
          </w:p>
        </w:tc>
      </w:tr>
      <w:tr w14:paraId="7CBA2F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157F8300">
            <w:pPr>
              <w:adjustRightInd w:val="0"/>
              <w:snapToGrid w:val="0"/>
              <w:spacing w:before="50" w:line="360" w:lineRule="auto"/>
              <w:ind w:left="-88" w:leftChars="-42"/>
              <w:jc w:val="center"/>
              <w:rPr>
                <w:rFonts w:hint="eastAsia" w:ascii="仿宋" w:hAnsi="仿宋" w:eastAsia="仿宋" w:cs="仿宋"/>
                <w:color w:val="auto"/>
                <w:sz w:val="24"/>
                <w:szCs w:val="24"/>
              </w:rPr>
            </w:pPr>
          </w:p>
        </w:tc>
        <w:tc>
          <w:tcPr>
            <w:tcW w:w="1123" w:type="pct"/>
            <w:noWrap w:val="0"/>
            <w:vAlign w:val="center"/>
          </w:tcPr>
          <w:p w14:paraId="28508073">
            <w:pPr>
              <w:adjustRightInd w:val="0"/>
              <w:snapToGrid w:val="0"/>
              <w:spacing w:before="50" w:line="360" w:lineRule="auto"/>
              <w:ind w:left="-88" w:leftChars="-42"/>
              <w:jc w:val="center"/>
              <w:rPr>
                <w:rFonts w:hint="eastAsia" w:ascii="仿宋" w:hAnsi="仿宋" w:eastAsia="仿宋" w:cs="仿宋"/>
                <w:color w:val="auto"/>
                <w:sz w:val="24"/>
                <w:szCs w:val="24"/>
              </w:rPr>
            </w:pPr>
          </w:p>
        </w:tc>
        <w:tc>
          <w:tcPr>
            <w:tcW w:w="1000" w:type="pct"/>
            <w:noWrap w:val="0"/>
            <w:vAlign w:val="center"/>
          </w:tcPr>
          <w:p w14:paraId="2362F44B">
            <w:pPr>
              <w:adjustRightInd w:val="0"/>
              <w:snapToGrid w:val="0"/>
              <w:spacing w:before="50" w:line="360" w:lineRule="auto"/>
              <w:ind w:left="-88" w:leftChars="-42"/>
              <w:jc w:val="center"/>
              <w:rPr>
                <w:rFonts w:hint="eastAsia" w:ascii="仿宋" w:hAnsi="仿宋" w:eastAsia="仿宋" w:cs="仿宋"/>
                <w:color w:val="auto"/>
                <w:sz w:val="24"/>
                <w:szCs w:val="24"/>
              </w:rPr>
            </w:pPr>
          </w:p>
        </w:tc>
        <w:tc>
          <w:tcPr>
            <w:tcW w:w="962" w:type="pct"/>
            <w:noWrap w:val="0"/>
            <w:vAlign w:val="center"/>
          </w:tcPr>
          <w:p w14:paraId="4E2BD7EA">
            <w:pPr>
              <w:adjustRightInd w:val="0"/>
              <w:snapToGrid w:val="0"/>
              <w:spacing w:before="50" w:line="360" w:lineRule="auto"/>
              <w:ind w:left="-88" w:leftChars="-42"/>
              <w:jc w:val="center"/>
              <w:rPr>
                <w:rFonts w:hint="eastAsia" w:ascii="仿宋" w:hAnsi="仿宋" w:eastAsia="仿宋" w:cs="仿宋"/>
                <w:color w:val="auto"/>
                <w:sz w:val="24"/>
                <w:szCs w:val="24"/>
              </w:rPr>
            </w:pPr>
          </w:p>
        </w:tc>
        <w:tc>
          <w:tcPr>
            <w:tcW w:w="905" w:type="pct"/>
            <w:noWrap w:val="0"/>
            <w:vAlign w:val="center"/>
          </w:tcPr>
          <w:p w14:paraId="7A14580B">
            <w:pPr>
              <w:adjustRightInd w:val="0"/>
              <w:snapToGrid w:val="0"/>
              <w:spacing w:before="50" w:line="360" w:lineRule="auto"/>
              <w:ind w:left="-88" w:leftChars="-42"/>
              <w:jc w:val="center"/>
              <w:rPr>
                <w:rFonts w:hint="eastAsia" w:ascii="仿宋" w:hAnsi="仿宋" w:eastAsia="仿宋" w:cs="仿宋"/>
                <w:color w:val="auto"/>
                <w:sz w:val="24"/>
                <w:szCs w:val="24"/>
              </w:rPr>
            </w:pPr>
          </w:p>
        </w:tc>
        <w:tc>
          <w:tcPr>
            <w:tcW w:w="634" w:type="pct"/>
            <w:noWrap w:val="0"/>
            <w:vAlign w:val="center"/>
          </w:tcPr>
          <w:p w14:paraId="3023B53B">
            <w:pPr>
              <w:adjustRightInd w:val="0"/>
              <w:snapToGrid w:val="0"/>
              <w:spacing w:before="50" w:line="360" w:lineRule="auto"/>
              <w:ind w:left="-88" w:leftChars="-42"/>
              <w:jc w:val="center"/>
              <w:rPr>
                <w:rFonts w:hint="eastAsia" w:ascii="仿宋" w:hAnsi="仿宋" w:eastAsia="仿宋" w:cs="仿宋"/>
                <w:color w:val="auto"/>
                <w:sz w:val="24"/>
                <w:szCs w:val="24"/>
              </w:rPr>
            </w:pPr>
          </w:p>
        </w:tc>
      </w:tr>
      <w:tr w14:paraId="3B5AD0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DA484A">
            <w:pPr>
              <w:adjustRightInd w:val="0"/>
              <w:snapToGrid w:val="0"/>
              <w:spacing w:before="50" w:line="360" w:lineRule="auto"/>
              <w:ind w:left="-88" w:leftChars="-42"/>
              <w:jc w:val="center"/>
              <w:rPr>
                <w:rFonts w:hint="eastAsia" w:ascii="仿宋" w:hAnsi="仿宋" w:eastAsia="仿宋" w:cs="仿宋"/>
                <w:color w:val="auto"/>
                <w:sz w:val="24"/>
                <w:szCs w:val="24"/>
              </w:rPr>
            </w:pPr>
          </w:p>
        </w:tc>
        <w:tc>
          <w:tcPr>
            <w:tcW w:w="1123" w:type="pct"/>
            <w:noWrap w:val="0"/>
            <w:vAlign w:val="center"/>
          </w:tcPr>
          <w:p w14:paraId="58821473">
            <w:pPr>
              <w:adjustRightInd w:val="0"/>
              <w:snapToGrid w:val="0"/>
              <w:spacing w:before="50" w:line="360" w:lineRule="auto"/>
              <w:ind w:left="-88" w:leftChars="-42"/>
              <w:jc w:val="center"/>
              <w:rPr>
                <w:rFonts w:hint="eastAsia" w:ascii="仿宋" w:hAnsi="仿宋" w:eastAsia="仿宋" w:cs="仿宋"/>
                <w:color w:val="auto"/>
                <w:sz w:val="24"/>
                <w:szCs w:val="24"/>
              </w:rPr>
            </w:pPr>
          </w:p>
        </w:tc>
        <w:tc>
          <w:tcPr>
            <w:tcW w:w="1000" w:type="pct"/>
            <w:noWrap w:val="0"/>
            <w:vAlign w:val="center"/>
          </w:tcPr>
          <w:p w14:paraId="74C10640">
            <w:pPr>
              <w:adjustRightInd w:val="0"/>
              <w:snapToGrid w:val="0"/>
              <w:spacing w:before="50" w:line="360" w:lineRule="auto"/>
              <w:ind w:left="-88" w:leftChars="-42"/>
              <w:jc w:val="center"/>
              <w:rPr>
                <w:rFonts w:hint="eastAsia" w:ascii="仿宋" w:hAnsi="仿宋" w:eastAsia="仿宋" w:cs="仿宋"/>
                <w:color w:val="auto"/>
                <w:sz w:val="24"/>
                <w:szCs w:val="24"/>
              </w:rPr>
            </w:pPr>
          </w:p>
        </w:tc>
        <w:tc>
          <w:tcPr>
            <w:tcW w:w="962" w:type="pct"/>
            <w:noWrap w:val="0"/>
            <w:vAlign w:val="center"/>
          </w:tcPr>
          <w:p w14:paraId="362F2D3E">
            <w:pPr>
              <w:adjustRightInd w:val="0"/>
              <w:snapToGrid w:val="0"/>
              <w:spacing w:before="50" w:line="360" w:lineRule="auto"/>
              <w:ind w:left="-88" w:leftChars="-42"/>
              <w:jc w:val="center"/>
              <w:rPr>
                <w:rFonts w:hint="eastAsia" w:ascii="仿宋" w:hAnsi="仿宋" w:eastAsia="仿宋" w:cs="仿宋"/>
                <w:color w:val="auto"/>
                <w:sz w:val="24"/>
                <w:szCs w:val="24"/>
              </w:rPr>
            </w:pPr>
          </w:p>
        </w:tc>
        <w:tc>
          <w:tcPr>
            <w:tcW w:w="905" w:type="pct"/>
            <w:noWrap w:val="0"/>
            <w:vAlign w:val="center"/>
          </w:tcPr>
          <w:p w14:paraId="605FAEB6">
            <w:pPr>
              <w:adjustRightInd w:val="0"/>
              <w:snapToGrid w:val="0"/>
              <w:spacing w:before="50" w:line="360" w:lineRule="auto"/>
              <w:ind w:left="-88" w:leftChars="-42"/>
              <w:jc w:val="center"/>
              <w:rPr>
                <w:rFonts w:hint="eastAsia" w:ascii="仿宋" w:hAnsi="仿宋" w:eastAsia="仿宋" w:cs="仿宋"/>
                <w:color w:val="auto"/>
                <w:sz w:val="24"/>
                <w:szCs w:val="24"/>
              </w:rPr>
            </w:pPr>
          </w:p>
        </w:tc>
        <w:tc>
          <w:tcPr>
            <w:tcW w:w="634" w:type="pct"/>
            <w:noWrap w:val="0"/>
            <w:vAlign w:val="center"/>
          </w:tcPr>
          <w:p w14:paraId="42226E6E">
            <w:pPr>
              <w:adjustRightInd w:val="0"/>
              <w:snapToGrid w:val="0"/>
              <w:spacing w:before="50" w:line="360" w:lineRule="auto"/>
              <w:ind w:left="-88" w:leftChars="-42"/>
              <w:jc w:val="center"/>
              <w:rPr>
                <w:rFonts w:hint="eastAsia" w:ascii="仿宋" w:hAnsi="仿宋" w:eastAsia="仿宋" w:cs="仿宋"/>
                <w:color w:val="auto"/>
                <w:sz w:val="24"/>
                <w:szCs w:val="24"/>
              </w:rPr>
            </w:pPr>
          </w:p>
        </w:tc>
      </w:tr>
      <w:tr w14:paraId="60AFC0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05" w:hRule="atLeast"/>
          <w:jc w:val="center"/>
        </w:trPr>
        <w:tc>
          <w:tcPr>
            <w:tcW w:w="375" w:type="pct"/>
            <w:noWrap w:val="0"/>
            <w:vAlign w:val="center"/>
          </w:tcPr>
          <w:p w14:paraId="5DBD5707">
            <w:pPr>
              <w:adjustRightInd w:val="0"/>
              <w:snapToGrid w:val="0"/>
              <w:spacing w:before="50" w:line="360" w:lineRule="auto"/>
              <w:ind w:left="-88" w:leftChars="-42"/>
              <w:jc w:val="center"/>
              <w:rPr>
                <w:rFonts w:hint="eastAsia" w:ascii="仿宋" w:hAnsi="仿宋" w:eastAsia="仿宋" w:cs="仿宋"/>
                <w:color w:val="auto"/>
                <w:sz w:val="24"/>
                <w:szCs w:val="24"/>
              </w:rPr>
            </w:pPr>
          </w:p>
        </w:tc>
        <w:tc>
          <w:tcPr>
            <w:tcW w:w="1123" w:type="pct"/>
            <w:noWrap w:val="0"/>
            <w:vAlign w:val="center"/>
          </w:tcPr>
          <w:p w14:paraId="7E9A15CC">
            <w:pPr>
              <w:adjustRightInd w:val="0"/>
              <w:snapToGrid w:val="0"/>
              <w:spacing w:before="50" w:line="360" w:lineRule="auto"/>
              <w:ind w:left="-88" w:leftChars="-42"/>
              <w:jc w:val="center"/>
              <w:rPr>
                <w:rFonts w:hint="eastAsia" w:ascii="仿宋" w:hAnsi="仿宋" w:eastAsia="仿宋" w:cs="仿宋"/>
                <w:color w:val="auto"/>
                <w:sz w:val="24"/>
                <w:szCs w:val="24"/>
              </w:rPr>
            </w:pPr>
          </w:p>
        </w:tc>
        <w:tc>
          <w:tcPr>
            <w:tcW w:w="1000" w:type="pct"/>
            <w:noWrap w:val="0"/>
            <w:vAlign w:val="center"/>
          </w:tcPr>
          <w:p w14:paraId="5B4C296D">
            <w:pPr>
              <w:adjustRightInd w:val="0"/>
              <w:snapToGrid w:val="0"/>
              <w:spacing w:before="50" w:line="360" w:lineRule="auto"/>
              <w:ind w:left="-88" w:leftChars="-42"/>
              <w:jc w:val="center"/>
              <w:rPr>
                <w:rFonts w:hint="eastAsia" w:ascii="仿宋" w:hAnsi="仿宋" w:eastAsia="仿宋" w:cs="仿宋"/>
                <w:color w:val="auto"/>
                <w:sz w:val="24"/>
                <w:szCs w:val="24"/>
              </w:rPr>
            </w:pPr>
          </w:p>
        </w:tc>
        <w:tc>
          <w:tcPr>
            <w:tcW w:w="962" w:type="pct"/>
            <w:noWrap w:val="0"/>
            <w:vAlign w:val="center"/>
          </w:tcPr>
          <w:p w14:paraId="11E3097E">
            <w:pPr>
              <w:adjustRightInd w:val="0"/>
              <w:snapToGrid w:val="0"/>
              <w:spacing w:before="50" w:line="360" w:lineRule="auto"/>
              <w:ind w:left="-88" w:leftChars="-42"/>
              <w:jc w:val="center"/>
              <w:rPr>
                <w:rFonts w:hint="eastAsia" w:ascii="仿宋" w:hAnsi="仿宋" w:eastAsia="仿宋" w:cs="仿宋"/>
                <w:color w:val="auto"/>
                <w:sz w:val="24"/>
                <w:szCs w:val="24"/>
              </w:rPr>
            </w:pPr>
          </w:p>
        </w:tc>
        <w:tc>
          <w:tcPr>
            <w:tcW w:w="905" w:type="pct"/>
            <w:noWrap w:val="0"/>
            <w:vAlign w:val="center"/>
          </w:tcPr>
          <w:p w14:paraId="6390EB91">
            <w:pPr>
              <w:adjustRightInd w:val="0"/>
              <w:snapToGrid w:val="0"/>
              <w:spacing w:before="50" w:line="360" w:lineRule="auto"/>
              <w:ind w:left="-88" w:leftChars="-42"/>
              <w:jc w:val="center"/>
              <w:rPr>
                <w:rFonts w:hint="eastAsia" w:ascii="仿宋" w:hAnsi="仿宋" w:eastAsia="仿宋" w:cs="仿宋"/>
                <w:color w:val="auto"/>
                <w:sz w:val="24"/>
                <w:szCs w:val="24"/>
              </w:rPr>
            </w:pPr>
          </w:p>
        </w:tc>
        <w:tc>
          <w:tcPr>
            <w:tcW w:w="634" w:type="pct"/>
            <w:noWrap w:val="0"/>
            <w:vAlign w:val="center"/>
          </w:tcPr>
          <w:p w14:paraId="04310183">
            <w:pPr>
              <w:adjustRightInd w:val="0"/>
              <w:snapToGrid w:val="0"/>
              <w:spacing w:before="50" w:line="360" w:lineRule="auto"/>
              <w:ind w:left="-88" w:leftChars="-42"/>
              <w:jc w:val="center"/>
              <w:rPr>
                <w:rFonts w:hint="eastAsia" w:ascii="仿宋" w:hAnsi="仿宋" w:eastAsia="仿宋" w:cs="仿宋"/>
                <w:color w:val="auto"/>
                <w:sz w:val="24"/>
                <w:szCs w:val="24"/>
              </w:rPr>
            </w:pPr>
          </w:p>
        </w:tc>
      </w:tr>
      <w:tr w14:paraId="0CC01B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16336191">
            <w:pPr>
              <w:rPr>
                <w:rFonts w:hint="eastAsia" w:ascii="仿宋" w:hAnsi="仿宋" w:eastAsia="仿宋" w:cs="仿宋"/>
                <w:b/>
                <w:color w:val="auto"/>
                <w:sz w:val="24"/>
                <w:szCs w:val="24"/>
              </w:rPr>
            </w:pPr>
          </w:p>
        </w:tc>
      </w:tr>
    </w:tbl>
    <w:p w14:paraId="5E2305B4">
      <w:pPr>
        <w:adjustRightInd w:val="0"/>
        <w:snapToGrid w:val="0"/>
        <w:spacing w:before="50" w:line="360" w:lineRule="auto"/>
        <w:ind w:left="-88" w:leftChars="-42"/>
        <w:rPr>
          <w:rFonts w:hint="eastAsia" w:ascii="仿宋" w:hAnsi="仿宋" w:eastAsia="仿宋" w:cs="仿宋"/>
          <w:color w:val="auto"/>
          <w:sz w:val="24"/>
          <w:szCs w:val="24"/>
        </w:rPr>
      </w:pPr>
      <w:r>
        <w:rPr>
          <w:rFonts w:hint="eastAsia" w:ascii="仿宋" w:hAnsi="仿宋" w:eastAsia="仿宋" w:cs="仿宋"/>
          <w:b/>
          <w:color w:val="auto"/>
          <w:sz w:val="24"/>
          <w:szCs w:val="24"/>
        </w:rPr>
        <w:t>备注</w:t>
      </w:r>
      <w:r>
        <w:rPr>
          <w:rFonts w:hint="eastAsia" w:ascii="仿宋" w:hAnsi="仿宋" w:eastAsia="仿宋" w:cs="仿宋"/>
          <w:color w:val="auto"/>
          <w:sz w:val="24"/>
          <w:szCs w:val="24"/>
        </w:rPr>
        <w:t>：</w:t>
      </w:r>
    </w:p>
    <w:bookmarkEnd w:id="3"/>
    <w:bookmarkEnd w:id="4"/>
    <w:p w14:paraId="00B9F194">
      <w:pPr>
        <w:adjustRightInd w:val="0"/>
        <w:snapToGrid w:val="0"/>
        <w:spacing w:before="50" w:line="360" w:lineRule="auto"/>
        <w:ind w:left="-88" w:leftChars="-42"/>
        <w:rPr>
          <w:rFonts w:hint="eastAsia" w:ascii="仿宋" w:hAnsi="仿宋" w:eastAsia="仿宋" w:cs="仿宋"/>
          <w:color w:val="auto"/>
          <w:sz w:val="24"/>
          <w:szCs w:val="24"/>
        </w:rPr>
      </w:pPr>
      <w:r>
        <w:rPr>
          <w:rFonts w:hint="eastAsia" w:ascii="仿宋" w:hAnsi="仿宋" w:eastAsia="仿宋" w:cs="仿宋"/>
          <w:color w:val="auto"/>
          <w:sz w:val="24"/>
          <w:szCs w:val="24"/>
        </w:rPr>
        <w:t>（1）投标人应根据招标文件第</w:t>
      </w:r>
      <w:r>
        <w:rPr>
          <w:rFonts w:hint="eastAsia" w:ascii="仿宋" w:hAnsi="仿宋" w:eastAsia="仿宋" w:cs="仿宋"/>
          <w:color w:val="auto"/>
          <w:sz w:val="24"/>
          <w:szCs w:val="24"/>
          <w:lang w:val="en-US" w:eastAsia="zh-CN"/>
        </w:rPr>
        <w:t>二</w:t>
      </w:r>
      <w:r>
        <w:rPr>
          <w:rFonts w:hint="eastAsia" w:ascii="仿宋" w:hAnsi="仿宋" w:eastAsia="仿宋" w:cs="仿宋"/>
          <w:color w:val="auto"/>
          <w:sz w:val="24"/>
          <w:szCs w:val="24"/>
        </w:rPr>
        <w:t>章中采购需求填写本表，逐条应答；</w:t>
      </w:r>
    </w:p>
    <w:p w14:paraId="7A02B97E">
      <w:pPr>
        <w:adjustRightInd w:val="0"/>
        <w:snapToGrid w:val="0"/>
        <w:spacing w:before="50" w:line="360" w:lineRule="auto"/>
        <w:ind w:left="-88" w:leftChars="-42"/>
        <w:rPr>
          <w:rFonts w:hint="eastAsia" w:ascii="仿宋" w:hAnsi="仿宋" w:eastAsia="仿宋" w:cs="仿宋"/>
          <w:color w:val="auto"/>
          <w:sz w:val="24"/>
          <w:szCs w:val="24"/>
        </w:rPr>
      </w:pPr>
      <w:r>
        <w:rPr>
          <w:rFonts w:hint="eastAsia" w:ascii="仿宋" w:hAnsi="仿宋" w:eastAsia="仿宋" w:cs="仿宋"/>
          <w:color w:val="auto"/>
          <w:sz w:val="24"/>
          <w:szCs w:val="24"/>
        </w:rPr>
        <w:t>（2）如不提供此表，则视为投标人不满足招标文件第三章的所有条款要求，其投标无效；</w:t>
      </w:r>
    </w:p>
    <w:p w14:paraId="5B7AEB0F">
      <w:pPr>
        <w:adjustRightInd w:val="0"/>
        <w:snapToGrid w:val="0"/>
        <w:spacing w:before="50" w:line="360" w:lineRule="auto"/>
        <w:ind w:left="-88" w:leftChars="-42"/>
        <w:rPr>
          <w:rFonts w:hint="eastAsia" w:ascii="仿宋" w:hAnsi="仿宋" w:eastAsia="仿宋" w:cs="仿宋"/>
          <w:color w:val="auto"/>
          <w:sz w:val="24"/>
          <w:szCs w:val="24"/>
          <w:lang w:eastAsia="zh-CN"/>
        </w:rPr>
      </w:pPr>
      <w:r>
        <w:rPr>
          <w:rFonts w:hint="eastAsia" w:ascii="仿宋" w:hAnsi="仿宋" w:eastAsia="仿宋" w:cs="仿宋"/>
          <w:color w:val="auto"/>
          <w:sz w:val="24"/>
          <w:szCs w:val="24"/>
        </w:rPr>
        <w:t>（3）</w:t>
      </w:r>
      <w:r>
        <w:rPr>
          <w:rFonts w:hint="eastAsia" w:ascii="仿宋" w:hAnsi="仿宋" w:eastAsia="仿宋" w:cs="仿宋"/>
          <w:color w:val="auto"/>
          <w:sz w:val="24"/>
          <w:szCs w:val="24"/>
          <w:lang w:eastAsia="zh-CN"/>
        </w:rPr>
        <w:t>本项目为最低价评分法，所有参数必须全部响应，并在响应表中逐条应答，如有任何一条负偏离，则视为无效投标</w:t>
      </w:r>
    </w:p>
    <w:p w14:paraId="06724E5B">
      <w:pPr>
        <w:pStyle w:val="14"/>
        <w:rPr>
          <w:rFonts w:hint="eastAsia" w:ascii="仿宋" w:hAnsi="仿宋" w:eastAsia="仿宋" w:cs="仿宋"/>
          <w:color w:val="auto"/>
          <w:sz w:val="24"/>
          <w:szCs w:val="24"/>
        </w:rPr>
      </w:pPr>
    </w:p>
    <w:p w14:paraId="359A2A68">
      <w:pPr>
        <w:pStyle w:val="12"/>
        <w:rPr>
          <w:rFonts w:hint="eastAsia" w:ascii="仿宋" w:hAnsi="仿宋" w:eastAsia="仿宋" w:cs="仿宋"/>
          <w:color w:val="auto"/>
          <w:sz w:val="24"/>
          <w:szCs w:val="24"/>
          <w:lang w:eastAsia="zh-CN"/>
        </w:rPr>
      </w:pPr>
    </w:p>
    <w:p w14:paraId="1B0F2890">
      <w:pPr>
        <w:rPr>
          <w:rFonts w:hint="eastAsia" w:ascii="仿宋" w:hAnsi="仿宋" w:eastAsia="仿宋" w:cs="仿宋"/>
          <w:color w:val="auto"/>
          <w:sz w:val="24"/>
          <w:szCs w:val="24"/>
        </w:rPr>
      </w:pPr>
    </w:p>
    <w:p w14:paraId="1D82947A">
      <w:pPr>
        <w:rPr>
          <w:color w:val="auto"/>
        </w:rPr>
      </w:pPr>
    </w:p>
    <w:p w14:paraId="19A8E029">
      <w:pPr>
        <w:rPr>
          <w:color w:val="auto"/>
        </w:rPr>
      </w:pPr>
    </w:p>
    <w:p w14:paraId="3F97CD2E">
      <w:pPr>
        <w:rPr>
          <w:color w:val="auto"/>
        </w:rPr>
      </w:pPr>
    </w:p>
    <w:p w14:paraId="41EE2E82"/>
    <w:p w14:paraId="0D2C97ED"/>
    <w:p w14:paraId="5121895B"/>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 w:name="Segoe UI Symbol">
    <w:panose1 w:val="020B0502040204020203"/>
    <w:charset w:val="00"/>
    <w:family w:val="swiss"/>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5125E">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6814F5">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36814F5">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EA276C6">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894AB5">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CB9702">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DCB9702">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DCECDE1">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B8467">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0EEA4712"/>
    <w:multiLevelType w:val="multilevel"/>
    <w:tmpl w:val="0EEA4712"/>
    <w:lvl w:ilvl="0" w:tentative="0">
      <w:start w:val="1"/>
      <w:numFmt w:val="decimal"/>
      <w:lvlText w:val="%1"/>
      <w:lvlJc w:val="center"/>
      <w:pPr>
        <w:ind w:left="420" w:hanging="420"/>
      </w:pPr>
      <w:rPr>
        <w:rFonts w:hint="eastAsia"/>
      </w:rPr>
    </w:lvl>
    <w:lvl w:ilvl="1" w:tentative="0">
      <w:start w:val="1"/>
      <w:numFmt w:val="lowerLetter"/>
      <w:lvlText w:val="%2)"/>
      <w:lvlJc w:val="left"/>
      <w:pPr>
        <w:ind w:left="1092" w:hanging="420"/>
      </w:pPr>
    </w:lvl>
    <w:lvl w:ilvl="2" w:tentative="0">
      <w:start w:val="1"/>
      <w:numFmt w:val="lowerRoman"/>
      <w:lvlText w:val="%3."/>
      <w:lvlJc w:val="right"/>
      <w:pPr>
        <w:ind w:left="1512" w:hanging="420"/>
      </w:pPr>
    </w:lvl>
    <w:lvl w:ilvl="3" w:tentative="0">
      <w:start w:val="1"/>
      <w:numFmt w:val="decimal"/>
      <w:lvlText w:val="%4."/>
      <w:lvlJc w:val="left"/>
      <w:pPr>
        <w:ind w:left="1932" w:hanging="420"/>
      </w:pPr>
    </w:lvl>
    <w:lvl w:ilvl="4" w:tentative="0">
      <w:start w:val="1"/>
      <w:numFmt w:val="lowerLetter"/>
      <w:lvlText w:val="%5)"/>
      <w:lvlJc w:val="left"/>
      <w:pPr>
        <w:ind w:left="2352" w:hanging="420"/>
      </w:pPr>
    </w:lvl>
    <w:lvl w:ilvl="5" w:tentative="0">
      <w:start w:val="1"/>
      <w:numFmt w:val="lowerRoman"/>
      <w:lvlText w:val="%6."/>
      <w:lvlJc w:val="right"/>
      <w:pPr>
        <w:ind w:left="2772" w:hanging="420"/>
      </w:pPr>
    </w:lvl>
    <w:lvl w:ilvl="6" w:tentative="0">
      <w:start w:val="1"/>
      <w:numFmt w:val="decimal"/>
      <w:lvlText w:val="%7."/>
      <w:lvlJc w:val="left"/>
      <w:pPr>
        <w:ind w:left="3192" w:hanging="420"/>
      </w:pPr>
    </w:lvl>
    <w:lvl w:ilvl="7" w:tentative="0">
      <w:start w:val="1"/>
      <w:numFmt w:val="lowerLetter"/>
      <w:lvlText w:val="%8)"/>
      <w:lvlJc w:val="left"/>
      <w:pPr>
        <w:ind w:left="3612" w:hanging="420"/>
      </w:pPr>
    </w:lvl>
    <w:lvl w:ilvl="8" w:tentative="0">
      <w:start w:val="1"/>
      <w:numFmt w:val="lowerRoman"/>
      <w:lvlText w:val="%9."/>
      <w:lvlJc w:val="right"/>
      <w:pPr>
        <w:ind w:left="4032"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482CAD"/>
    <w:rsid w:val="08482CAD"/>
    <w:rsid w:val="0DF30D7E"/>
    <w:rsid w:val="1A3D5728"/>
    <w:rsid w:val="1A4C07A0"/>
    <w:rsid w:val="240A129F"/>
    <w:rsid w:val="462956E2"/>
    <w:rsid w:val="6A9E6936"/>
    <w:rsid w:val="6DF53E98"/>
    <w:rsid w:val="6E172B01"/>
    <w:rsid w:val="6F3010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qFormat/>
    <w:uiPriority w:val="0"/>
    <w:pPr>
      <w:keepNext/>
      <w:keepLines/>
      <w:adjustRightInd w:val="0"/>
      <w:spacing w:before="340" w:after="330" w:line="578" w:lineRule="atLeast"/>
      <w:textAlignment w:val="baseline"/>
      <w:outlineLvl w:val="0"/>
    </w:pPr>
    <w:rPr>
      <w:b/>
      <w:kern w:val="44"/>
      <w:sz w:val="44"/>
      <w:szCs w:val="20"/>
    </w:rPr>
  </w:style>
  <w:style w:type="paragraph" w:styleId="4">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正文格式"/>
    <w:basedOn w:val="1"/>
    <w:qFormat/>
    <w:uiPriority w:val="0"/>
    <w:pPr>
      <w:widowControl/>
      <w:adjustRightInd w:val="0"/>
      <w:snapToGrid w:val="0"/>
      <w:spacing w:line="400" w:lineRule="atLeast"/>
      <w:ind w:firstLine="482"/>
      <w:textAlignment w:val="baseline"/>
    </w:pPr>
    <w:rPr>
      <w:kern w:val="0"/>
      <w:sz w:val="24"/>
    </w:rPr>
  </w:style>
  <w:style w:type="paragraph" w:styleId="5">
    <w:name w:val="Body Text"/>
    <w:basedOn w:val="1"/>
    <w:qFormat/>
    <w:uiPriority w:val="0"/>
    <w:pPr>
      <w:overflowPunct w:val="0"/>
      <w:autoSpaceDE w:val="0"/>
      <w:autoSpaceDN w:val="0"/>
      <w:adjustRightInd w:val="0"/>
      <w:spacing w:before="120" w:after="120"/>
      <w:ind w:left="2520"/>
      <w:jc w:val="left"/>
      <w:textAlignment w:val="baseline"/>
    </w:pPr>
    <w:rPr>
      <w:rFonts w:ascii="宋体" w:hAnsi="Times New Roman"/>
      <w:kern w:val="0"/>
      <w:sz w:val="24"/>
      <w:szCs w:val="20"/>
    </w:rPr>
  </w:style>
  <w:style w:type="paragraph" w:styleId="6">
    <w:name w:val="footer"/>
    <w:basedOn w:val="1"/>
    <w:qFormat/>
    <w:uiPriority w:val="0"/>
    <w:pPr>
      <w:tabs>
        <w:tab w:val="center" w:pos="4153"/>
        <w:tab w:val="right" w:pos="8306"/>
      </w:tabs>
      <w:snapToGrid w:val="0"/>
      <w:jc w:val="left"/>
    </w:pPr>
    <w:rPr>
      <w:kern w:val="0"/>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rPr>
      <w:sz w:val="24"/>
    </w:rPr>
  </w:style>
  <w:style w:type="paragraph" w:customStyle="1" w:styleId="11">
    <w:name w:val="Default"/>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2">
    <w:name w:val="列出段落1"/>
    <w:basedOn w:val="1"/>
    <w:autoRedefine/>
    <w:qFormat/>
    <w:uiPriority w:val="99"/>
    <w:pPr>
      <w:ind w:firstLine="420" w:firstLineChars="200"/>
    </w:pPr>
  </w:style>
  <w:style w:type="paragraph" w:styleId="13">
    <w:name w:val="List Paragraph"/>
    <w:basedOn w:val="1"/>
    <w:unhideWhenUsed/>
    <w:qFormat/>
    <w:uiPriority w:val="99"/>
    <w:pPr>
      <w:ind w:firstLine="420" w:firstLineChars="200"/>
    </w:pPr>
  </w:style>
  <w:style w:type="paragraph" w:customStyle="1" w:styleId="14">
    <w:name w:val="无间隔1"/>
    <w:autoRedefine/>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1400</Words>
  <Characters>1494</Characters>
  <Lines>0</Lines>
  <Paragraphs>0</Paragraphs>
  <TotalTime>0</TotalTime>
  <ScaleCrop>false</ScaleCrop>
  <LinksUpToDate>false</LinksUpToDate>
  <CharactersWithSpaces>1499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2025-10-21T01:58:00Z</dcterms:created>
  <dc:creator>Administrator</dc:creator>
  <cp:lastModifiedBy>是小豹子</cp:lastModifiedBy>
  <dcterms:modified xsi:type="dcterms:W3CDTF">2025-12-01T08:37:17Z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CA4F7004DA8842FF9F1F2305D7BB850E_11</vt:lpwstr>
  </property>
  <property fmtid="{D5CDD505-2E9C-101B-9397-08002B2CF9AE}" pid="4" name="KSOTemplateDocerSaveRecord">
    <vt:lpwstr>eyJoZGlkIjoiMjI0YzkyZjA4NDE5ZWViZGEyZTVjOTNhYTg4ZmYzYTciLCJ1c2VySWQiOiIzMDQ3NTQ4MDUifQ==</vt:lpwstr>
  </property>
</Properties>
</file>