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C1E77F">
      <w:pPr>
        <w:pStyle w:val="14"/>
        <w:snapToGrid w:val="0"/>
        <w:jc w:val="center"/>
        <w:rPr>
          <w:rFonts w:hint="eastAsia" w:ascii="Arial" w:hAnsi="Arial" w:eastAsia="方正小标宋简体" w:cs="Arial"/>
          <w:sz w:val="72"/>
          <w:szCs w:val="72"/>
        </w:rPr>
      </w:pPr>
      <w:bookmarkStart w:id="0" w:name="_Toc16523570"/>
    </w:p>
    <w:p w14:paraId="624C34B6">
      <w:pPr>
        <w:pStyle w:val="14"/>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4"/>
        <w:snapToGrid w:val="0"/>
        <w:jc w:val="center"/>
        <w:rPr>
          <w:rFonts w:hint="eastAsia" w:ascii="Arial" w:hAnsi="Arial" w:eastAsia="方正小标宋简体" w:cs="Arial"/>
          <w:sz w:val="72"/>
          <w:szCs w:val="72"/>
        </w:rPr>
      </w:pPr>
    </w:p>
    <w:p w14:paraId="16E58BC0">
      <w:pPr>
        <w:pStyle w:val="14"/>
        <w:snapToGrid w:val="0"/>
        <w:jc w:val="center"/>
        <w:rPr>
          <w:rFonts w:hint="eastAsia" w:ascii="Arial" w:hAnsi="Arial" w:eastAsia="方正小标宋简体" w:cs="Arial"/>
          <w:sz w:val="72"/>
          <w:szCs w:val="72"/>
        </w:rPr>
      </w:pPr>
    </w:p>
    <w:p w14:paraId="7D3C3256">
      <w:pPr>
        <w:pStyle w:val="14"/>
        <w:snapToGrid w:val="0"/>
        <w:jc w:val="center"/>
        <w:rPr>
          <w:rFonts w:hint="eastAsia" w:ascii="Arial" w:hAnsi="Arial" w:eastAsia="方正小标宋简体" w:cs="Arial"/>
          <w:sz w:val="72"/>
          <w:szCs w:val="72"/>
        </w:rPr>
      </w:pPr>
    </w:p>
    <w:p w14:paraId="11608FC0">
      <w:pPr>
        <w:pStyle w:val="14"/>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14"/>
        <w:snapToGrid w:val="0"/>
        <w:jc w:val="center"/>
        <w:rPr>
          <w:rFonts w:ascii="Arial" w:hAnsi="Arial" w:cs="Arial"/>
          <w:sz w:val="32"/>
          <w:szCs w:val="32"/>
        </w:rPr>
      </w:pPr>
    </w:p>
    <w:p w14:paraId="46311545">
      <w:pPr>
        <w:pStyle w:val="15"/>
        <w:rPr>
          <w:rFonts w:ascii="Arial" w:hAnsi="Arial" w:cs="Arial"/>
          <w:sz w:val="32"/>
          <w:szCs w:val="32"/>
        </w:rPr>
      </w:pPr>
    </w:p>
    <w:p w14:paraId="5F00027D">
      <w:pPr>
        <w:pStyle w:val="9"/>
        <w:rPr>
          <w:rFonts w:ascii="Arial" w:hAnsi="Arial" w:cs="Arial"/>
          <w:sz w:val="32"/>
          <w:szCs w:val="32"/>
        </w:rPr>
      </w:pPr>
    </w:p>
    <w:p w14:paraId="790E99FE">
      <w:pPr>
        <w:pStyle w:val="9"/>
        <w:rPr>
          <w:rFonts w:ascii="Arial" w:hAnsi="Arial" w:cs="Arial"/>
          <w:sz w:val="32"/>
          <w:szCs w:val="32"/>
        </w:rPr>
      </w:pPr>
    </w:p>
    <w:p w14:paraId="6D6CF557">
      <w:pPr>
        <w:pStyle w:val="9"/>
        <w:rPr>
          <w:rFonts w:ascii="Arial" w:hAnsi="Arial" w:cs="Arial"/>
          <w:sz w:val="32"/>
          <w:szCs w:val="32"/>
        </w:rPr>
      </w:pPr>
    </w:p>
    <w:p w14:paraId="77BABE1C">
      <w:pPr>
        <w:pStyle w:val="9"/>
        <w:rPr>
          <w:rFonts w:ascii="Arial" w:hAnsi="Arial" w:cs="Arial"/>
          <w:sz w:val="32"/>
          <w:szCs w:val="32"/>
        </w:rPr>
      </w:pPr>
    </w:p>
    <w:p w14:paraId="1C0FB295">
      <w:pPr>
        <w:pStyle w:val="9"/>
        <w:rPr>
          <w:rFonts w:ascii="Arial" w:hAnsi="Arial" w:cs="Arial"/>
          <w:sz w:val="32"/>
          <w:szCs w:val="32"/>
        </w:rPr>
      </w:pPr>
    </w:p>
    <w:p w14:paraId="4C96CB97">
      <w:pPr>
        <w:pStyle w:val="9"/>
        <w:rPr>
          <w:rFonts w:ascii="Arial" w:hAnsi="Arial" w:cs="Arial"/>
          <w:sz w:val="32"/>
          <w:szCs w:val="32"/>
        </w:rPr>
      </w:pPr>
    </w:p>
    <w:p w14:paraId="1825AAC5">
      <w:pPr>
        <w:pStyle w:val="9"/>
        <w:rPr>
          <w:rFonts w:ascii="Arial" w:hAnsi="Arial" w:cs="Arial"/>
          <w:sz w:val="32"/>
          <w:szCs w:val="32"/>
        </w:rPr>
      </w:pPr>
    </w:p>
    <w:p w14:paraId="1B92FFA5">
      <w:pPr>
        <w:pStyle w:val="14"/>
        <w:snapToGrid w:val="0"/>
        <w:jc w:val="center"/>
        <w:rPr>
          <w:rFonts w:ascii="Arial" w:hAnsi="Arial" w:cs="Arial"/>
          <w:sz w:val="32"/>
          <w:szCs w:val="32"/>
        </w:rPr>
      </w:pPr>
    </w:p>
    <w:p w14:paraId="3EB4A47A">
      <w:pPr>
        <w:pStyle w:val="14"/>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（血液透析机医院公开挂网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十一</w:t>
      </w:r>
      <w:r>
        <w:rPr>
          <w:rFonts w:hint="eastAsia" w:ascii="宋体" w:hAnsi="宋体" w:cs="宋体"/>
          <w:bCs/>
          <w:sz w:val="32"/>
          <w:szCs w:val="32"/>
        </w:rPr>
        <w:t>月</w:t>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血液透析机</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血液透析机</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4"/>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3E8934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5"/>
        <w:rPr>
          <w:rFonts w:hint="eastAsia"/>
          <w:lang w:val="en-US" w:eastAsia="zh-CN"/>
        </w:rPr>
      </w:pPr>
    </w:p>
    <w:p w14:paraId="687E9235">
      <w:pPr>
        <w:pStyle w:val="15"/>
        <w:jc w:val="both"/>
        <w:rPr>
          <w:rFonts w:hint="default"/>
          <w:lang w:val="en-US" w:eastAsia="zh-CN"/>
        </w:rPr>
      </w:pPr>
    </w:p>
    <w:p w14:paraId="7AECD5DA">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5"/>
        <w:rPr>
          <w:rFonts w:hint="eastAsia" w:ascii="宋体" w:hAnsi="宋体" w:cs="宋体"/>
          <w:b/>
          <w:bCs/>
          <w:color w:val="auto"/>
          <w:sz w:val="44"/>
          <w:szCs w:val="44"/>
          <w:lang w:val="en-US" w:eastAsia="zh-CN"/>
        </w:rPr>
      </w:pPr>
    </w:p>
    <w:p w14:paraId="69D61396">
      <w:pPr>
        <w:pStyle w:val="9"/>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3"/>
        <w:rPr>
          <w:rFonts w:hint="eastAsia"/>
          <w:lang w:val="en-US" w:eastAsia="zh-CN"/>
        </w:rPr>
      </w:pPr>
    </w:p>
    <w:p w14:paraId="7E3117C8">
      <w:pPr>
        <w:pStyle w:val="2"/>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0"/>
        <w:tblW w:w="961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310"/>
      </w:tblGrid>
      <w:tr w14:paraId="358F9BB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配件</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E25AD89">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是否允许进口产品</w:t>
            </w:r>
          </w:p>
        </w:tc>
      </w:tr>
      <w:tr w14:paraId="70E73AF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血液透析机</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3</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34.5</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8147A3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否</w:t>
            </w:r>
          </w:p>
        </w:tc>
      </w:tr>
    </w:tbl>
    <w:p w14:paraId="45296353">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077D743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一、技术参数</w:t>
      </w:r>
    </w:p>
    <w:p w14:paraId="6E160B7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1.设备使用年限：≥10年</w:t>
      </w:r>
    </w:p>
    <w:p w14:paraId="19D7BDE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2.透析液流速：0，300~800 mL/min</w:t>
      </w:r>
    </w:p>
    <w:p w14:paraId="7731902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3.透析液温度：34.0~39.0°C，实时监测，并随时可以调整。</w:t>
      </w:r>
    </w:p>
    <w:p w14:paraId="52AD94E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4.超滤速度：最小超滤率0~4000ml/h；精度：±10%</w:t>
      </w:r>
    </w:p>
    <w:p w14:paraId="6B70CA6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5.漏血检测器：光学原理检测。</w:t>
      </w:r>
    </w:p>
    <w:p w14:paraId="25AD416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6.动脉血泵：50~550mL/min。</w:t>
      </w:r>
    </w:p>
    <w:p w14:paraId="7A234C5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7.肝素泵：设置范围：0~10mL/h。</w:t>
      </w:r>
    </w:p>
    <w:p w14:paraId="0F36259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8.空气监测器：超声波检测。</w:t>
      </w:r>
    </w:p>
    <w:p w14:paraId="7E52903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9.动脉压：测量范围：-300~+280mmHg。</w:t>
      </w:r>
    </w:p>
    <w:p w14:paraId="5A7059A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10.静脉压：测量范围：-50~+390mmHg。</w:t>
      </w:r>
    </w:p>
    <w:p w14:paraId="6CE8E6E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11.TMP：测量范围：-60~+480mmHg。</w:t>
      </w:r>
    </w:p>
    <w:p w14:paraId="13D8974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12.电导度范围：12.8 ~15mS/cm。</w:t>
      </w:r>
    </w:p>
    <w:p w14:paraId="7E90FA2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二、功能配置</w:t>
      </w:r>
    </w:p>
    <w:p w14:paraId="18AE1E9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1.治疗模式：用于血液净化治疗，具有血液透析、单纯超滤。</w:t>
      </w:r>
    </w:p>
    <w:p w14:paraId="73FA318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2.人机交互：≥10英寸彩色液晶显示器，中文界面，可实时显示治疗过程。</w:t>
      </w:r>
    </w:p>
    <w:p w14:paraId="6362284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3.可实时图文显示参数，包括动脉压、静脉压、跨膜压、超滤速度等 。</w:t>
      </w:r>
    </w:p>
    <w:p w14:paraId="29F82B1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4.消毒模式：支持使用柠檬酸、次氯酸钠、过氧乙酸等多种消毒液，热水柠檬酸消毒。</w:t>
      </w:r>
    </w:p>
    <w:p w14:paraId="58E884F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5.后备电池：停电时自动跳转后备电池供电，支持体外循环监测，报警系统，断电数据保存功能。</w:t>
      </w:r>
    </w:p>
    <w:p w14:paraId="54F58F5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6.超滤系统：密闭式双容量平衡腔四腔超滤控制系统，腔体容量≦40ml。</w:t>
      </w:r>
    </w:p>
    <w:p w14:paraId="50B371F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7.浓度曲线：可进行可调纳曲线治疗，具有多种选择线性。</w:t>
      </w:r>
    </w:p>
    <w:p w14:paraId="740AD1A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8.超滤曲线：可进行可调超滤曲线治疗。</w:t>
      </w:r>
    </w:p>
    <w:p w14:paraId="69F0DF4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9.B粉筒支架组件：标配碳酸氢盐干粉自动配制系统 。</w:t>
      </w:r>
    </w:p>
    <w:p w14:paraId="21783CB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10.透析液过滤：标配透析液过滤器支架组件。</w:t>
      </w:r>
    </w:p>
    <w:p w14:paraId="40FD88A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11.自检：全功能数字化自检。</w:t>
      </w:r>
    </w:p>
    <w:p w14:paraId="1E07F0F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12.在线清除率监测组件，支持无创实时监测。</w:t>
      </w:r>
    </w:p>
    <w:p w14:paraId="0D77D15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13.治疗过程中具有安全性的水路测试。保证治疗过程更安全</w:t>
      </w:r>
    </w:p>
    <w:p w14:paraId="14221D8E">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52F2D61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1、运输、装卸、培训、安装调试：由中标人负责承担，最终通过使用科室、设备科及相关部门确认验收交付使用。国产设备交付，设备必须为6个月内生产的产品；进口设备交付，设备必须为一年内生产的产品。</w:t>
      </w:r>
    </w:p>
    <w:p w14:paraId="7A6A548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2C81AA6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72F50B4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3年后支付10%余款给乙方。</w:t>
      </w:r>
    </w:p>
    <w:p w14:paraId="530B798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 3年，终身维修。验收时出具原厂售后质保承诺书，质保期内每年巡检一次，并提交巡检记录。质保期内出现故障，1小时响应，响应后24小时上门服务。</w:t>
      </w:r>
    </w:p>
    <w:p w14:paraId="7C58652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46A704C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0E67788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038B464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03187E8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5215E09E">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41C798C3">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46D108B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0C95D2A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5909917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7FB66DAE">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0259DFAE">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19CB5653">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01DEC7A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080C5DA8">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157142EE">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7604D645">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0B50EFE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6EB45D5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血液透析机</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血液透析机</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778E774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1E4DB0D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0"/>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21"/>
        <w:gridCol w:w="1102"/>
        <w:gridCol w:w="974"/>
        <w:gridCol w:w="1320"/>
        <w:gridCol w:w="940"/>
        <w:gridCol w:w="1654"/>
      </w:tblGrid>
      <w:tr w14:paraId="34095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2" w:hRule="atLeast"/>
        </w:trPr>
        <w:tc>
          <w:tcPr>
            <w:tcW w:w="2421" w:type="dxa"/>
            <w:vAlign w:val="top"/>
          </w:tcPr>
          <w:p w14:paraId="4911DC3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102" w:type="dxa"/>
            <w:vAlign w:val="top"/>
          </w:tcPr>
          <w:p w14:paraId="21FF83A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974" w:type="dxa"/>
            <w:vAlign w:val="top"/>
          </w:tcPr>
          <w:p w14:paraId="4BA2655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24536B0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04A952C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12A8776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3FF88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2421" w:type="dxa"/>
            <w:vAlign w:val="top"/>
          </w:tcPr>
          <w:p w14:paraId="5057648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血液透析机</w:t>
            </w:r>
          </w:p>
        </w:tc>
        <w:tc>
          <w:tcPr>
            <w:tcW w:w="1102" w:type="dxa"/>
            <w:vAlign w:val="center"/>
          </w:tcPr>
          <w:p w14:paraId="334A7BB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74" w:type="dxa"/>
            <w:vAlign w:val="top"/>
          </w:tcPr>
          <w:p w14:paraId="647D8EA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6F5083D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vAlign w:val="top"/>
          </w:tcPr>
          <w:p w14:paraId="3600577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3</w:t>
            </w:r>
          </w:p>
        </w:tc>
        <w:tc>
          <w:tcPr>
            <w:tcW w:w="1654" w:type="dxa"/>
            <w:vAlign w:val="top"/>
          </w:tcPr>
          <w:p w14:paraId="4FB13C3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DB2C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709830FF">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7A120DA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14D79CA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r>
        <w:rPr>
          <w:rFonts w:hint="eastAsia" w:ascii="宋体" w:hAnsi="宋体" w:cs="宋体"/>
          <w:color w:val="000000" w:themeColor="text1"/>
          <w:sz w:val="24"/>
          <w:szCs w:val="24"/>
          <w:highlight w:val="none"/>
          <w14:textFill>
            <w14:solidFill>
              <w14:schemeClr w14:val="tx1"/>
            </w14:solidFill>
          </w14:textFill>
        </w:rPr>
        <w:t>。</w:t>
      </w:r>
    </w:p>
    <w:p w14:paraId="49E80E5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2EE06E9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127FC6E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04E2C64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62905FF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1BE7BEE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FF0000"/>
          <w:sz w:val="24"/>
          <w:szCs w:val="24"/>
          <w:highlight w:val="none"/>
          <w:lang w:val="en-US" w:eastAsia="zh-CN"/>
        </w:rPr>
        <w:t>如乙方应交付的设备属于国产</w:t>
      </w:r>
      <w:r>
        <w:rPr>
          <w:rFonts w:hint="eastAsia" w:ascii="宋体" w:hAnsi="宋体" w:cs="宋体"/>
          <w:color w:val="FF0000"/>
          <w:sz w:val="24"/>
          <w:szCs w:val="24"/>
          <w:highlight w:val="none"/>
          <w:lang w:val="en-US" w:eastAsia="zh-CN"/>
        </w:rPr>
        <w:t>设备，则应保证该设备为交付时起近</w:t>
      </w:r>
      <w:r>
        <w:rPr>
          <w:rFonts w:hint="eastAsia" w:ascii="宋体" w:hAnsi="宋体" w:cs="宋体"/>
          <w:color w:val="FF0000"/>
          <w:sz w:val="24"/>
          <w:szCs w:val="24"/>
          <w:highlight w:val="none"/>
          <w:lang w:eastAsia="zh-CN"/>
        </w:rPr>
        <w:t>6个月内生产的产品；</w:t>
      </w:r>
      <w:r>
        <w:rPr>
          <w:rFonts w:hint="eastAsia" w:ascii="宋体" w:hAnsi="宋体" w:cs="宋体"/>
          <w:color w:val="FF0000"/>
          <w:sz w:val="24"/>
          <w:szCs w:val="24"/>
          <w:highlight w:val="none"/>
          <w:lang w:val="en-US" w:eastAsia="zh-CN"/>
        </w:rPr>
        <w:t>如乙方</w:t>
      </w:r>
      <w:r>
        <w:rPr>
          <w:rFonts w:hint="eastAsia" w:ascii="宋体" w:hAnsi="宋体" w:eastAsia="宋体" w:cs="宋体"/>
          <w:color w:val="FF0000"/>
          <w:sz w:val="24"/>
          <w:szCs w:val="24"/>
          <w:highlight w:val="none"/>
          <w:lang w:val="en-US" w:eastAsia="zh-CN"/>
        </w:rPr>
        <w:t>应</w:t>
      </w:r>
      <w:r>
        <w:rPr>
          <w:rFonts w:hint="eastAsia" w:ascii="宋体" w:hAnsi="宋体" w:cs="宋体"/>
          <w:color w:val="FF0000"/>
          <w:sz w:val="24"/>
          <w:szCs w:val="24"/>
          <w:highlight w:val="none"/>
          <w:lang w:val="en-US" w:eastAsia="zh-CN"/>
        </w:rPr>
        <w:t>交付的设备属于</w:t>
      </w:r>
      <w:r>
        <w:rPr>
          <w:rFonts w:hint="eastAsia" w:ascii="宋体" w:hAnsi="宋体" w:eastAsia="宋体" w:cs="宋体"/>
          <w:color w:val="FF0000"/>
          <w:sz w:val="24"/>
          <w:szCs w:val="24"/>
          <w:highlight w:val="none"/>
          <w:lang w:val="en-US" w:eastAsia="zh-CN"/>
        </w:rPr>
        <w:t>进口设备</w:t>
      </w:r>
      <w:r>
        <w:rPr>
          <w:rFonts w:hint="eastAsia" w:ascii="宋体" w:hAnsi="宋体" w:cs="宋体"/>
          <w:color w:val="FF0000"/>
          <w:sz w:val="24"/>
          <w:szCs w:val="24"/>
          <w:highlight w:val="none"/>
          <w:lang w:val="en-US" w:eastAsia="zh-CN"/>
        </w:rPr>
        <w:t>，则应保证该设备</w:t>
      </w:r>
      <w:r>
        <w:rPr>
          <w:rFonts w:hint="eastAsia" w:ascii="宋体" w:hAnsi="宋体" w:cs="宋体"/>
          <w:color w:val="FF0000"/>
          <w:sz w:val="24"/>
          <w:szCs w:val="24"/>
          <w:highlight w:val="none"/>
          <w:lang w:eastAsia="zh-CN"/>
        </w:rPr>
        <w:t>为</w:t>
      </w:r>
      <w:r>
        <w:rPr>
          <w:rFonts w:hint="eastAsia" w:ascii="宋体" w:hAnsi="宋体" w:cs="宋体"/>
          <w:color w:val="FF0000"/>
          <w:sz w:val="24"/>
          <w:szCs w:val="24"/>
          <w:highlight w:val="none"/>
          <w:lang w:val="en-US" w:eastAsia="zh-CN"/>
        </w:rPr>
        <w:t>交付时起近一年</w:t>
      </w:r>
      <w:r>
        <w:rPr>
          <w:rFonts w:hint="eastAsia" w:ascii="宋体" w:hAnsi="宋体" w:cs="宋体"/>
          <w:color w:val="FF0000"/>
          <w:sz w:val="24"/>
          <w:szCs w:val="24"/>
          <w:highlight w:val="none"/>
          <w:lang w:eastAsia="zh-CN"/>
        </w:rPr>
        <w:t>内生产的产品</w:t>
      </w:r>
      <w:r>
        <w:rPr>
          <w:rFonts w:hint="eastAsia" w:ascii="宋体" w:hAnsi="宋体" w:eastAsia="宋体" w:cs="宋体"/>
          <w:color w:val="FF0000"/>
          <w:sz w:val="24"/>
          <w:szCs w:val="24"/>
          <w:highlight w:val="none"/>
          <w:lang w:val="en-US" w:eastAsia="zh-CN"/>
        </w:rPr>
        <w:t>。</w:t>
      </w:r>
    </w:p>
    <w:p w14:paraId="67A15DF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6838100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4DD6BF8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421AB5E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33AD1D9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0DA14EC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1203E93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2408517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邓时敏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22D0B72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455A912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5686126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56C75A35">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2437620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3B16612B">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28523EA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38747FC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15CF5E3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223C3F8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350DB58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4A517D3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14E5EBC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63771B0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4CBBCB0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1A64B18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17DF0F7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66EE120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46EA97C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330D297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699AB320">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40C4C77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7D85742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2EEE849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68FFC2D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0DFBE986">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476E96A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34F04F7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760D92B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98007F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C7523E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478B5B0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216CFE10">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4CA37A6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333CA54F">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027F7C5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0758D25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5451E83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01FB004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3C42926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32666D25">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11F0221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18D24CC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3E3EDDD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5310D5A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4440D096">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360A8F4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68C105C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3206F0B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1859BF50">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114EF25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12A6E0F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2379552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47CB3A1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34A3CB9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01B52D10">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6E6B8A23">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43B937D0">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1C02CAD6">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4CB4545C">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5E24CEF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3CB7BA2">
      <w:pPr>
        <w:rPr>
          <w:rFonts w:hint="default" w:ascii="宋体" w:hAnsi="宋体" w:eastAsia="宋体" w:cs="宋体"/>
          <w:color w:val="auto"/>
          <w:sz w:val="24"/>
          <w:szCs w:val="24"/>
          <w:lang w:val="en-US" w:eastAsia="zh-CN"/>
        </w:rPr>
      </w:pPr>
      <w:bookmarkStart w:id="4" w:name="_GoBack"/>
      <w:bookmarkEnd w:id="4"/>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7"/>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6"/>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75DA035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14:paraId="43CAB480">
      <w:pPr>
        <w:pStyle w:val="16"/>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0"/>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7"/>
        <w:rPr>
          <w:color w:val="auto"/>
        </w:rPr>
      </w:pPr>
    </w:p>
    <w:p w14:paraId="43E00E01">
      <w:pPr>
        <w:pStyle w:val="16"/>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1350E35"/>
    <w:rsid w:val="02390242"/>
    <w:rsid w:val="03E43FAE"/>
    <w:rsid w:val="04653F41"/>
    <w:rsid w:val="04B72FC8"/>
    <w:rsid w:val="04F57A38"/>
    <w:rsid w:val="050719CA"/>
    <w:rsid w:val="06934BAA"/>
    <w:rsid w:val="06E91EC4"/>
    <w:rsid w:val="086F75C9"/>
    <w:rsid w:val="09C0303A"/>
    <w:rsid w:val="0A3F4F3C"/>
    <w:rsid w:val="0A6D3244"/>
    <w:rsid w:val="0A8A74D4"/>
    <w:rsid w:val="0CAD77BD"/>
    <w:rsid w:val="0E331420"/>
    <w:rsid w:val="0EDD1643"/>
    <w:rsid w:val="0FB9029C"/>
    <w:rsid w:val="10897B23"/>
    <w:rsid w:val="10914EF9"/>
    <w:rsid w:val="10B8663C"/>
    <w:rsid w:val="12080B62"/>
    <w:rsid w:val="12994AC5"/>
    <w:rsid w:val="129F447F"/>
    <w:rsid w:val="12C86253"/>
    <w:rsid w:val="14E40477"/>
    <w:rsid w:val="15060AC8"/>
    <w:rsid w:val="15125EAE"/>
    <w:rsid w:val="15675A4C"/>
    <w:rsid w:val="17F91BB8"/>
    <w:rsid w:val="193E7D91"/>
    <w:rsid w:val="1943608F"/>
    <w:rsid w:val="19E91315"/>
    <w:rsid w:val="1AF56B46"/>
    <w:rsid w:val="1D5071B5"/>
    <w:rsid w:val="1DD7486D"/>
    <w:rsid w:val="1E79119D"/>
    <w:rsid w:val="1F334F58"/>
    <w:rsid w:val="1F796B24"/>
    <w:rsid w:val="1FC602A8"/>
    <w:rsid w:val="1FE73549"/>
    <w:rsid w:val="2038045E"/>
    <w:rsid w:val="20AF0900"/>
    <w:rsid w:val="20B41DA7"/>
    <w:rsid w:val="21C61C7A"/>
    <w:rsid w:val="2383771E"/>
    <w:rsid w:val="23F374DB"/>
    <w:rsid w:val="24881A32"/>
    <w:rsid w:val="25266F96"/>
    <w:rsid w:val="267547DF"/>
    <w:rsid w:val="272B6E6C"/>
    <w:rsid w:val="27CF2BB7"/>
    <w:rsid w:val="28E81B29"/>
    <w:rsid w:val="28FD390A"/>
    <w:rsid w:val="29B45A41"/>
    <w:rsid w:val="2A174DA9"/>
    <w:rsid w:val="2AB010A8"/>
    <w:rsid w:val="2AC66F99"/>
    <w:rsid w:val="2C0A2E19"/>
    <w:rsid w:val="2C7642D0"/>
    <w:rsid w:val="2CC97A35"/>
    <w:rsid w:val="2DD77C64"/>
    <w:rsid w:val="2DDA1E78"/>
    <w:rsid w:val="2DE00B8C"/>
    <w:rsid w:val="2EAC037F"/>
    <w:rsid w:val="2EB67A5C"/>
    <w:rsid w:val="302741D2"/>
    <w:rsid w:val="308B184D"/>
    <w:rsid w:val="309C1E01"/>
    <w:rsid w:val="30BB11DD"/>
    <w:rsid w:val="31F17CD1"/>
    <w:rsid w:val="324F4D43"/>
    <w:rsid w:val="33384C93"/>
    <w:rsid w:val="340F06E9"/>
    <w:rsid w:val="34C12F54"/>
    <w:rsid w:val="366241E2"/>
    <w:rsid w:val="36B66AAC"/>
    <w:rsid w:val="36E47928"/>
    <w:rsid w:val="372F7378"/>
    <w:rsid w:val="37BA0809"/>
    <w:rsid w:val="397348CD"/>
    <w:rsid w:val="3A8E0AB7"/>
    <w:rsid w:val="3A994AB7"/>
    <w:rsid w:val="3B3B544D"/>
    <w:rsid w:val="3B654F2B"/>
    <w:rsid w:val="3BB72BAE"/>
    <w:rsid w:val="3BFC7D2B"/>
    <w:rsid w:val="3C7C799C"/>
    <w:rsid w:val="3C8A61A4"/>
    <w:rsid w:val="3D5E17FF"/>
    <w:rsid w:val="3DF93413"/>
    <w:rsid w:val="3DFD1951"/>
    <w:rsid w:val="3E1F0DA4"/>
    <w:rsid w:val="3E584E51"/>
    <w:rsid w:val="3E6E70D5"/>
    <w:rsid w:val="3EBE1ADE"/>
    <w:rsid w:val="403B4B34"/>
    <w:rsid w:val="4140452A"/>
    <w:rsid w:val="414D7889"/>
    <w:rsid w:val="41BB0BAE"/>
    <w:rsid w:val="425629F5"/>
    <w:rsid w:val="4284152B"/>
    <w:rsid w:val="429A4992"/>
    <w:rsid w:val="435B161D"/>
    <w:rsid w:val="43B25DAC"/>
    <w:rsid w:val="44771DFD"/>
    <w:rsid w:val="45D569C3"/>
    <w:rsid w:val="479B74B7"/>
    <w:rsid w:val="48735221"/>
    <w:rsid w:val="49E92B05"/>
    <w:rsid w:val="4A354E62"/>
    <w:rsid w:val="4AEE1A11"/>
    <w:rsid w:val="4B7F39F4"/>
    <w:rsid w:val="4BAE646F"/>
    <w:rsid w:val="4CAC1559"/>
    <w:rsid w:val="4D754257"/>
    <w:rsid w:val="4DCD6AB3"/>
    <w:rsid w:val="4EE7662F"/>
    <w:rsid w:val="50216DCD"/>
    <w:rsid w:val="50540C20"/>
    <w:rsid w:val="506258C6"/>
    <w:rsid w:val="51AC28BD"/>
    <w:rsid w:val="52183ACC"/>
    <w:rsid w:val="53B55872"/>
    <w:rsid w:val="544055F2"/>
    <w:rsid w:val="54AD4386"/>
    <w:rsid w:val="55D8243C"/>
    <w:rsid w:val="581A7C72"/>
    <w:rsid w:val="583A4BD7"/>
    <w:rsid w:val="59C74B1F"/>
    <w:rsid w:val="5A886F59"/>
    <w:rsid w:val="604D5946"/>
    <w:rsid w:val="611B6B1B"/>
    <w:rsid w:val="62C222C2"/>
    <w:rsid w:val="632D7C40"/>
    <w:rsid w:val="64133D6A"/>
    <w:rsid w:val="64245572"/>
    <w:rsid w:val="66C30AF5"/>
    <w:rsid w:val="678E4F5D"/>
    <w:rsid w:val="67F3562A"/>
    <w:rsid w:val="680E122C"/>
    <w:rsid w:val="6A4E1D63"/>
    <w:rsid w:val="6C486FE4"/>
    <w:rsid w:val="6CA409DF"/>
    <w:rsid w:val="6DE375E4"/>
    <w:rsid w:val="6E8E5287"/>
    <w:rsid w:val="6FAC3B48"/>
    <w:rsid w:val="6FAD463B"/>
    <w:rsid w:val="6FBE332C"/>
    <w:rsid w:val="70CE0BC9"/>
    <w:rsid w:val="71554367"/>
    <w:rsid w:val="71584067"/>
    <w:rsid w:val="71F26E91"/>
    <w:rsid w:val="735201FF"/>
    <w:rsid w:val="737B50A4"/>
    <w:rsid w:val="73F40E72"/>
    <w:rsid w:val="74566F5C"/>
    <w:rsid w:val="750117A8"/>
    <w:rsid w:val="755B2270"/>
    <w:rsid w:val="75E27514"/>
    <w:rsid w:val="7612420D"/>
    <w:rsid w:val="76920D75"/>
    <w:rsid w:val="76C47877"/>
    <w:rsid w:val="77423DFF"/>
    <w:rsid w:val="783B5EA9"/>
    <w:rsid w:val="79EB699D"/>
    <w:rsid w:val="7B0620DE"/>
    <w:rsid w:val="7BBF44BB"/>
    <w:rsid w:val="7BF15CE4"/>
    <w:rsid w:val="7C3A27E5"/>
    <w:rsid w:val="7D9727DD"/>
    <w:rsid w:val="7EFB4F6E"/>
    <w:rsid w:val="7F164138"/>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2">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99"/>
    <w:pPr>
      <w:spacing w:line="400" w:lineRule="exact"/>
      <w:ind w:left="630"/>
    </w:pPr>
    <w:rPr>
      <w:rFonts w:ascii="楷体_GB2312"/>
      <w:sz w:val="30"/>
      <w:szCs w:val="30"/>
    </w:rPr>
  </w:style>
  <w:style w:type="paragraph" w:styleId="5">
    <w:name w:val="Date"/>
    <w:basedOn w:val="1"/>
    <w:next w:val="1"/>
    <w:qFormat/>
    <w:uiPriority w:val="0"/>
    <w:rPr>
      <w:color w:val="000000"/>
      <w:kern w:val="0"/>
      <w:sz w:val="30"/>
    </w:rPr>
  </w:style>
  <w:style w:type="paragraph" w:styleId="6">
    <w:name w:val="footer"/>
    <w:basedOn w:val="1"/>
    <w:autoRedefine/>
    <w:qFormat/>
    <w:uiPriority w:val="0"/>
    <w:pPr>
      <w:tabs>
        <w:tab w:val="center" w:pos="4153"/>
        <w:tab w:val="right" w:pos="8306"/>
      </w:tabs>
      <w:snapToGrid w:val="0"/>
      <w:jc w:val="left"/>
    </w:pPr>
    <w:rPr>
      <w:kern w:val="0"/>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rPr>
      <w:sz w:val="24"/>
    </w:rPr>
  </w:style>
  <w:style w:type="paragraph" w:styleId="9">
    <w:name w:val="Body Text First Indent 2"/>
    <w:basedOn w:val="4"/>
    <w:autoRedefine/>
    <w:qFormat/>
    <w:uiPriority w:val="0"/>
    <w:pPr>
      <w:overflowPunct w:val="0"/>
      <w:adjustRightInd w:val="0"/>
      <w:spacing w:line="500" w:lineRule="exact"/>
      <w:ind w:firstLine="420" w:firstLineChars="200"/>
      <w:textAlignment w:val="baseline"/>
    </w:pPr>
    <w:rPr>
      <w:rFonts w:eastAsia="仿宋_GB2312"/>
      <w:kern w:val="28"/>
      <w:sz w:val="2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4">
    <w:name w:val="Default"/>
    <w:next w:val="15"/>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5">
    <w:name w:val="大标题"/>
    <w:basedOn w:val="1"/>
    <w:next w:val="9"/>
    <w:autoRedefine/>
    <w:qFormat/>
    <w:uiPriority w:val="0"/>
    <w:pPr>
      <w:jc w:val="center"/>
    </w:pPr>
    <w:rPr>
      <w:rFonts w:ascii="Arial" w:hAnsi="Arial" w:eastAsia="宋体"/>
      <w:b/>
      <w:sz w:val="28"/>
      <w:szCs w:val="24"/>
    </w:rPr>
  </w:style>
  <w:style w:type="paragraph" w:customStyle="1" w:styleId="16">
    <w:name w:val="列出段落1"/>
    <w:basedOn w:val="1"/>
    <w:autoRedefine/>
    <w:qFormat/>
    <w:uiPriority w:val="99"/>
    <w:pPr>
      <w:ind w:firstLine="420" w:firstLineChars="200"/>
    </w:pPr>
  </w:style>
  <w:style w:type="paragraph" w:customStyle="1" w:styleId="17">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8">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8355</Words>
  <Characters>8923</Characters>
  <Lines>0</Lines>
  <Paragraphs>0</Paragraphs>
  <TotalTime>0</TotalTime>
  <ScaleCrop>false</ScaleCrop>
  <LinksUpToDate>false</LinksUpToDate>
  <CharactersWithSpaces>9926</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张思远</cp:lastModifiedBy>
  <dcterms:modified xsi:type="dcterms:W3CDTF">2025-11-03T07:53:39Z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eyJoZGlkIjoiOWU3YmMxNGQ0NDE0NTRiYjQ3MWFkZjk1MWM2MTc2NWEiLCJ1c2VySWQiOiI0NDIzNjcyODQifQ==</vt:lpwstr>
  </property>
</Properties>
</file>