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（重复经颅磁刺激仪（一拖二）医院公开挂网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重复经颅磁刺激仪（一拖二）</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重复经颅磁刺激仪（一拖二）</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52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147"/>
        <w:gridCol w:w="2386"/>
      </w:tblGrid>
      <w:tr w14:paraId="23E8405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147"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96638B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是否允许进口产品</w:t>
            </w:r>
          </w:p>
        </w:tc>
      </w:tr>
      <w:tr w14:paraId="49C4BB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重复经颅磁刺激仪（一拖二）</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147"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25</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9DDA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bookmarkStart w:id="4" w:name="_GoBack"/>
      <w:bookmarkEnd w:id="4"/>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6B77D4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适应症：用于人体中枢神经刺激和外周神经刺激，还可用于神经电生理检查、康复科神经功能评定和精神科、神经科运动功能评定;配合药物，进行神经疾病引起的心境低落、失眠、性症状的辅助治疗，可用于脑神经及神经损伤性疾病的辅助治疗;可用于缓解肌肉骨骼疾病引起的疼痛。</w:t>
      </w:r>
    </w:p>
    <w:p w14:paraId="4DF72E9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（一）主机性能：</w:t>
      </w:r>
    </w:p>
    <w:p w14:paraId="32A2E16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1.刺激频率：0.1～80Hz，允差≤±2%（提供相关证明材料）。</w:t>
      </w:r>
    </w:p>
    <w:p w14:paraId="34705C3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2.刺激频率步长：1 Hz以下步长0.01Hz, 1Hz以上步长1Hz（提供相关证明材料）。</w:t>
      </w:r>
    </w:p>
    <w:p w14:paraId="720CB1F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3.最大磁感应强度：≥6T（提供相关证明材料）。</w:t>
      </w:r>
    </w:p>
    <w:p w14:paraId="74A8F29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4.脉冲上升时间：50μs ±10μs。</w:t>
      </w:r>
    </w:p>
    <w:p w14:paraId="7C6AB69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5.脉冲持续时间：320-360μs。</w:t>
      </w:r>
    </w:p>
    <w:p w14:paraId="0B2A4EE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6.磁感应强度最大变化率范围：≥90kT/s（提供相关证明材料）。</w:t>
      </w:r>
    </w:p>
    <w:p w14:paraId="3AB22AC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7.在设备连续工作时，具有手动停止磁场输出功能，可以通过按下停止按键使设备立即停止工作。</w:t>
      </w:r>
    </w:p>
    <w:p w14:paraId="0D26228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（二）冷却系统：</w:t>
      </w:r>
    </w:p>
    <w:p w14:paraId="31C6730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1.冷却方式：高效液冷散热系统，冷却液应无渗漏、无挥发现象。</w:t>
      </w:r>
    </w:p>
    <w:p w14:paraId="04E820B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2.冷却系统可保证设备24h持续工作。</w:t>
      </w:r>
    </w:p>
    <w:p w14:paraId="49982AE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3.冷却系统与刺激主机分体式设计，确保电液分离，无漏液风险，同时便于后期维护。（说明书或彩页截图证明）</w:t>
      </w:r>
    </w:p>
    <w:p w14:paraId="7650433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4.当冷却系统发生故障时，应有提示或停止磁场输出。</w:t>
      </w:r>
    </w:p>
    <w:p w14:paraId="760E7E1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5.冷却系统可以实时显示刺激线圈温度。</w:t>
      </w:r>
    </w:p>
    <w:p w14:paraId="13F45A8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6.温度保护系统：当刺激线圈温度≥40℃，磁刺激仪自动停止刺激输出。</w:t>
      </w:r>
    </w:p>
    <w:p w14:paraId="791605E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（三）刺激线圈：</w:t>
      </w:r>
    </w:p>
    <w:p w14:paraId="79E2281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1.标配儿童专用线圈2套，可同时做2人。</w:t>
      </w:r>
    </w:p>
    <w:p w14:paraId="6BC6701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2.后期可配深部线圈，深部线圈刺激深度可达6cm。（提供相关检验报告证明）</w:t>
      </w:r>
    </w:p>
    <w:p w14:paraId="2246577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3.后期可增配深部盔式线圈、圆形线圈、深部双锥型线圈、动物线圈、伪刺激线圈等科研线圈。</w:t>
      </w:r>
    </w:p>
    <w:p w14:paraId="73102A3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4.刺激线圈上具有强度调节按键与触发刺激按键，可调节刺激强度和触发刺激，方便临床快速检测运动阈值。（产品彩页或产品图片证明）</w:t>
      </w:r>
    </w:p>
    <w:p w14:paraId="39737DF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5.刺激线圈具有显示屏，可实时显示线圈刺激强度。（产品彩页或产品图片证明）</w:t>
      </w:r>
    </w:p>
    <w:p w14:paraId="6418634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6.线圈支持热插拔，方便临床快速更换线圈。</w:t>
      </w:r>
    </w:p>
    <w:p w14:paraId="4B96DD3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（四）MEP模块：</w:t>
      </w:r>
    </w:p>
    <w:p w14:paraId="505122A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1.MEP通道数：≥2通道。</w:t>
      </w:r>
    </w:p>
    <w:p w14:paraId="00D0C62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2.运动诱发电位检查模块支持无线传输功能。（提供相关证明材料）</w:t>
      </w:r>
    </w:p>
    <w:p w14:paraId="5BC9928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3.MEP采样率：≥100kHz。（提供相关证明材料）</w:t>
      </w:r>
    </w:p>
    <w:p w14:paraId="4D31B67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（五）软件系统：</w:t>
      </w:r>
    </w:p>
    <w:p w14:paraId="4F7321F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1.采用触屏一体机承载软件系统，无需使用鼠标即可操作，提高治疗师工作效率。一体机与工作站紧密固定，非笔记本直接放置在台面上，无跌落风险。（说明书或彩页截图证明）</w:t>
      </w:r>
    </w:p>
    <w:p w14:paraId="13169D2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2.刺激模式：具备单脉冲刺激、成对脉冲刺激、重复脉冲刺激、模式化刺激功能。</w:t>
      </w:r>
    </w:p>
    <w:p w14:paraId="21C989F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4.具备双人独立治疗功能，可独立调节每位患者的相关参数，如刺激频率、刺激部位、刺激强度、治疗时间、串数等。</w:t>
      </w:r>
    </w:p>
    <w:p w14:paraId="7BD57A4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3.在治疗过程中，能够实时采集患者肌电信号，进行电生理监测。</w:t>
      </w:r>
    </w:p>
    <w:p w14:paraId="0703DF7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4.内置儿童专用治疗方案，包含12大类疾病（脑瘫、发育迟缓、孤独症、ADHD、抽动障碍等），内置至少40个以上专属儿童方案，可一键开启治疗；支持自定义编辑方案，支持组合方案，供临床医生选择。</w:t>
      </w:r>
    </w:p>
    <w:p w14:paraId="5C9DAE0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5.开放式设计平台，具备延时触发功能。</w:t>
      </w:r>
    </w:p>
    <w:p w14:paraId="6BD2CD8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6.治疗界面提供大脑解剖定位图辅助定位。</w:t>
      </w:r>
    </w:p>
    <w:p w14:paraId="5CC8901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（六）其他：</w:t>
      </w:r>
    </w:p>
    <w:p w14:paraId="0013CCE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1.设备使用期限：10年。（提供说明书证明）</w:t>
      </w:r>
    </w:p>
    <w:p w14:paraId="023D7B2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2.儿童随动定位辅助模块：具有2套驱动装置及固定支架，刺激线圈在治疗时和靶区位置保持相对固定，保证脉冲不丢失，可实现智能跟随功能，保证儿童患者持续精准治疗。（提供证明材料）</w:t>
      </w:r>
    </w:p>
    <w:p w14:paraId="75A0F6A5">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3.标配儿童版10-20脑电定位帽。</w:t>
      </w: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338AE56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重复经颅磁刺激仪（一拖二）</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重复经颅磁刺激仪（一拖二）</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7"/>
        <w:gridCol w:w="1155"/>
        <w:gridCol w:w="1165"/>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17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55"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165"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17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重复经颅磁刺激仪（一拖二）</w:t>
            </w:r>
          </w:p>
        </w:tc>
        <w:tc>
          <w:tcPr>
            <w:tcW w:w="1155"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165"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14:textFill>
            <w14:solidFill>
              <w14:schemeClr w14:val="tx1"/>
            </w14:solidFill>
          </w14:textFill>
        </w:rPr>
        <w:t>。</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3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1BB56A7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0AE017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EA40E8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30E7CC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0AEAEC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2025</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3CB7BA2">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9D3BB5"/>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78E4F5D"/>
    <w:rsid w:val="67F3562A"/>
    <w:rsid w:val="680E122C"/>
    <w:rsid w:val="6A4E1D6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8868</Words>
  <Characters>9290</Characters>
  <Lines>0</Lines>
  <Paragraphs>0</Paragraphs>
  <TotalTime>4</TotalTime>
  <ScaleCrop>false</ScaleCrop>
  <LinksUpToDate>false</LinksUpToDate>
  <CharactersWithSpaces>10210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2025-10-23T03:39:16Z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