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14"/>
        <w:snapToGrid w:val="0"/>
        <w:jc w:val="center"/>
        <w:rPr>
          <w:rFonts w:hint="eastAsia" w:ascii="Arial" w:hAnsi="Arial" w:eastAsia="方正小标宋简体" w:cs="Arial"/>
          <w:color w:val="auto"/>
          <w:sz w:val="72"/>
          <w:szCs w:val="72"/>
          <w:lang w:eastAsia="zh-CN"/>
        </w:rPr>
      </w:pPr>
      <w:bookmarkStart w:id="0" w:name="_Toc16523570"/>
    </w:p>
    <w:p w14:paraId="624C34B6">
      <w:pPr>
        <w:pStyle w:val="14"/>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4"/>
        <w:snapToGrid w:val="0"/>
        <w:jc w:val="center"/>
        <w:rPr>
          <w:rFonts w:hint="eastAsia" w:ascii="Arial" w:hAnsi="Arial" w:eastAsia="方正小标宋简体" w:cs="Arial"/>
          <w:sz w:val="72"/>
          <w:szCs w:val="72"/>
        </w:rPr>
      </w:pPr>
    </w:p>
    <w:p w14:paraId="16E58BC0">
      <w:pPr>
        <w:pStyle w:val="14"/>
        <w:snapToGrid w:val="0"/>
        <w:jc w:val="center"/>
        <w:rPr>
          <w:rFonts w:hint="eastAsia" w:ascii="Arial" w:hAnsi="Arial" w:eastAsia="方正小标宋简体" w:cs="Arial"/>
          <w:sz w:val="72"/>
          <w:szCs w:val="72"/>
        </w:rPr>
      </w:pPr>
    </w:p>
    <w:p w14:paraId="7D3C3256">
      <w:pPr>
        <w:pStyle w:val="14"/>
        <w:snapToGrid w:val="0"/>
        <w:jc w:val="center"/>
        <w:rPr>
          <w:rFonts w:hint="eastAsia" w:ascii="Arial" w:hAnsi="Arial" w:eastAsia="方正小标宋简体" w:cs="Arial"/>
          <w:sz w:val="72"/>
          <w:szCs w:val="72"/>
        </w:rPr>
      </w:pPr>
    </w:p>
    <w:p w14:paraId="11608FC0">
      <w:pPr>
        <w:pStyle w:val="14"/>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14"/>
        <w:snapToGrid w:val="0"/>
        <w:jc w:val="center"/>
        <w:rPr>
          <w:rFonts w:ascii="Arial" w:hAnsi="Arial" w:cs="Arial"/>
          <w:sz w:val="32"/>
          <w:szCs w:val="32"/>
        </w:rPr>
      </w:pPr>
    </w:p>
    <w:p w14:paraId="46311545">
      <w:pPr>
        <w:pStyle w:val="15"/>
        <w:rPr>
          <w:rFonts w:ascii="Arial" w:hAnsi="Arial" w:cs="Arial"/>
          <w:sz w:val="32"/>
          <w:szCs w:val="32"/>
        </w:rPr>
      </w:pPr>
    </w:p>
    <w:p w14:paraId="5F00027D">
      <w:pPr>
        <w:pStyle w:val="9"/>
        <w:rPr>
          <w:rFonts w:ascii="Arial" w:hAnsi="Arial" w:cs="Arial"/>
          <w:sz w:val="32"/>
          <w:szCs w:val="32"/>
        </w:rPr>
      </w:pPr>
    </w:p>
    <w:p w14:paraId="790E99FE">
      <w:pPr>
        <w:pStyle w:val="9"/>
        <w:rPr>
          <w:rFonts w:ascii="Arial" w:hAnsi="Arial" w:cs="Arial"/>
          <w:sz w:val="32"/>
          <w:szCs w:val="32"/>
        </w:rPr>
      </w:pPr>
    </w:p>
    <w:p w14:paraId="6D6CF557">
      <w:pPr>
        <w:pStyle w:val="9"/>
        <w:rPr>
          <w:rFonts w:ascii="Arial" w:hAnsi="Arial" w:cs="Arial"/>
          <w:sz w:val="32"/>
          <w:szCs w:val="32"/>
        </w:rPr>
      </w:pPr>
    </w:p>
    <w:p w14:paraId="77BABE1C">
      <w:pPr>
        <w:pStyle w:val="9"/>
        <w:rPr>
          <w:rFonts w:ascii="Arial" w:hAnsi="Arial" w:cs="Arial"/>
          <w:sz w:val="32"/>
          <w:szCs w:val="32"/>
        </w:rPr>
      </w:pPr>
    </w:p>
    <w:p w14:paraId="1C0FB295">
      <w:pPr>
        <w:pStyle w:val="9"/>
        <w:rPr>
          <w:rFonts w:ascii="Arial" w:hAnsi="Arial" w:cs="Arial"/>
          <w:sz w:val="32"/>
          <w:szCs w:val="32"/>
        </w:rPr>
      </w:pPr>
    </w:p>
    <w:p w14:paraId="4C96CB97">
      <w:pPr>
        <w:pStyle w:val="9"/>
        <w:rPr>
          <w:rFonts w:ascii="Arial" w:hAnsi="Arial" w:cs="Arial"/>
          <w:sz w:val="32"/>
          <w:szCs w:val="32"/>
        </w:rPr>
      </w:pPr>
    </w:p>
    <w:p w14:paraId="1825AAC5">
      <w:pPr>
        <w:pStyle w:val="9"/>
        <w:rPr>
          <w:rFonts w:ascii="Arial" w:hAnsi="Arial" w:cs="Arial"/>
          <w:sz w:val="32"/>
          <w:szCs w:val="32"/>
        </w:rPr>
      </w:pPr>
    </w:p>
    <w:p w14:paraId="1B92FFA5">
      <w:pPr>
        <w:pStyle w:val="14"/>
        <w:snapToGrid w:val="0"/>
        <w:jc w:val="center"/>
        <w:rPr>
          <w:rFonts w:ascii="Arial" w:hAnsi="Arial" w:cs="Arial"/>
          <w:sz w:val="32"/>
          <w:szCs w:val="32"/>
        </w:rPr>
      </w:pPr>
    </w:p>
    <w:p w14:paraId="3EB4A47A">
      <w:pPr>
        <w:pStyle w:val="14"/>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（团体生物反馈治疗仪（一拖六）+肌电生物反馈仪医院公开挂网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五</w:t>
      </w:r>
      <w:r>
        <w:rPr>
          <w:rFonts w:hint="eastAsia" w:ascii="宋体" w:hAnsi="宋体" w:cs="宋体"/>
          <w:bCs/>
          <w:sz w:val="32"/>
          <w:szCs w:val="32"/>
        </w:rPr>
        <w:t>年</w:t>
      </w:r>
      <w:r>
        <w:rPr>
          <w:rFonts w:hint="eastAsia" w:ascii="宋体" w:hAnsi="宋体" w:cs="宋体"/>
          <w:bCs/>
          <w:sz w:val="32"/>
          <w:szCs w:val="32"/>
          <w:lang w:eastAsia="zh-CN"/>
        </w:rPr>
        <w:t>十</w:t>
      </w:r>
      <w:r>
        <w:rPr>
          <w:rFonts w:hint="eastAsia" w:ascii="宋体" w:hAnsi="宋体" w:cs="宋体"/>
          <w:bCs/>
          <w:sz w:val="32"/>
          <w:szCs w:val="32"/>
        </w:rPr>
        <w:t>月</w:t>
      </w: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团体生物反馈治疗仪（一拖六）+肌电生物反馈仪</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435321EC">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团体生物反馈治疗仪（一拖六）+肌电生物反馈仪</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4"/>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3E8934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C98D1F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1227066">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5"/>
        <w:rPr>
          <w:rFonts w:hint="eastAsia"/>
          <w:lang w:val="en-US" w:eastAsia="zh-CN"/>
        </w:rPr>
      </w:pPr>
    </w:p>
    <w:p w14:paraId="687E9235">
      <w:pPr>
        <w:pStyle w:val="15"/>
        <w:jc w:val="both"/>
        <w:rPr>
          <w:rFonts w:hint="default"/>
          <w:lang w:val="en-US" w:eastAsia="zh-CN"/>
        </w:rPr>
      </w:pPr>
    </w:p>
    <w:p w14:paraId="7AECD5DA">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5"/>
        <w:rPr>
          <w:rFonts w:hint="eastAsia" w:ascii="宋体" w:hAnsi="宋体" w:cs="宋体"/>
          <w:b/>
          <w:bCs/>
          <w:color w:val="auto"/>
          <w:sz w:val="44"/>
          <w:szCs w:val="44"/>
          <w:lang w:val="en-US" w:eastAsia="zh-CN"/>
        </w:rPr>
      </w:pPr>
    </w:p>
    <w:p w14:paraId="69D61396">
      <w:pPr>
        <w:pStyle w:val="9"/>
        <w:rPr>
          <w:rFonts w:hint="eastAsia" w:ascii="宋体" w:hAnsi="宋体" w:cs="宋体"/>
          <w:b/>
          <w:bCs/>
          <w:color w:val="auto"/>
          <w:sz w:val="44"/>
          <w:szCs w:val="44"/>
          <w:lang w:val="en-US" w:eastAsia="zh-CN"/>
        </w:rPr>
      </w:pPr>
    </w:p>
    <w:p w14:paraId="0948A873">
      <w:pPr>
        <w:rPr>
          <w:rFonts w:hint="eastAsia" w:ascii="宋体" w:hAnsi="宋体" w:cs="宋体"/>
          <w:b/>
          <w:bCs/>
          <w:color w:val="auto"/>
          <w:sz w:val="44"/>
          <w:szCs w:val="44"/>
          <w:lang w:val="en-US" w:eastAsia="zh-CN"/>
        </w:rPr>
      </w:pPr>
    </w:p>
    <w:p w14:paraId="0D958E9E">
      <w:pPr>
        <w:pStyle w:val="13"/>
        <w:rPr>
          <w:rFonts w:hint="eastAsia"/>
          <w:lang w:val="en-US" w:eastAsia="zh-CN"/>
        </w:rPr>
      </w:pPr>
    </w:p>
    <w:p w14:paraId="7E3117C8">
      <w:pPr>
        <w:pStyle w:val="2"/>
        <w:rPr>
          <w:rFonts w:hint="eastAsia" w:ascii="宋体" w:hAnsi="宋体" w:cs="宋体"/>
          <w:b/>
          <w:bCs/>
          <w:color w:val="auto"/>
          <w:sz w:val="44"/>
          <w:szCs w:val="44"/>
          <w:lang w:val="en-US" w:eastAsia="zh-CN"/>
        </w:rPr>
      </w:pPr>
    </w:p>
    <w:p w14:paraId="73DDB99C">
      <w:pP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0"/>
        <w:tblW w:w="9613"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310"/>
      </w:tblGrid>
      <w:tr w14:paraId="2390E0C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eastAsia="zh-CN"/>
              </w:rPr>
              <w:t>配件</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4B72BB39">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是否允许进口产品</w:t>
            </w:r>
          </w:p>
        </w:tc>
      </w:tr>
      <w:tr w14:paraId="5C34DC6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团体生物反馈治疗仪（一拖六）</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29.5</w:t>
            </w:r>
          </w:p>
        </w:tc>
        <w:tc>
          <w:tcPr>
            <w:tcW w:w="2310" w:type="dxa"/>
            <w:vMerge w:val="restart"/>
            <w:tcBorders>
              <w:top w:val="single" w:color="000000" w:sz="6" w:space="0"/>
              <w:left w:val="single" w:color="000000" w:sz="6" w:space="0"/>
              <w:right w:val="single" w:color="auto" w:sz="4" w:space="0"/>
            </w:tcBorders>
            <w:shd w:val="clear" w:color="auto" w:fill="auto"/>
            <w:tcMar>
              <w:top w:w="75" w:type="dxa"/>
              <w:left w:w="150" w:type="dxa"/>
              <w:bottom w:w="75" w:type="dxa"/>
              <w:right w:w="150" w:type="dxa"/>
            </w:tcMar>
            <w:vAlign w:val="center"/>
          </w:tcPr>
          <w:p w14:paraId="7797868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否</w:t>
            </w:r>
          </w:p>
        </w:tc>
      </w:tr>
      <w:tr w14:paraId="43BFEAE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63E2F6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3D0CFA6">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肌电生物反馈仪</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0E16AB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0293F9F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2.5</w:t>
            </w:r>
          </w:p>
        </w:tc>
        <w:tc>
          <w:tcPr>
            <w:tcW w:w="2310" w:type="dxa"/>
            <w:vMerge w:val="continue"/>
            <w:tcBorders>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7AB1E7E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p>
        </w:tc>
      </w:tr>
      <w:tr w14:paraId="1E3FCE0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3328"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1C8D6FB">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合计</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09545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7E225F2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32</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D6BD17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p>
        </w:tc>
      </w:tr>
    </w:tbl>
    <w:p w14:paraId="29FFF7F5">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765613A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37DD537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一、团体生物反馈治疗仪（一拖六）</w:t>
      </w:r>
    </w:p>
    <w:p w14:paraId="19EB8A4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（一）、适用范围：</w:t>
      </w:r>
    </w:p>
    <w:p w14:paraId="432042B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 适用于神经精神疾病的生物反馈治疗（ADHD、抽动障碍、焦虑障碍、抑郁障碍、失眠多梦）。</w:t>
      </w:r>
    </w:p>
    <w:p w14:paraId="4F558BB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（二）、技术参数</w:t>
      </w:r>
    </w:p>
    <w:p w14:paraId="6188BAE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1、设备需通过食品药品监督管理局检验，批准后发给独立医疗器械注册证，。</w:t>
      </w:r>
    </w:p>
    <w:p w14:paraId="33F6978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2、无食品药品监督管理部门处理记录。</w:t>
      </w:r>
    </w:p>
    <w:p w14:paraId="27051D5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3、主要由信号采集器、生物反馈仪软件、信号接收器组成。其中信号采集器包含表面肌电传感器、重复性脉搏血氧饱和度探头、脑电传感器三部分。（需提供证明材料）</w:t>
      </w:r>
    </w:p>
    <w:p w14:paraId="7E4DCE9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4、符合国家医药行业YY0903-2013《脑电生物反馈仪》标准。</w:t>
      </w:r>
    </w:p>
    <w:p w14:paraId="410D47A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5、信号采集器</w:t>
      </w:r>
    </w:p>
    <w:p w14:paraId="6503CDB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5.1与患者接触的材料原发性刺激反应极轻微，无致敏性，细胞毒性分级为0级、无细胞毒性作用。该材料必须进行生物相容性的试验或评价。（需提供证明材料）</w:t>
      </w:r>
    </w:p>
    <w:p w14:paraId="3892721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5.2保证患者在临床治疗过程中安全可靠，传感器不允许带线缆。</w:t>
      </w:r>
    </w:p>
    <w:p w14:paraId="492B679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5.3采用无线传输方式技术，可实现1个团体处理器对应多人信号采集器，对多人进行数据采集、分析、处理与交换，配置6套，以后可升级更多人。</w:t>
      </w:r>
    </w:p>
    <w:p w14:paraId="34B0000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5.4无线数据传输性能要求：信号采集器和信号接收器相距10米时，无线传输丢包率小于3%。（需附检验报告）</w:t>
      </w:r>
    </w:p>
    <w:p w14:paraId="03644A7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5.5、实时采集脑电、肌电等生理信号，AD采样位数≥24bit，AD采样率≥2000Hz。</w:t>
      </w:r>
    </w:p>
    <w:p w14:paraId="7C47AD2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5.6、脑电信号共模抑制比：各通道不小于100dB，噪声电平：不大于2μV。（需提供证明材料）</w:t>
      </w:r>
    </w:p>
    <w:p w14:paraId="31F017B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5.7、信号采集具备状态指示灯，可随放松/注意集中指数变化呈现不同状态颜色；具备耳畔提示音功能，一对一干预患者。（需提供证明材料）</w:t>
      </w:r>
    </w:p>
    <w:p w14:paraId="672A28F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6、信号匹配：采用无线连接，头带采集器支持通过蓝牙与训练端连接。</w:t>
      </w:r>
    </w:p>
    <w:p w14:paraId="366FC79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7、集中管理端可实现患者档案管理、报告查看与打印、每台训练终端状态监控与数据监测、治疗方案推送等。</w:t>
      </w:r>
    </w:p>
    <w:p w14:paraId="5C496C1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8、治疗方案</w:t>
      </w:r>
    </w:p>
    <w:p w14:paraId="16AF62D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8.1提供静息评估对患者心理状态和生理状态进行评估。</w:t>
      </w:r>
    </w:p>
    <w:p w14:paraId="543EA65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8.2提供呼吸放松治疗、松弛治疗、暗示治疗、音乐治疗、注意力治疗/训练等对用户进行心理干预与治疗。</w:t>
      </w:r>
    </w:p>
    <w:p w14:paraId="5D60EB1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8.3脑电参数可进行单独反馈，具备不同疾病/亚型个体化及团体的脑电生物反馈治疗方案。</w:t>
      </w:r>
    </w:p>
    <w:p w14:paraId="47E647B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8.4可针对α、β、SMR、θ、δ、TBR等多类型脑电波进行单一及组合训练。</w:t>
      </w:r>
    </w:p>
    <w:p w14:paraId="474B18E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8.5提供纯反馈式、互动操作式等多类反馈训练，增加患者治疗趣味性与参与度。</w:t>
      </w:r>
    </w:p>
    <w:p w14:paraId="6C1ED94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8.6提供用于辅助诊断并分型儿童多动症的视觉/听觉/视听觉组合功能的持续性操作测试：IVA-CPT视听整合连续测试软件（提供软件著作权登记证书）</w:t>
      </w:r>
    </w:p>
    <w:p w14:paraId="453AAF5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8.7任一训练终端均可支持独立个体式训练，多个训练终端可支持同时进行不同训练方案，互不干扰。（提供证明）</w:t>
      </w:r>
    </w:p>
    <w:p w14:paraId="1E34C4A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9、管理收纳：具备信号采集器磁吸无线式充电、收纳功能。（需提供证明材料）</w:t>
      </w:r>
    </w:p>
    <w:p w14:paraId="099A4CE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10、报告模式：治疗报告由评估、治疗、训练项目构成，包括脑电、心率变异性、肌电数据。</w:t>
      </w:r>
    </w:p>
    <w:p w14:paraId="1EADB68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p>
    <w:p w14:paraId="688F356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二、肌电生物反馈仪</w:t>
      </w:r>
    </w:p>
    <w:p w14:paraId="2865A69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（一）、适用范围：</w:t>
      </w:r>
    </w:p>
    <w:p w14:paraId="7AFA1A6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对患者的体表肌电信号进行采集、分析和反馈训练，可以对患者的肌肉施加电刺激来帮助诊断和恢复患者的肌肉功能障碍</w:t>
      </w:r>
    </w:p>
    <w:p w14:paraId="2450135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（二）、技术参数</w:t>
      </w:r>
    </w:p>
    <w:p w14:paraId="0D96880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1、硬件参数：</w:t>
      </w:r>
    </w:p>
    <w:p w14:paraId="0A477ED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 独立4通道设备。</w:t>
      </w:r>
    </w:p>
    <w:p w14:paraId="4C17353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 AD采样率≥8192 Hz</w:t>
      </w:r>
    </w:p>
    <w:p w14:paraId="4D03985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 AD采样位数：≥16</w:t>
      </w:r>
    </w:p>
    <w:p w14:paraId="3760E0D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1.4、 刺激强度：0-100mA</w:t>
      </w:r>
    </w:p>
    <w:p w14:paraId="5CCFD94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1.5、刺激频率：0、5-999Hz</w:t>
      </w:r>
    </w:p>
    <w:p w14:paraId="5FF6EEB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1.6、脉冲宽度：10μs～1000μs</w:t>
      </w:r>
    </w:p>
    <w:p w14:paraId="097BFE9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1.7、 上升下降时间：0-10s</w:t>
      </w:r>
    </w:p>
    <w:p w14:paraId="115D8CF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1.8、 内置放大器带宽：20Hz～500Hz(-3dB) </w:t>
      </w:r>
    </w:p>
    <w:p w14:paraId="4CE6F56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1.9、 内置放大器测量范围：1-999μV（r、m、s）</w:t>
      </w:r>
    </w:p>
    <w:p w14:paraId="04AC0D5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1.10、 内置放大器最高分辨率：≤2μV(r、m、s) </w:t>
      </w:r>
    </w:p>
    <w:p w14:paraId="1F40B2E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1.11、 内置放大器输入噪声＜1μV（r、m、s）</w:t>
      </w:r>
    </w:p>
    <w:p w14:paraId="7B8F00B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1.12、 刺激波形：双相平衡波</w:t>
      </w:r>
    </w:p>
    <w:p w14:paraId="424849A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1.13、 彩色液晶触摸屏</w:t>
      </w:r>
    </w:p>
    <w:p w14:paraId="6D421FA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2、软件参数：</w:t>
      </w:r>
    </w:p>
    <w:p w14:paraId="5F69D78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 内置嵌入式软件：具有多部位联合治疗、儿童基础康复和评估反馈三大工作模块，且可根据患儿需求编辑个性化治疗方案；</w:t>
      </w:r>
    </w:p>
    <w:p w14:paraId="574B04E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2.2、 针对上肢、下肢、头颈及躯干，内置十七种多部位联合治疗专用方案，包括：上肢支撑欠佳、肩关节半脱位等常用方案，内置二十多种儿童基础康复方案，包括针对不同部位的肌力增强，解痉挛方案等；</w:t>
      </w:r>
    </w:p>
    <w:p w14:paraId="2BD32DB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2.3、 具有神经肌肉电刺激功能（NMES）；</w:t>
      </w:r>
    </w:p>
    <w:p w14:paraId="0E7132A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2.4、 具有双通道肌电触发电刺激功能（EMG Trigger Stim,ETS）；强化正反馈，根据肌电信号实时改变电刺激强度，肌电值越大，电流强度也越大；强调患者的主观运动，并提供积极、正向的反馈，帮助患者最大限度的恢复运动功能；</w:t>
      </w:r>
    </w:p>
    <w:p w14:paraId="357FCAD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2.5、 具有对侧控制型功能电刺激功能（CCFES）：CCFES以健侧肌电信号控制患侧进行对称性运动，提供双侧的皮质驱动，重塑中枢；促进患者主动再学习，恢复其对患侧的控制能力，激发患者康复的信心；</w:t>
      </w:r>
    </w:p>
    <w:p w14:paraId="0033F69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2.6、神经肌肉电刺激方案可实现多人，多通道，多方案，不同步治疗。</w:t>
      </w:r>
    </w:p>
    <w:p w14:paraId="11768E2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2.7、具有时序模式和独立刺激模式可选，提供全面的康复治疗方案。</w:t>
      </w:r>
    </w:p>
    <w:p w14:paraId="1D259B2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2.8、 具有吞咽功能障碍治疗方案，并配有专用吞咽电极片。</w:t>
      </w:r>
    </w:p>
    <w:p w14:paraId="16507C0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2.9、可编辑个性化治疗方案，自定义临床方案刺激时间、间歇时间、波升时间、波降时间、刺激频率、脉宽可调，且推荐临床常用的治疗参数；</w:t>
      </w:r>
    </w:p>
    <w:p w14:paraId="09B355B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2.10、提供常规刺激、载波调制和变频电刺激三种刺激形式选择，方案通道可自定义；</w:t>
      </w:r>
    </w:p>
    <w:p w14:paraId="440DC26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2.11、具备表面肌电评估功能，实时评估患者肌力情况，可出具评估报告，评估报告可存储及导出；</w:t>
      </w:r>
    </w:p>
    <w:p w14:paraId="083D453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2.12、 具有专业两通道脑瘫评估功能，针对脑瘫患儿对放松期、被动功能位及自主收缩进行测试。</w:t>
      </w:r>
    </w:p>
    <w:p w14:paraId="248F1F9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2.13、 具备多媒体生物反馈训练功能，5大类动画反馈：可进行肌力放松、增强、耐力、协调、精准训练。</w:t>
      </w:r>
    </w:p>
    <w:p w14:paraId="611BCFD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2.14、为了安全该设备必须为儿童专属设备。</w:t>
      </w:r>
    </w:p>
    <w:p w14:paraId="14221D8E">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52F2D61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1、运输、装卸、培训、安装调试：由中标人负责承担，最终通过使用科室、设备科及相关部门确认验收交付使用。国产设备交付，设备必须为6个月内生产的产品；进口设备交付，设备必须为一年内生产的产品。</w:t>
      </w:r>
    </w:p>
    <w:p w14:paraId="7A6A548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14:paraId="2C81AA6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14:paraId="72F50B4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3年后支付10%余款给乙方。</w:t>
      </w:r>
    </w:p>
    <w:p w14:paraId="530B798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 3年，终身维修。验收时出具原厂售后质保承诺书，质保期内每年巡检一次，并提交巡检记录。质保期内出现故障，1小时响应，响应后24小时上门服务。</w:t>
      </w:r>
    </w:p>
    <w:p w14:paraId="7C58652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14:paraId="46A704C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00F75EB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5F5BAF8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5CD67D0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29F508D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5577890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5083B53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05B41D4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362E0B9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0FC5BB9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39A301C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4FC697A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6B8B7EE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53D8418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07EEB1DF">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0148216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338AE56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5323696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团体生物反馈治疗仪（一拖六）+肌电生物反馈仪</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团体生物反馈治疗仪（一拖六）+肌电生物反馈仪</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06F0EC1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0981DED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1 设备名称、品牌、型号、价格</w:t>
      </w:r>
    </w:p>
    <w:tbl>
      <w:tblPr>
        <w:tblStyle w:val="10"/>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77"/>
        <w:gridCol w:w="1155"/>
        <w:gridCol w:w="1165"/>
        <w:gridCol w:w="1320"/>
        <w:gridCol w:w="940"/>
        <w:gridCol w:w="1654"/>
      </w:tblGrid>
      <w:tr w14:paraId="483CC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2177" w:type="dxa"/>
            <w:vAlign w:val="top"/>
          </w:tcPr>
          <w:p w14:paraId="3EDEC36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155" w:type="dxa"/>
            <w:vAlign w:val="top"/>
          </w:tcPr>
          <w:p w14:paraId="68D30D3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165" w:type="dxa"/>
            <w:vAlign w:val="top"/>
          </w:tcPr>
          <w:p w14:paraId="35C702A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7DD1C20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6C4E50C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718090D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0999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2177" w:type="dxa"/>
            <w:vAlign w:val="top"/>
          </w:tcPr>
          <w:p w14:paraId="1469BBF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团体生物反馈治疗仪（一拖六）</w:t>
            </w:r>
          </w:p>
        </w:tc>
        <w:tc>
          <w:tcPr>
            <w:tcW w:w="1155" w:type="dxa"/>
            <w:vAlign w:val="center"/>
          </w:tcPr>
          <w:p w14:paraId="15E622E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165" w:type="dxa"/>
            <w:vAlign w:val="top"/>
          </w:tcPr>
          <w:p w14:paraId="2F0911D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7F69A41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vAlign w:val="top"/>
          </w:tcPr>
          <w:p w14:paraId="07DC106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654" w:type="dxa"/>
            <w:vAlign w:val="top"/>
          </w:tcPr>
          <w:p w14:paraId="4213476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22A15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2177" w:type="dxa"/>
            <w:vAlign w:val="top"/>
          </w:tcPr>
          <w:p w14:paraId="34F154CC">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肌电生物反馈仪</w:t>
            </w:r>
          </w:p>
        </w:tc>
        <w:tc>
          <w:tcPr>
            <w:tcW w:w="1155" w:type="dxa"/>
            <w:vAlign w:val="center"/>
          </w:tcPr>
          <w:p w14:paraId="33117A4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165" w:type="dxa"/>
            <w:vAlign w:val="top"/>
          </w:tcPr>
          <w:p w14:paraId="32459F90">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0134CB2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vAlign w:val="top"/>
          </w:tcPr>
          <w:p w14:paraId="3F8EEDB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1</w:t>
            </w:r>
          </w:p>
        </w:tc>
        <w:tc>
          <w:tcPr>
            <w:tcW w:w="1654" w:type="dxa"/>
            <w:vAlign w:val="top"/>
          </w:tcPr>
          <w:p w14:paraId="4EC185D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616C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4117F420">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011B13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 本合同约定价格为固定总价，不因物价、市场波动变更，约定价格包括且不限于设计费、材料费、人工费、安装费、包装费、运输费、装卸费、调试费、接口费、检测费、检验费、税费、保险费、售后服务费、附随服务费等在内所有费用。 </w:t>
      </w:r>
    </w:p>
    <w:p w14:paraId="59AE944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r>
        <w:rPr>
          <w:rFonts w:hint="eastAsia" w:ascii="宋体" w:hAnsi="宋体" w:cs="宋体"/>
          <w:color w:val="000000" w:themeColor="text1"/>
          <w:sz w:val="24"/>
          <w:szCs w:val="24"/>
          <w:highlight w:val="none"/>
          <w14:textFill>
            <w14:solidFill>
              <w14:schemeClr w14:val="tx1"/>
            </w14:solidFill>
          </w14:textFill>
        </w:rPr>
        <w:t>。</w:t>
      </w:r>
    </w:p>
    <w:p w14:paraId="1CC3299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063814F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cs="宋体"/>
          <w:color w:val="000000" w:themeColor="text1"/>
          <w:sz w:val="24"/>
          <w:szCs w:val="24"/>
          <w:highlight w:val="none"/>
          <w:u w:val="single"/>
          <w:lang w:val="en-US" w:eastAsia="zh-CN"/>
          <w14:textFill>
            <w14:solidFill>
              <w14:schemeClr w14:val="tx1"/>
            </w14:solidFill>
          </w14:textFill>
        </w:rPr>
        <w:t>15</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6F612A4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3546F41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60F5434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0DBC8AD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FF0000"/>
          <w:sz w:val="24"/>
          <w:szCs w:val="24"/>
          <w:highlight w:val="none"/>
          <w:lang w:val="en-US" w:eastAsia="zh-CN"/>
        </w:rPr>
        <w:t>如乙方应交付的设备属于国产</w:t>
      </w:r>
      <w:r>
        <w:rPr>
          <w:rFonts w:hint="eastAsia" w:ascii="宋体" w:hAnsi="宋体" w:cs="宋体"/>
          <w:color w:val="FF0000"/>
          <w:sz w:val="24"/>
          <w:szCs w:val="24"/>
          <w:highlight w:val="none"/>
          <w:lang w:val="en-US" w:eastAsia="zh-CN"/>
        </w:rPr>
        <w:t>设备，则应保证该设备为交付时起近</w:t>
      </w:r>
      <w:r>
        <w:rPr>
          <w:rFonts w:hint="eastAsia" w:ascii="宋体" w:hAnsi="宋体" w:cs="宋体"/>
          <w:color w:val="FF0000"/>
          <w:sz w:val="24"/>
          <w:szCs w:val="24"/>
          <w:highlight w:val="none"/>
          <w:lang w:eastAsia="zh-CN"/>
        </w:rPr>
        <w:t>6个月内生产的产品；</w:t>
      </w:r>
      <w:r>
        <w:rPr>
          <w:rFonts w:hint="eastAsia" w:ascii="宋体" w:hAnsi="宋体" w:cs="宋体"/>
          <w:color w:val="FF0000"/>
          <w:sz w:val="24"/>
          <w:szCs w:val="24"/>
          <w:highlight w:val="none"/>
          <w:lang w:val="en-US" w:eastAsia="zh-CN"/>
        </w:rPr>
        <w:t>如乙方</w:t>
      </w:r>
      <w:r>
        <w:rPr>
          <w:rFonts w:hint="eastAsia" w:ascii="宋体" w:hAnsi="宋体" w:eastAsia="宋体" w:cs="宋体"/>
          <w:color w:val="FF0000"/>
          <w:sz w:val="24"/>
          <w:szCs w:val="24"/>
          <w:highlight w:val="none"/>
          <w:lang w:val="en-US" w:eastAsia="zh-CN"/>
        </w:rPr>
        <w:t>应</w:t>
      </w:r>
      <w:r>
        <w:rPr>
          <w:rFonts w:hint="eastAsia" w:ascii="宋体" w:hAnsi="宋体" w:cs="宋体"/>
          <w:color w:val="FF0000"/>
          <w:sz w:val="24"/>
          <w:szCs w:val="24"/>
          <w:highlight w:val="none"/>
          <w:lang w:val="en-US" w:eastAsia="zh-CN"/>
        </w:rPr>
        <w:t>交付的设备属于</w:t>
      </w:r>
      <w:r>
        <w:rPr>
          <w:rFonts w:hint="eastAsia" w:ascii="宋体" w:hAnsi="宋体" w:eastAsia="宋体" w:cs="宋体"/>
          <w:color w:val="FF0000"/>
          <w:sz w:val="24"/>
          <w:szCs w:val="24"/>
          <w:highlight w:val="none"/>
          <w:lang w:val="en-US" w:eastAsia="zh-CN"/>
        </w:rPr>
        <w:t>进口设备</w:t>
      </w:r>
      <w:r>
        <w:rPr>
          <w:rFonts w:hint="eastAsia" w:ascii="宋体" w:hAnsi="宋体" w:cs="宋体"/>
          <w:color w:val="FF0000"/>
          <w:sz w:val="24"/>
          <w:szCs w:val="24"/>
          <w:highlight w:val="none"/>
          <w:lang w:val="en-US" w:eastAsia="zh-CN"/>
        </w:rPr>
        <w:t>，则应保证该设备</w:t>
      </w:r>
      <w:r>
        <w:rPr>
          <w:rFonts w:hint="eastAsia" w:ascii="宋体" w:hAnsi="宋体" w:cs="宋体"/>
          <w:color w:val="FF0000"/>
          <w:sz w:val="24"/>
          <w:szCs w:val="24"/>
          <w:highlight w:val="none"/>
          <w:lang w:eastAsia="zh-CN"/>
        </w:rPr>
        <w:t>为</w:t>
      </w:r>
      <w:r>
        <w:rPr>
          <w:rFonts w:hint="eastAsia" w:ascii="宋体" w:hAnsi="宋体" w:cs="宋体"/>
          <w:color w:val="FF0000"/>
          <w:sz w:val="24"/>
          <w:szCs w:val="24"/>
          <w:highlight w:val="none"/>
          <w:lang w:val="en-US" w:eastAsia="zh-CN"/>
        </w:rPr>
        <w:t>交付时起近一年</w:t>
      </w:r>
      <w:r>
        <w:rPr>
          <w:rFonts w:hint="eastAsia" w:ascii="宋体" w:hAnsi="宋体" w:cs="宋体"/>
          <w:color w:val="FF0000"/>
          <w:sz w:val="24"/>
          <w:szCs w:val="24"/>
          <w:highlight w:val="none"/>
          <w:lang w:eastAsia="zh-CN"/>
        </w:rPr>
        <w:t>内生产的产品</w:t>
      </w:r>
      <w:r>
        <w:rPr>
          <w:rFonts w:hint="eastAsia" w:ascii="宋体" w:hAnsi="宋体" w:eastAsia="宋体" w:cs="宋体"/>
          <w:color w:val="FF0000"/>
          <w:sz w:val="24"/>
          <w:szCs w:val="24"/>
          <w:highlight w:val="none"/>
          <w:lang w:val="en-US" w:eastAsia="zh-CN"/>
        </w:rPr>
        <w:t>。</w:t>
      </w:r>
    </w:p>
    <w:p w14:paraId="619DD7D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 质量验收：以本合同约定标准按以下方式进行验收： </w:t>
      </w:r>
    </w:p>
    <w:p w14:paraId="1F6499C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202D954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4A32F1A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01D9946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3 包装要求：乙方提供的设备必须为原厂包装，外包装到货时应保证完好无损，否则甲方有权拒绝收货，由此造成的延期交货违约责任和一切经济损失全部由乙方承担。</w:t>
      </w:r>
    </w:p>
    <w:p w14:paraId="1918CC5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7E62223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r>
        <w:rPr>
          <w:rFonts w:hint="eastAsia" w:ascii="宋体" w:hAnsi="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1 甲方负责协调、处理与安装、调试有关事宜，为乙方创造良好的安装、调试环境。</w:t>
      </w:r>
    </w:p>
    <w:p w14:paraId="19E3EC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r>
        <w:rPr>
          <w:rFonts w:hint="eastAsia" w:ascii="宋体" w:hAnsi="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邓时敏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46A6EF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r>
        <w:rPr>
          <w:rFonts w:hint="eastAsia" w:ascii="宋体" w:hAnsi="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3 乙方负责对甲方的操作人员进行免费培训。</w:t>
      </w:r>
    </w:p>
    <w:p w14:paraId="7C41042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r>
        <w:rPr>
          <w:rFonts w:hint="eastAsia" w:ascii="宋体" w:hAnsi="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 乙方在安装、调试过程中应加强操作人员的安全教育，杜绝安全事故的发生。 </w:t>
      </w:r>
    </w:p>
    <w:p w14:paraId="4974DD8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4B7290F8">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ascii="宋体" w:hAnsi="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3 </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1B4B460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ascii="宋体" w:hAnsi="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40C63A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ascii="宋体" w:hAnsi="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3 质保期内，乙方每年至少对设备进行一次巡检并向甲方提交巡检记录。</w:t>
      </w:r>
    </w:p>
    <w:p w14:paraId="1079FC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ascii="宋体" w:hAnsi="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6838A21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12855B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3A77BC6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r>
        <w:rPr>
          <w:rFonts w:hint="eastAsia" w:ascii="宋体" w:hAnsi="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618A994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r>
        <w:rPr>
          <w:rFonts w:hint="eastAsia" w:ascii="宋体" w:hAnsi="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4B0EE2C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r>
        <w:rPr>
          <w:rFonts w:hint="eastAsia" w:ascii="宋体" w:hAnsi="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3 乙方应在甲方首次付款前，向甲方提供以乙方自己名义开具的与本合同总价等额的增值税普通发票；如乙方未及时提供发票，甲方有权顺延付款，由此产生的责任均由乙方自行承担。</w:t>
      </w:r>
    </w:p>
    <w:p w14:paraId="3303448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4971572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w:t>
      </w:r>
      <w:r>
        <w:rPr>
          <w:rFonts w:hint="eastAsia" w:ascii="宋体" w:hAnsi="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1 乙方履行本合同过程中发生事故，包括但不限于在运输、装卸、安装及调试过程中发生事故，给甲方、乙方或第三方人身、财产造成的所有损失，均由乙方负责处理和承担全部法律责任、经济赔偿。</w:t>
      </w:r>
    </w:p>
    <w:p w14:paraId="424D897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w:t>
      </w:r>
      <w:r>
        <w:rPr>
          <w:rFonts w:hint="eastAsia" w:ascii="宋体" w:hAnsi="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2 本合同设备毁损、丢失的风险自甲方在总体验收报告单上签字确认合格后转移给甲方，此前设备的一切风险均由乙方承担。</w:t>
      </w:r>
    </w:p>
    <w:p w14:paraId="0B8D87B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w:t>
      </w:r>
      <w:r>
        <w:rPr>
          <w:rFonts w:hint="eastAsia" w:ascii="宋体" w:hAnsi="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3 如甲方因乙方设备、质保服务等原因涉及纠纷、诉讼或被处以行政处罚，由乙方承担甲方因纠纷、诉讼、罚款等造成的全部经济损失。</w:t>
      </w:r>
    </w:p>
    <w:p w14:paraId="20B631C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47366FA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w:t>
      </w:r>
      <w:r>
        <w:rPr>
          <w:rFonts w:hint="eastAsia" w:ascii="宋体" w:hAnsi="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1 乙方应严格遵守国家相关法律法规，涉及合同的有关业务活动必须坚持公开、公平、公正、诚信原则，不得为获取不正当利益，损害国家、集体和甲方利益。</w:t>
      </w:r>
    </w:p>
    <w:p w14:paraId="2ED975A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8</w:t>
      </w:r>
      <w:r>
        <w:rPr>
          <w:rFonts w:hint="eastAsia" w:ascii="宋体" w:hAnsi="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2F4FD1A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1B9CDB3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w:t>
      </w:r>
      <w:r>
        <w:rPr>
          <w:rFonts w:hint="eastAsia" w:ascii="宋体" w:hAnsi="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 本合同订立、履行、变更等产生的研究、商讨、交流等信息，履行本合同获悉的甲方商业秘密、运营信息、工作人员信息、患陪个人信息等，均属保密信息。</w:t>
      </w:r>
    </w:p>
    <w:p w14:paraId="611085F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w:t>
      </w:r>
      <w:r>
        <w:rPr>
          <w:rFonts w:hint="eastAsia" w:ascii="宋体" w:hAnsi="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2 乙方应对保密信息采取有效手段严格保密，不得用于非本合同之目的或向第三方泄露。如政府部门、法院或其他有权部门要求乙方提供保密信息，乙方应当立即向甲方通报。</w:t>
      </w:r>
    </w:p>
    <w:p w14:paraId="67DC819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w:t>
      </w:r>
      <w:r>
        <w:rPr>
          <w:rFonts w:hint="eastAsia" w:ascii="宋体" w:hAnsi="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3 因乙方未履行本合同保密义务造成甲方或第三方损失的，由乙方承担全部赔偿责任。</w:t>
      </w:r>
    </w:p>
    <w:p w14:paraId="7360AD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w:t>
      </w:r>
      <w:r>
        <w:rPr>
          <w:rFonts w:hint="eastAsia" w:ascii="宋体" w:hAnsi="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4 本合同保密条款在合同被认定无效、被撤销或终止、解除后仍然有效。</w:t>
      </w:r>
    </w:p>
    <w:p w14:paraId="29704BDB">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6FB6B62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w:t>
      </w:r>
      <w:r>
        <w:rPr>
          <w:rFonts w:hint="eastAsia" w:ascii="宋体" w:hAnsi="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 甲乙双方同意，与本合同有关的任何文书，应以书面方式按照本合同约定发送，书面方式包括手机短信、微信、书面函件、电子邮件等形式。</w:t>
      </w:r>
    </w:p>
    <w:p w14:paraId="32A9A16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w:t>
      </w:r>
      <w:r>
        <w:rPr>
          <w:rFonts w:hint="eastAsia" w:ascii="宋体" w:hAnsi="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2 双方确认的文书（包括未来可能发生的诉讼或仲裁活动中法院或仲裁机构的送达法律文书）送达地址：</w:t>
      </w:r>
    </w:p>
    <w:p w14:paraId="1B16A4E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w:t>
      </w:r>
      <w:r>
        <w:rPr>
          <w:rFonts w:hint="eastAsia" w:ascii="宋体" w:hAnsi="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2</w:t>
      </w:r>
      <w:r>
        <w:rPr>
          <w:rFonts w:hint="eastAsia" w:ascii="宋体" w:hAnsi="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w:t>
      </w:r>
      <w:r>
        <w:rPr>
          <w:rFonts w:hint="eastAsia" w:ascii="宋体" w:hAnsi="宋体" w:cs="宋体"/>
          <w:b w:val="0"/>
          <w:bCs w:val="0"/>
          <w:color w:val="000000" w:themeColor="text1"/>
          <w:sz w:val="24"/>
          <w:highlight w:val="none"/>
          <w:u w:val="singl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6CD2A5B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w:t>
      </w:r>
      <w:r>
        <w:rPr>
          <w:rFonts w:hint="eastAsia" w:ascii="宋体" w:hAnsi="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2</w:t>
      </w:r>
      <w:r>
        <w:rPr>
          <w:rFonts w:hint="eastAsia" w:ascii="宋体" w:hAnsi="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5FD3E9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w:t>
      </w:r>
      <w:r>
        <w:rPr>
          <w:rFonts w:hint="eastAsia" w:ascii="宋体" w:hAnsi="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3 上述通知应被视为在下列时间送达：以快递或专人发送的，在收件人签收之日或拒收之日；以挂号邮件发出的，在发出之日起7个工作日；以电子邮件发出的，在电子邮件进入收件方电子邮箱服务器之日。</w:t>
      </w:r>
    </w:p>
    <w:p w14:paraId="663E7DB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w:t>
      </w:r>
      <w:r>
        <w:rPr>
          <w:rFonts w:hint="eastAsia" w:ascii="宋体" w:hAnsi="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332909F9">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7043000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w:t>
      </w:r>
      <w:r>
        <w:rPr>
          <w:rFonts w:hint="eastAsia" w:ascii="宋体" w:hAnsi="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 本合同经双方协商一致后可以变更，双方应另行签订补充协议。</w:t>
      </w:r>
    </w:p>
    <w:p w14:paraId="5B80C46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w:t>
      </w:r>
      <w:r>
        <w:rPr>
          <w:rFonts w:hint="eastAsia" w:ascii="宋体" w:hAnsi="宋体" w:cs="宋体"/>
          <w:b/>
          <w:bCs/>
          <w:color w:val="000000" w:themeColor="text1"/>
          <w:sz w:val="24"/>
          <w:highlight w:val="none"/>
          <w:u w:val="single"/>
          <w:lang w:val="en-US" w:eastAsia="zh-CN"/>
          <w14:textFill>
            <w14:solidFill>
              <w14:schemeClr w14:val="tx1"/>
            </w14:solidFill>
          </w14:textFill>
        </w:rPr>
        <w:t>.</w:t>
      </w: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49412BA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w:t>
      </w:r>
      <w:r>
        <w:rPr>
          <w:rFonts w:hint="eastAsia" w:ascii="宋体" w:hAnsi="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5679FD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37C5BC5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4E910DA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1CA49F8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1C9CCAD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12BED93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w:t>
      </w:r>
      <w:r>
        <w:rPr>
          <w:rFonts w:hint="eastAsia" w:ascii="宋体" w:hAnsi="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2情形提前终止本合同或剔除部分采购内容均无须承担违约责任，乙方不得因此要求甲方予以任何经济赔偿或补偿。</w:t>
      </w:r>
    </w:p>
    <w:p w14:paraId="56C5ACC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732D9BE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w:t>
      </w:r>
      <w:r>
        <w:rPr>
          <w:rFonts w:hint="eastAsia" w:ascii="宋体" w:hAnsi="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1FFC330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w:t>
      </w:r>
      <w:r>
        <w:rPr>
          <w:rFonts w:hint="eastAsia" w:ascii="宋体" w:hAnsi="宋体" w:cs="宋体"/>
          <w:b/>
          <w:bCs/>
          <w:color w:val="000000" w:themeColor="text1"/>
          <w:sz w:val="24"/>
          <w:szCs w:val="24"/>
          <w:highlight w:val="none"/>
          <w:u w:val="single"/>
          <w:lang w:val="en-US" w:eastAsia="zh-CN"/>
          <w14:textFill>
            <w14:solidFill>
              <w14:schemeClr w14:val="tx1"/>
            </w14:solidFill>
          </w14:textFill>
        </w:rPr>
        <w:t>.</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FF0000"/>
          <w:sz w:val="24"/>
          <w:szCs w:val="24"/>
          <w:highlight w:val="none"/>
          <w:u w:val="single"/>
          <w:lang w:val="en-US" w:eastAsia="zh-CN"/>
        </w:rPr>
        <w:t>该违约金金额按以下较高者确定：（1）本合同总费用的10%；（2）根据《娄底市中心医院医疗器械供应商考核管理制度》规定计算的廉政违约金金额。</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如乙方除需承担违反廉洁条款及供应商考核管理制度的违约责任外，同时存在其他违约行为，乙方仍须就其他违约行为承担相应违约责任。</w:t>
      </w:r>
    </w:p>
    <w:p w14:paraId="593381C7">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w:t>
      </w:r>
      <w:r>
        <w:rPr>
          <w:rFonts w:hint="eastAsia" w:ascii="宋体" w:hAnsi="宋体" w:cs="宋体"/>
          <w:b/>
          <w:bCs/>
          <w:color w:val="000000" w:themeColor="text1"/>
          <w:sz w:val="24"/>
          <w:highlight w:val="none"/>
          <w:u w:val="single"/>
          <w:lang w:val="en-US" w:eastAsia="zh-CN"/>
          <w14:textFill>
            <w14:solidFill>
              <w14:schemeClr w14:val="tx1"/>
            </w14:solidFill>
          </w14:textFill>
        </w:rPr>
        <w:t>.</w:t>
      </w: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5 依据本合同约定乙方应支付给甲方的违约金，甲方有权在应支付给乙方的任意价款中直接予以扣除，如扣除部分不足，乙方应在接到甲方通知后3日内补足。</w:t>
      </w:r>
    </w:p>
    <w:p w14:paraId="60F16F2D">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5921723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w:t>
      </w:r>
      <w:r>
        <w:rPr>
          <w:rFonts w:hint="eastAsia" w:ascii="宋体" w:hAnsi="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 本合同适用中华人民共和国法律，并按其解释。</w:t>
      </w:r>
    </w:p>
    <w:p w14:paraId="3DCB190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w:t>
      </w:r>
      <w:r>
        <w:rPr>
          <w:rFonts w:hint="eastAsia" w:ascii="宋体" w:hAnsi="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3E8F58B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00CB60E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FF0000"/>
          <w:sz w:val="24"/>
          <w:highlight w:val="none"/>
        </w:rPr>
        <w:t>1</w:t>
      </w:r>
      <w:r>
        <w:rPr>
          <w:rFonts w:hint="eastAsia" w:ascii="宋体" w:hAnsi="宋体" w:eastAsia="宋体" w:cs="宋体"/>
          <w:color w:val="FF0000"/>
          <w:sz w:val="24"/>
          <w:highlight w:val="none"/>
          <w:lang w:val="en-US" w:eastAsia="zh-CN"/>
        </w:rPr>
        <w:t>4</w:t>
      </w:r>
      <w:r>
        <w:rPr>
          <w:rFonts w:hint="eastAsia" w:ascii="宋体" w:hAnsi="宋体" w:cs="宋体"/>
          <w:color w:val="FF0000"/>
          <w:sz w:val="24"/>
          <w:highlight w:val="none"/>
          <w:lang w:val="en-US" w:eastAsia="zh-CN"/>
        </w:rPr>
        <w:t>.</w:t>
      </w:r>
      <w:r>
        <w:rPr>
          <w:rFonts w:hint="eastAsia" w:ascii="宋体" w:hAnsi="宋体" w:eastAsia="宋体" w:cs="宋体"/>
          <w:color w:val="FF0000"/>
          <w:sz w:val="24"/>
          <w:highlight w:val="none"/>
          <w:lang w:val="en-US" w:eastAsia="zh-CN"/>
        </w:rPr>
        <w:t>1 甲方《娄底市中心医院医疗器械供应商考核管理制度》、</w:t>
      </w:r>
      <w:r>
        <w:rPr>
          <w:rFonts w:hint="eastAsia" w:ascii="宋体" w:hAnsi="宋体" w:eastAsia="宋体" w:cs="宋体"/>
          <w:color w:val="FF0000"/>
          <w:sz w:val="24"/>
          <w:highlight w:val="none"/>
          <w:lang w:eastAsia="zh-CN"/>
        </w:rPr>
        <w:t>乙方加盖公章的资质复印件、售后承诺等作为本合同附件。</w:t>
      </w:r>
    </w:p>
    <w:p w14:paraId="14CD2E2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14</w:t>
      </w:r>
      <w:r>
        <w:rPr>
          <w:rFonts w:hint="eastAsia" w:ascii="宋体" w:hAnsi="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157BF3A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1BB56A7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770591C8">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3CC95B47">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20AE0171">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D3B306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7518CFE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2EA40E8A">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22DB96A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630E7CC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60AEAEC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DEABAE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lang w:val="en-US" w:eastAsia="zh-CN"/>
          <w14:textFill>
            <w14:solidFill>
              <w14:schemeClr w14:val="tx1"/>
            </w14:solidFill>
          </w14:textFill>
        </w:rPr>
        <w:t>2025</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100A29F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3CB7BA2">
      <w:pPr>
        <w:rPr>
          <w:rFonts w:hint="default" w:ascii="宋体" w:hAnsi="宋体" w:eastAsia="宋体" w:cs="宋体"/>
          <w:color w:val="auto"/>
          <w:sz w:val="24"/>
          <w:szCs w:val="24"/>
          <w:lang w:val="en-US" w:eastAsia="zh-CN"/>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p>
    <w:p w14:paraId="2470602B">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bookmarkStart w:id="4" w:name="_GoBack"/>
      <w:bookmarkEnd w:id="4"/>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6EE9D265">
      <w:pPr>
        <w:pStyle w:val="17"/>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6"/>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75DA035D">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14:paraId="43CAB480">
      <w:pPr>
        <w:pStyle w:val="16"/>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0"/>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17"/>
        <w:rPr>
          <w:color w:val="auto"/>
        </w:rPr>
      </w:pPr>
    </w:p>
    <w:p w14:paraId="43E00E01">
      <w:pPr>
        <w:pStyle w:val="16"/>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1350E35"/>
    <w:rsid w:val="02390242"/>
    <w:rsid w:val="03E43FAE"/>
    <w:rsid w:val="04653F41"/>
    <w:rsid w:val="04B72FC8"/>
    <w:rsid w:val="04F57A38"/>
    <w:rsid w:val="050719CA"/>
    <w:rsid w:val="057006EC"/>
    <w:rsid w:val="06934BAA"/>
    <w:rsid w:val="06E91EC4"/>
    <w:rsid w:val="086F75C9"/>
    <w:rsid w:val="09C0303A"/>
    <w:rsid w:val="0A3F4F3C"/>
    <w:rsid w:val="0A8A74D4"/>
    <w:rsid w:val="0CAD77BD"/>
    <w:rsid w:val="0E331420"/>
    <w:rsid w:val="0EDD1643"/>
    <w:rsid w:val="0FB9029C"/>
    <w:rsid w:val="10897B23"/>
    <w:rsid w:val="10914EF9"/>
    <w:rsid w:val="10B8663C"/>
    <w:rsid w:val="12080B62"/>
    <w:rsid w:val="12994AC5"/>
    <w:rsid w:val="129F447F"/>
    <w:rsid w:val="12C86253"/>
    <w:rsid w:val="15060AC8"/>
    <w:rsid w:val="15125EAE"/>
    <w:rsid w:val="15675A4C"/>
    <w:rsid w:val="17F91BB8"/>
    <w:rsid w:val="185D0F03"/>
    <w:rsid w:val="193E7D91"/>
    <w:rsid w:val="1943608F"/>
    <w:rsid w:val="19E91315"/>
    <w:rsid w:val="1AF56B46"/>
    <w:rsid w:val="1D5071B5"/>
    <w:rsid w:val="1DD7486D"/>
    <w:rsid w:val="1E79119D"/>
    <w:rsid w:val="1F334F58"/>
    <w:rsid w:val="1F796B24"/>
    <w:rsid w:val="1FC602A8"/>
    <w:rsid w:val="1FE73549"/>
    <w:rsid w:val="2038045E"/>
    <w:rsid w:val="20AF0900"/>
    <w:rsid w:val="20B41DA7"/>
    <w:rsid w:val="21C61C7A"/>
    <w:rsid w:val="2383771E"/>
    <w:rsid w:val="23F374DB"/>
    <w:rsid w:val="24881A32"/>
    <w:rsid w:val="25266F96"/>
    <w:rsid w:val="267547DF"/>
    <w:rsid w:val="272B6E6C"/>
    <w:rsid w:val="27CF2BB7"/>
    <w:rsid w:val="28E81B29"/>
    <w:rsid w:val="28FD390A"/>
    <w:rsid w:val="29B45A41"/>
    <w:rsid w:val="2A174DA9"/>
    <w:rsid w:val="2AB010A8"/>
    <w:rsid w:val="2AC66F99"/>
    <w:rsid w:val="2C0A2E19"/>
    <w:rsid w:val="2C7642D0"/>
    <w:rsid w:val="2CC97A35"/>
    <w:rsid w:val="2DD77C64"/>
    <w:rsid w:val="2DDA1E78"/>
    <w:rsid w:val="2DE00B8C"/>
    <w:rsid w:val="2EAC037F"/>
    <w:rsid w:val="2EB67A5C"/>
    <w:rsid w:val="2EE92C6E"/>
    <w:rsid w:val="302741D2"/>
    <w:rsid w:val="308B184D"/>
    <w:rsid w:val="309C1E01"/>
    <w:rsid w:val="30BB11DD"/>
    <w:rsid w:val="31F17CD1"/>
    <w:rsid w:val="322368FC"/>
    <w:rsid w:val="324F4D43"/>
    <w:rsid w:val="33384C93"/>
    <w:rsid w:val="340F06E9"/>
    <w:rsid w:val="34C12F54"/>
    <w:rsid w:val="366241E2"/>
    <w:rsid w:val="36B66AAC"/>
    <w:rsid w:val="36E47928"/>
    <w:rsid w:val="372F7378"/>
    <w:rsid w:val="37BA0809"/>
    <w:rsid w:val="397348CD"/>
    <w:rsid w:val="3A8E0AB7"/>
    <w:rsid w:val="3A994AB7"/>
    <w:rsid w:val="3B3B544D"/>
    <w:rsid w:val="3B654F2B"/>
    <w:rsid w:val="3BB72BAE"/>
    <w:rsid w:val="3BFC7D2B"/>
    <w:rsid w:val="3C7C799C"/>
    <w:rsid w:val="3C8A61A4"/>
    <w:rsid w:val="3D5E17FF"/>
    <w:rsid w:val="3DF93413"/>
    <w:rsid w:val="3DFD1951"/>
    <w:rsid w:val="3E1F0DA4"/>
    <w:rsid w:val="3E584E51"/>
    <w:rsid w:val="3E6E70D5"/>
    <w:rsid w:val="3EBE1ADE"/>
    <w:rsid w:val="403B4B34"/>
    <w:rsid w:val="4140452A"/>
    <w:rsid w:val="414D7889"/>
    <w:rsid w:val="41BB0BAE"/>
    <w:rsid w:val="425629F5"/>
    <w:rsid w:val="4284152B"/>
    <w:rsid w:val="429A4992"/>
    <w:rsid w:val="435B161D"/>
    <w:rsid w:val="43B25DAC"/>
    <w:rsid w:val="44771DFD"/>
    <w:rsid w:val="45D569C3"/>
    <w:rsid w:val="479B74B7"/>
    <w:rsid w:val="48735221"/>
    <w:rsid w:val="49E92B05"/>
    <w:rsid w:val="4A354E62"/>
    <w:rsid w:val="4AEE1A11"/>
    <w:rsid w:val="4AF669E9"/>
    <w:rsid w:val="4B7F39F4"/>
    <w:rsid w:val="4BAE646F"/>
    <w:rsid w:val="4CAC1559"/>
    <w:rsid w:val="4D754257"/>
    <w:rsid w:val="4DCD6AB3"/>
    <w:rsid w:val="4EE7662F"/>
    <w:rsid w:val="50216DCD"/>
    <w:rsid w:val="50540C20"/>
    <w:rsid w:val="506258C6"/>
    <w:rsid w:val="51AC28BD"/>
    <w:rsid w:val="52183ACC"/>
    <w:rsid w:val="53B55872"/>
    <w:rsid w:val="544055F2"/>
    <w:rsid w:val="54AD4386"/>
    <w:rsid w:val="55D8243C"/>
    <w:rsid w:val="581A7C72"/>
    <w:rsid w:val="583A4BD7"/>
    <w:rsid w:val="59C74B1F"/>
    <w:rsid w:val="5A886F59"/>
    <w:rsid w:val="604D5946"/>
    <w:rsid w:val="611B6B1B"/>
    <w:rsid w:val="62C222C2"/>
    <w:rsid w:val="632D7C40"/>
    <w:rsid w:val="64133D6A"/>
    <w:rsid w:val="64245572"/>
    <w:rsid w:val="678E4F5D"/>
    <w:rsid w:val="67F3562A"/>
    <w:rsid w:val="680E122C"/>
    <w:rsid w:val="6A4E1D63"/>
    <w:rsid w:val="6C486FE4"/>
    <w:rsid w:val="6CA409DF"/>
    <w:rsid w:val="6DE375E4"/>
    <w:rsid w:val="6E8E5287"/>
    <w:rsid w:val="6FAC3B48"/>
    <w:rsid w:val="6FAD463B"/>
    <w:rsid w:val="6FBE332C"/>
    <w:rsid w:val="70CE0BC9"/>
    <w:rsid w:val="71554367"/>
    <w:rsid w:val="71584067"/>
    <w:rsid w:val="71F26E91"/>
    <w:rsid w:val="735201FF"/>
    <w:rsid w:val="737B50A4"/>
    <w:rsid w:val="73F40E72"/>
    <w:rsid w:val="74566F5C"/>
    <w:rsid w:val="750117A8"/>
    <w:rsid w:val="755B2270"/>
    <w:rsid w:val="75E27514"/>
    <w:rsid w:val="76920D75"/>
    <w:rsid w:val="76C47877"/>
    <w:rsid w:val="77423DFF"/>
    <w:rsid w:val="77EE51AD"/>
    <w:rsid w:val="783B5EA9"/>
    <w:rsid w:val="79EB699D"/>
    <w:rsid w:val="7B0620DE"/>
    <w:rsid w:val="7BBF44BB"/>
    <w:rsid w:val="7BF15CE4"/>
    <w:rsid w:val="7C3A27E5"/>
    <w:rsid w:val="7D9727DD"/>
    <w:rsid w:val="7EFB4F6E"/>
    <w:rsid w:val="7F164138"/>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2">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4">
    <w:name w:val="Body Text Indent"/>
    <w:basedOn w:val="1"/>
    <w:autoRedefine/>
    <w:qFormat/>
    <w:uiPriority w:val="99"/>
    <w:pPr>
      <w:spacing w:line="400" w:lineRule="exact"/>
      <w:ind w:left="630"/>
    </w:pPr>
    <w:rPr>
      <w:rFonts w:ascii="楷体_GB2312"/>
      <w:sz w:val="30"/>
      <w:szCs w:val="30"/>
    </w:rPr>
  </w:style>
  <w:style w:type="paragraph" w:styleId="5">
    <w:name w:val="Date"/>
    <w:basedOn w:val="1"/>
    <w:next w:val="1"/>
    <w:qFormat/>
    <w:uiPriority w:val="0"/>
    <w:rPr>
      <w:color w:val="000000"/>
      <w:kern w:val="0"/>
      <w:sz w:val="30"/>
    </w:rPr>
  </w:style>
  <w:style w:type="paragraph" w:styleId="6">
    <w:name w:val="footer"/>
    <w:basedOn w:val="1"/>
    <w:autoRedefine/>
    <w:qFormat/>
    <w:uiPriority w:val="0"/>
    <w:pPr>
      <w:tabs>
        <w:tab w:val="center" w:pos="4153"/>
        <w:tab w:val="right" w:pos="8306"/>
      </w:tabs>
      <w:snapToGrid w:val="0"/>
      <w:jc w:val="left"/>
    </w:pPr>
    <w:rPr>
      <w:kern w:val="0"/>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rPr>
      <w:sz w:val="24"/>
    </w:rPr>
  </w:style>
  <w:style w:type="paragraph" w:styleId="9">
    <w:name w:val="Body Text First Indent 2"/>
    <w:basedOn w:val="4"/>
    <w:autoRedefine/>
    <w:qFormat/>
    <w:uiPriority w:val="0"/>
    <w:pPr>
      <w:overflowPunct w:val="0"/>
      <w:adjustRightInd w:val="0"/>
      <w:spacing w:line="500" w:lineRule="exact"/>
      <w:ind w:firstLine="420" w:firstLineChars="200"/>
      <w:textAlignment w:val="baseline"/>
    </w:pPr>
    <w:rPr>
      <w:rFonts w:eastAsia="仿宋_GB2312"/>
      <w:kern w:val="28"/>
      <w:sz w:val="2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4">
    <w:name w:val="Default"/>
    <w:next w:val="15"/>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5">
    <w:name w:val="大标题"/>
    <w:basedOn w:val="1"/>
    <w:next w:val="9"/>
    <w:autoRedefine/>
    <w:qFormat/>
    <w:uiPriority w:val="0"/>
    <w:pPr>
      <w:jc w:val="center"/>
    </w:pPr>
    <w:rPr>
      <w:rFonts w:ascii="Arial" w:hAnsi="Arial" w:eastAsia="宋体"/>
      <w:b/>
      <w:sz w:val="28"/>
      <w:szCs w:val="24"/>
    </w:rPr>
  </w:style>
  <w:style w:type="paragraph" w:customStyle="1" w:styleId="16">
    <w:name w:val="列出段落1"/>
    <w:basedOn w:val="1"/>
    <w:autoRedefine/>
    <w:qFormat/>
    <w:uiPriority w:val="99"/>
    <w:pPr>
      <w:ind w:firstLine="420" w:firstLineChars="200"/>
    </w:pPr>
  </w:style>
  <w:style w:type="paragraph" w:customStyle="1" w:styleId="17">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8">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5391</Words>
  <Characters>5686</Characters>
  <Lines>0</Lines>
  <Paragraphs>0</Paragraphs>
  <TotalTime>2</TotalTime>
  <ScaleCrop>false</ScaleCrop>
  <LinksUpToDate>false</LinksUpToDate>
  <CharactersWithSpaces>5802</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张思远</cp:lastModifiedBy>
  <dcterms:modified xsi:type="dcterms:W3CDTF">2025-10-30T02:14:21Z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eyJoZGlkIjoiOWU3YmMxNGQ0NDE0NTRiYjQ3MWFkZjk1MWM2MTc2NWEiLCJ1c2VySWQiOiI0NDIzNjcyODQifQ==</vt:lpwstr>
  </property>
</Properties>
</file>