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bookmarkStart w:id="4" w:name="_GoBack"/>
      <w:bookmarkEnd w:id="4"/>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06800137">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娄底市中心医院心电网络总平台建设部分硬件招标文件</w:t>
      </w:r>
    </w:p>
    <w:p w14:paraId="67D89F09">
      <w:pPr>
        <w:spacing w:line="320" w:lineRule="exact"/>
        <w:jc w:val="left"/>
        <w:rPr>
          <w:color w:val="auto"/>
          <w:sz w:val="24"/>
        </w:rPr>
      </w:pPr>
    </w:p>
    <w:p w14:paraId="290145CF">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心电网络总平台建设部分硬件</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心电网络总平台建设部分硬件</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7CB320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1、开标时间：2025年9月30日10：00</w:t>
      </w:r>
    </w:p>
    <w:p w14:paraId="16A5EAA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3F0D0013">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16F68BB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65400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65BAAE5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88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094"/>
        <w:gridCol w:w="4019"/>
        <w:gridCol w:w="1725"/>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9"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rPr>
              <w:t>设备名称</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项目限价</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心电网络总平台建设部分硬件</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115600.00</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widowControl/>
              <w:numPr>
                <w:ilvl w:val="0"/>
                <w:numId w:val="0"/>
              </w:numPr>
              <w:suppressLineNumbers w:val="0"/>
              <w:spacing w:before="60" w:beforeAutospacing="0" w:after="0" w:afterAutospacing="1"/>
              <w:rPr>
                <w:rFonts w:hint="eastAsia" w:ascii="仿宋" w:hAnsi="仿宋" w:eastAsia="仿宋" w:cs="仿宋"/>
                <w:color w:val="auto"/>
                <w:kern w:val="2"/>
                <w:sz w:val="24"/>
                <w:szCs w:val="24"/>
                <w:lang w:val="en-US" w:eastAsia="zh-CN" w:bidi="ar-SA"/>
              </w:rPr>
            </w:pPr>
          </w:p>
        </w:tc>
      </w:tr>
    </w:tbl>
    <w:p w14:paraId="0C2C92A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项目内容及要求，（以下内容必须全部响应，否则视为无效投标）</w:t>
      </w:r>
    </w:p>
    <w:p w14:paraId="2B27F5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仿宋" w:hAnsi="仿宋" w:eastAsia="仿宋" w:cs="仿宋"/>
          <w:b/>
          <w:bCs w:val="0"/>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
          <w:bCs w:val="0"/>
          <w:color w:val="auto"/>
          <w:kern w:val="0"/>
          <w:sz w:val="24"/>
          <w:szCs w:val="24"/>
          <w:lang w:val="en-US" w:eastAsia="zh-CN" w:bidi="ar-SA"/>
        </w:rPr>
        <w:t>技术参数：</w:t>
      </w:r>
    </w:p>
    <w:tbl>
      <w:tblPr>
        <w:tblStyle w:val="7"/>
        <w:tblW w:w="9357" w:type="dxa"/>
        <w:tblInd w:w="1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80" w:type="dxa"/>
          <w:left w:w="128" w:type="dxa"/>
          <w:bottom w:w="80" w:type="dxa"/>
          <w:right w:w="128" w:type="dxa"/>
        </w:tblCellMar>
      </w:tblPr>
      <w:tblGrid>
        <w:gridCol w:w="866"/>
        <w:gridCol w:w="1915"/>
        <w:gridCol w:w="5710"/>
        <w:gridCol w:w="866"/>
      </w:tblGrid>
      <w:tr w14:paraId="2FBF3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517" w:hRule="atLeast"/>
          <w:tblHeader/>
        </w:trPr>
        <w:tc>
          <w:tcPr>
            <w:tcW w:w="866" w:type="dxa"/>
            <w:tcBorders>
              <w:top w:val="single" w:color="000000" w:sz="8" w:space="0"/>
              <w:left w:val="single" w:color="000000" w:sz="8" w:space="0"/>
              <w:bottom w:val="nil"/>
              <w:right w:val="single" w:color="000000" w:sz="4" w:space="0"/>
            </w:tcBorders>
            <w:shd w:val="clear" w:color="auto" w:fill="969696"/>
            <w:noWrap/>
            <w:vAlign w:val="center"/>
          </w:tcPr>
          <w:p w14:paraId="325D090C">
            <w:pPr>
              <w:keepNext w:val="0"/>
              <w:keepLines w:val="0"/>
              <w:widowControl/>
              <w:suppressLineNumbers w:val="0"/>
              <w:snapToGrid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1915" w:type="dxa"/>
            <w:tcBorders>
              <w:top w:val="single" w:color="000000" w:sz="8" w:space="0"/>
              <w:left w:val="single" w:color="000000" w:sz="4" w:space="0"/>
              <w:bottom w:val="nil"/>
              <w:right w:val="single" w:color="000000" w:sz="4" w:space="0"/>
            </w:tcBorders>
            <w:shd w:val="clear" w:color="auto" w:fill="969696"/>
            <w:noWrap/>
            <w:vAlign w:val="center"/>
          </w:tcPr>
          <w:p w14:paraId="378510AB">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产品名称</w:t>
            </w:r>
          </w:p>
        </w:tc>
        <w:tc>
          <w:tcPr>
            <w:tcW w:w="5710" w:type="dxa"/>
            <w:tcBorders>
              <w:top w:val="single" w:color="000000" w:sz="8" w:space="0"/>
              <w:left w:val="single" w:color="000000" w:sz="4" w:space="0"/>
              <w:bottom w:val="nil"/>
              <w:right w:val="single" w:color="000000" w:sz="4" w:space="0"/>
            </w:tcBorders>
            <w:shd w:val="clear" w:color="auto" w:fill="969696"/>
            <w:noWrap/>
            <w:vAlign w:val="center"/>
          </w:tcPr>
          <w:p w14:paraId="70FF7477">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参数</w:t>
            </w:r>
          </w:p>
        </w:tc>
        <w:tc>
          <w:tcPr>
            <w:tcW w:w="866" w:type="dxa"/>
            <w:tcBorders>
              <w:top w:val="single" w:color="000000" w:sz="8" w:space="0"/>
              <w:left w:val="single" w:color="000000" w:sz="4" w:space="0"/>
              <w:bottom w:val="nil"/>
              <w:right w:val="single" w:color="000000" w:sz="4" w:space="0"/>
            </w:tcBorders>
            <w:shd w:val="clear" w:color="auto" w:fill="969696"/>
            <w:noWrap/>
            <w:vAlign w:val="center"/>
          </w:tcPr>
          <w:p w14:paraId="07051667">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数量</w:t>
            </w:r>
          </w:p>
        </w:tc>
      </w:tr>
      <w:tr w14:paraId="4271F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444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664D">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1</w:t>
            </w:r>
          </w:p>
        </w:tc>
        <w:tc>
          <w:tcPr>
            <w:tcW w:w="1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5AAF9">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存储服务器</w:t>
            </w:r>
          </w:p>
        </w:tc>
        <w:tc>
          <w:tcPr>
            <w:tcW w:w="5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3F61">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1、标准机架式服务器，高度≥2U，标配原厂导轨；</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2、配置≥2颗6326处理器，单颗CPU≥16核，主频≥2.9GHz；</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3、配置≥32个内存插槽，≥2个64GB 3200MHz DDR4内存模块，最高速率3200MT/s；</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4、配置≥8个SFF热插拔硬盘槽位，</w:t>
            </w:r>
            <w:r>
              <w:rPr>
                <w:rStyle w:val="12"/>
                <w:rFonts w:ascii="微软雅黑" w:eastAsia="微软雅黑"/>
                <w:sz w:val="18"/>
                <w:lang w:val="en-US" w:eastAsia="zh-CN" w:bidi="ar"/>
              </w:rPr>
              <w:t>≥2个3.84TB Nvme u.2 SSD硬盘；≥2块480G SSD硬盘</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5、配置≥1块VROC 模块，支持Nvme硬盘 RAID0/1/10/5；</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6、支持≥10个PCIE3.0可用插槽（包含1个阵列卡专用插槽和1个网卡专用插槽）；</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7、配置≥4个千兆电口，</w:t>
            </w:r>
            <w:r>
              <w:rPr>
                <w:rStyle w:val="12"/>
                <w:rFonts w:ascii="微软雅黑" w:eastAsia="微软雅黑"/>
                <w:sz w:val="18"/>
                <w:lang w:val="en-US" w:eastAsia="zh-CN" w:bidi="ar"/>
              </w:rPr>
              <w:t>≥2块</w:t>
            </w:r>
            <w:r>
              <w:rPr>
                <w:rStyle w:val="13"/>
                <w:rFonts w:ascii="微软雅黑" w:eastAsia="微软雅黑"/>
                <w:sz w:val="18"/>
                <w:lang w:val="en-US" w:eastAsia="zh-CN" w:bidi="ar"/>
              </w:rPr>
              <w:t>双端口10G 网卡（含模块）；</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8、配置≥2个800W铂金版热插拔冗余电源，支持1+1冗余，支持热插拔冗余风扇；</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9、提供原厂首次基础安装服务及3年售后维保服务。</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22CE">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r>
      <w:tr w14:paraId="60C50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445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5476">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2</w:t>
            </w:r>
          </w:p>
        </w:tc>
        <w:tc>
          <w:tcPr>
            <w:tcW w:w="1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9E701">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18"/>
                <w:szCs w:val="20"/>
                <w:u w:val="none"/>
              </w:rPr>
            </w:pPr>
            <w:r>
              <w:rPr>
                <w:rFonts w:hint="eastAsia" w:ascii="微软雅黑" w:hAnsi="微软雅黑" w:eastAsia="微软雅黑" w:cs="微软雅黑"/>
                <w:b/>
                <w:bCs/>
                <w:i w:val="0"/>
                <w:iCs w:val="0"/>
                <w:color w:val="000000"/>
                <w:kern w:val="0"/>
                <w:sz w:val="18"/>
                <w:szCs w:val="20"/>
                <w:u w:val="none"/>
                <w:lang w:val="en-US" w:eastAsia="zh-CN" w:bidi="ar"/>
              </w:rPr>
              <w:t>前置机服务器</w:t>
            </w:r>
          </w:p>
        </w:tc>
        <w:tc>
          <w:tcPr>
            <w:tcW w:w="5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0F83">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1、标准机架式服务器，高度≥2U，标配原厂导轨；</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2、配置≥2颗4314处理器，单颗CPU≥16核，主频≥2.4GHz；</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3、配置≥32个内存插槽，≥2个64GB 3200MHz DDR4内存模块，最高速率3200MT/s；</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4、配置≥8个SFF热插拔硬盘槽位，≥2个1.92TB Nvme u.2 SSD硬盘；</w:t>
            </w:r>
            <w:r>
              <w:rPr>
                <w:rStyle w:val="12"/>
                <w:rFonts w:ascii="微软雅黑" w:eastAsia="微软雅黑"/>
                <w:sz w:val="18"/>
                <w:lang w:val="en-US" w:eastAsia="zh-CN" w:bidi="ar"/>
              </w:rPr>
              <w:t>≥2块480G SSD硬盘</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5、配置≥1块VROC 模块，支持Nvme硬盘 RAID0/1/10/5；</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6、支持≥10个PCIE3.0可用插槽（包含1个阵列卡专用插槽和1个网卡专用插槽）；</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7、配置≥4个千兆电口，≥2块双端口10G 网卡（含模块）；</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8、配置≥2个800W铂金版热插拔冗余电源，支持1+1冗余，支持热插拔冗余风扇；</w:t>
            </w:r>
            <w:r>
              <w:rPr>
                <w:rStyle w:val="13"/>
                <w:rFonts w:ascii="微软雅黑" w:eastAsia="微软雅黑"/>
                <w:sz w:val="18"/>
                <w:lang w:val="en-US" w:eastAsia="zh-CN" w:bidi="ar"/>
              </w:rPr>
              <w:br w:type="textWrapping"/>
            </w:r>
            <w:r>
              <w:rPr>
                <w:rStyle w:val="13"/>
                <w:rFonts w:ascii="微软雅黑" w:eastAsia="微软雅黑"/>
                <w:sz w:val="18"/>
                <w:lang w:val="en-US" w:eastAsia="zh-CN" w:bidi="ar"/>
              </w:rPr>
              <w:t>9、提供原厂首次基础安装服务及3年售后维保服务。</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056A">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r>
    </w:tbl>
    <w:p w14:paraId="45C73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972705B">
      <w:pPr>
        <w:rPr>
          <w:rFonts w:hint="default"/>
          <w:lang w:val="en-US" w:eastAsia="zh-CN"/>
        </w:rPr>
      </w:pPr>
    </w:p>
    <w:p w14:paraId="5B8050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2B5C073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6943F84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36D49CA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0357F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397F3B9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604D6B0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55CF30F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4CAD704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78B6E3A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579617F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6E53017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2932D28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0F1326BC">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7402C08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35263EB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9BF46E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心电网络总平台建设部分硬件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心电网络总平台建设部分硬件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19A0D50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0CEE09D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7"/>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4834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3528105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2B0327D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E2238F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062D000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392071A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00ADFCA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46E1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shd w:val="clear" w:color="auto" w:fill="auto"/>
            <w:noWrap w:val="0"/>
            <w:vAlign w:val="center"/>
          </w:tcPr>
          <w:p w14:paraId="2D8D80B9">
            <w:pPr>
              <w:keepNext w:val="0"/>
              <w:keepLines w:val="0"/>
              <w:widowControl/>
              <w:suppressLineNumbers w:val="0"/>
              <w:jc w:val="center"/>
              <w:textAlignment w:val="center"/>
              <w:rPr>
                <w:rFonts w:hint="default"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存储服务器</w:t>
            </w:r>
          </w:p>
        </w:tc>
        <w:tc>
          <w:tcPr>
            <w:tcW w:w="1220" w:type="dxa"/>
            <w:noWrap w:val="0"/>
            <w:vAlign w:val="center"/>
          </w:tcPr>
          <w:p w14:paraId="6F983EA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7945844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C32625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7C107D4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F6D514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1E80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shd w:val="clear" w:color="auto" w:fill="auto"/>
            <w:noWrap w:val="0"/>
            <w:vAlign w:val="center"/>
          </w:tcPr>
          <w:p w14:paraId="557AF32C">
            <w:pPr>
              <w:keepNext w:val="0"/>
              <w:keepLines w:val="0"/>
              <w:widowControl/>
              <w:suppressLineNumbers w:val="0"/>
              <w:jc w:val="center"/>
              <w:textAlignment w:val="center"/>
              <w:rPr>
                <w:rFonts w:hint="default" w:ascii="微软雅黑" w:hAnsi="微软雅黑" w:eastAsia="微软雅黑" w:cs="微软雅黑"/>
                <w:b/>
                <w:bCs/>
                <w:i w:val="0"/>
                <w:iCs w:val="0"/>
                <w:color w:val="000000"/>
                <w:kern w:val="2"/>
                <w:sz w:val="20"/>
                <w:szCs w:val="20"/>
                <w:u w:val="none"/>
                <w:lang w:val="en-US" w:eastAsia="zh-CN" w:bidi="ar-SA"/>
              </w:rPr>
            </w:pPr>
            <w:r>
              <w:rPr>
                <w:rFonts w:hint="eastAsia" w:ascii="微软雅黑" w:hAnsi="微软雅黑" w:eastAsia="微软雅黑" w:cs="微软雅黑"/>
                <w:b/>
                <w:bCs/>
                <w:i w:val="0"/>
                <w:iCs w:val="0"/>
                <w:color w:val="000000"/>
                <w:kern w:val="0"/>
                <w:sz w:val="20"/>
                <w:szCs w:val="20"/>
                <w:u w:val="none"/>
                <w:lang w:val="en-US" w:eastAsia="zh-CN" w:bidi="ar"/>
              </w:rPr>
              <w:t>前置机服务器</w:t>
            </w:r>
          </w:p>
        </w:tc>
        <w:tc>
          <w:tcPr>
            <w:tcW w:w="1220" w:type="dxa"/>
            <w:noWrap w:val="0"/>
            <w:vAlign w:val="center"/>
          </w:tcPr>
          <w:p w14:paraId="5DDCBC7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19C0687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016948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26930E7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C2DD1E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6E01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2BD258A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23B55DB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190C866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16C8757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212AD5C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7AD35A4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6479D1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2577F77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3FE8A9D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00337A9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4CFE16E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068D755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6C6BBC7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15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05D5DFF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44A599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4BFB5C6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2125280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43F2900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杨勇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93E2AC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1D0F290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0CD59CE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04CB4C59">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0CCFD29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1858098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283E4D5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6A92368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33779A3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36AADF48">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4B96646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51F8B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548CE68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32F85D6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63A805A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5ACA30A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3819192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72A2879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158A77F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5B4495B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56ABDEA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D0456A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12257CA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2B949EF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1596419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303ED5F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5BD0F242">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5BDCFE0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35EA582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3331BD9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6E0B07E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01928C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F29E15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64A776E">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67DA1F3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41E5475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4E9E654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76AA7CC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日仍不能供货；</w:t>
      </w:r>
    </w:p>
    <w:p w14:paraId="4FAD3B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5C6F0FA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3298E31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0FF29ED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083EAA3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23C3785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7A21990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2DFF75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30000.00元。如乙方除需承担违反廉洁条款的违约责任外，同时存在其他违约行为，乙方仍须就其他违约行为承担相应违约责任。</w:t>
      </w:r>
    </w:p>
    <w:p w14:paraId="56E6D8A9">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E1E275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29EA4D8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43081A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5AF8DC5A">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3E8F2C9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13D0BF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4FDF825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21A7A11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58233F4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5DF4674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733F7E26">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2737D27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47582B30">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450F7205">
      <w:pPr>
        <w:rPr>
          <w:rFonts w:hint="default"/>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p w14:paraId="5F035EC9"/>
    <w:p w14:paraId="14F2A5DF"/>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918DED8-2165-406A-A378-FB73569AB270}"/>
  </w:font>
  <w:font w:name="黑体">
    <w:panose1 w:val="02010609060101010101"/>
    <w:charset w:val="86"/>
    <w:family w:val="auto"/>
    <w:pitch w:val="default"/>
    <w:sig w:usb0="800002BF" w:usb1="38CF7CFA" w:usb2="00000016" w:usb3="00000000" w:csb0="00040001" w:csb1="00000000"/>
    <w:embedRegular r:id="rId2" w:fontKey="{18E8F7BF-7BB6-405A-8A63-45906B3870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1B864BA5-6584-4799-9F2A-9076B373C459}"/>
  </w:font>
  <w:font w:name="微软雅黑">
    <w:panose1 w:val="020B0503020204020204"/>
    <w:charset w:val="86"/>
    <w:family w:val="auto"/>
    <w:pitch w:val="default"/>
    <w:sig w:usb0="80000287" w:usb1="2ACF3C50" w:usb2="00000016" w:usb3="00000000" w:csb0="0004001F" w:csb1="00000000"/>
    <w:embedRegular r:id="rId4" w:fontKey="{A87A003D-08E9-48E7-99E7-FAFA24A722EE}"/>
  </w:font>
  <w:font w:name="方正小标宋简体">
    <w:panose1 w:val="02000000000000000000"/>
    <w:charset w:val="86"/>
    <w:family w:val="auto"/>
    <w:pitch w:val="default"/>
    <w:sig w:usb0="00000001" w:usb1="08000000" w:usb2="00000000" w:usb3="00000000" w:csb0="00040000" w:csb1="00000000"/>
    <w:embedRegular r:id="rId5" w:fontKey="{B4E69A6D-2F8C-4425-9645-505D1FD09162}"/>
  </w:font>
  <w:font w:name="仿宋">
    <w:panose1 w:val="02010609060101010101"/>
    <w:charset w:val="86"/>
    <w:family w:val="auto"/>
    <w:pitch w:val="default"/>
    <w:sig w:usb0="800002BF" w:usb1="38CF7CFA" w:usb2="00000016" w:usb3="00000000" w:csb0="00040001" w:csb1="00000000"/>
    <w:embedRegular r:id="rId6" w:fontKey="{764E1ED5-2240-46E3-8A7A-F247A72DF1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C49A6"/>
    <w:rsid w:val="10AD7440"/>
    <w:rsid w:val="246C49A6"/>
    <w:rsid w:val="517F097E"/>
    <w:rsid w:val="57232821"/>
    <w:rsid w:val="68CA5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character" w:customStyle="1" w:styleId="12">
    <w:name w:val="font41"/>
    <w:basedOn w:val="8"/>
    <w:qFormat/>
    <w:uiPriority w:val="0"/>
    <w:rPr>
      <w:rFonts w:hint="eastAsia" w:ascii="微软雅黑" w:hAnsi="微软雅黑" w:eastAsia="微软雅黑" w:cs="微软雅黑"/>
      <w:color w:val="FF0000"/>
      <w:sz w:val="18"/>
      <w:szCs w:val="18"/>
      <w:u w:val="none"/>
    </w:rPr>
  </w:style>
  <w:style w:type="character" w:customStyle="1" w:styleId="13">
    <w:name w:val="font31"/>
    <w:basedOn w:val="8"/>
    <w:qFormat/>
    <w:uiPriority w:val="0"/>
    <w:rPr>
      <w:rFonts w:hint="eastAsia" w:ascii="微软雅黑" w:hAnsi="微软雅黑" w:eastAsia="微软雅黑" w:cs="微软雅黑"/>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7853</Words>
  <Characters>8362</Characters>
  <Lines>0</Lines>
  <Paragraphs>0</Paragraphs>
  <TotalTime>0</TotalTime>
  <ScaleCrop>false</ScaleCrop>
  <LinksUpToDate>false</LinksUpToDate>
  <CharactersWithSpaces>9354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2025-09-18T00:24:00Z</dcterms:created>
  <dc:creator>胡涛</dc:creator>
  <cp:lastModifiedBy>Administrator</cp:lastModifiedBy>
  <dcterms:modified xsi:type="dcterms:W3CDTF">2025-09-23T02:12:20Z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8DB0530651194F4A89BD32D71D065376_11</vt:lpwstr>
  </property>
  <property fmtid="{D5CDD505-2E9C-101B-9397-08002B2CF9AE}" pid="4" name="KSOTemplateDocerSaveRecord">
    <vt:lpwstr>eyJoZGlkIjoiMjI0YzkyZjA4NDE5ZWViZGEyZTVjOTNhYTg4ZmYzYTcifQ==</vt:lpwstr>
  </property>
</Properties>
</file>