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C85DA">
      <w:pPr>
        <w:pStyle w:val="15"/>
        <w:snapToGrid w:val="0"/>
        <w:jc w:val="center"/>
        <w:rPr>
          <w:rFonts w:ascii="Arial" w:hAnsi="Arial" w:eastAsia="方正小标宋简体" w:cs="Arial"/>
          <w:color w:val="auto"/>
          <w:sz w:val="72"/>
          <w:szCs w:val="72"/>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7A0B0393">
      <w:pPr>
        <w:pStyle w:val="15"/>
        <w:snapToGrid w:val="0"/>
        <w:jc w:val="center"/>
        <w:rPr>
          <w:rFonts w:ascii="Arial" w:hAnsi="Arial" w:eastAsia="方正小标宋简体" w:cs="Arial"/>
          <w:sz w:val="36"/>
          <w:szCs w:val="36"/>
        </w:rPr>
      </w:pPr>
    </w:p>
    <w:p w14:paraId="285B29A7">
      <w:pPr>
        <w:pStyle w:val="16"/>
        <w:rPr>
          <w:rFonts w:ascii="Arial" w:hAnsi="Arial" w:eastAsia="方正小标宋简体" w:cs="Arial"/>
          <w:sz w:val="36"/>
          <w:szCs w:val="36"/>
        </w:rPr>
      </w:pPr>
    </w:p>
    <w:p w14:paraId="4BCC30B8">
      <w:pPr>
        <w:pStyle w:val="11"/>
        <w:rPr>
          <w:rFonts w:ascii="Arial" w:hAnsi="Arial" w:eastAsia="方正小标宋简体" w:cs="Arial"/>
          <w:sz w:val="36"/>
          <w:szCs w:val="36"/>
        </w:rPr>
      </w:pPr>
    </w:p>
    <w:p w14:paraId="02425ADE">
      <w:pPr>
        <w:pStyle w:val="11"/>
        <w:rPr>
          <w:rFonts w:ascii="Arial" w:hAnsi="Arial" w:eastAsia="方正小标宋简体" w:cs="Arial"/>
          <w:sz w:val="36"/>
          <w:szCs w:val="36"/>
        </w:rPr>
      </w:pPr>
    </w:p>
    <w:p w14:paraId="70EEFCB1">
      <w:pPr>
        <w:pStyle w:val="11"/>
        <w:rPr>
          <w:rFonts w:ascii="Arial" w:hAnsi="Arial" w:eastAsia="方正小标宋简体" w:cs="Arial"/>
          <w:sz w:val="36"/>
          <w:szCs w:val="36"/>
        </w:rPr>
      </w:pPr>
    </w:p>
    <w:p w14:paraId="138D3AFA">
      <w:pPr>
        <w:pStyle w:val="11"/>
        <w:rPr>
          <w:rFonts w:ascii="Arial" w:hAnsi="Arial" w:eastAsia="方正小标宋简体" w:cs="Arial"/>
          <w:sz w:val="36"/>
          <w:szCs w:val="36"/>
        </w:rPr>
      </w:pPr>
    </w:p>
    <w:p w14:paraId="1816A219">
      <w:pPr>
        <w:pStyle w:val="11"/>
        <w:rPr>
          <w:rFonts w:ascii="Arial" w:hAnsi="Arial" w:eastAsia="方正小标宋简体" w:cs="Arial"/>
          <w:sz w:val="36"/>
          <w:szCs w:val="36"/>
        </w:rPr>
      </w:pPr>
    </w:p>
    <w:p w14:paraId="404D9E5B">
      <w:pPr>
        <w:pStyle w:val="11"/>
        <w:rPr>
          <w:rFonts w:ascii="Arial" w:hAnsi="Arial" w:eastAsia="方正小标宋简体" w:cs="Arial"/>
          <w:sz w:val="36"/>
          <w:szCs w:val="36"/>
        </w:rPr>
      </w:pPr>
    </w:p>
    <w:p w14:paraId="4A7BBC85">
      <w:pPr>
        <w:pStyle w:val="15"/>
        <w:snapToGrid w:val="0"/>
        <w:jc w:val="center"/>
        <w:rPr>
          <w:rFonts w:ascii="Arial" w:hAnsi="Arial" w:cs="Arial"/>
          <w:sz w:val="32"/>
          <w:szCs w:val="32"/>
        </w:rPr>
      </w:pPr>
    </w:p>
    <w:p w14:paraId="5D6891B0">
      <w:pPr>
        <w:pStyle w:val="15"/>
        <w:snapToGrid w:val="0"/>
        <w:jc w:val="center"/>
        <w:rPr>
          <w:rFonts w:ascii="Arial" w:hAnsi="Arial" w:cs="Arial"/>
          <w:sz w:val="32"/>
          <w:szCs w:val="32"/>
        </w:rPr>
      </w:pPr>
    </w:p>
    <w:p w14:paraId="71F500A4">
      <w:pPr>
        <w:pStyle w:val="15"/>
        <w:snapToGrid w:val="0"/>
        <w:jc w:val="center"/>
        <w:rPr>
          <w:rFonts w:ascii="Arial" w:hAnsi="Arial" w:cs="Arial"/>
          <w:sz w:val="32"/>
          <w:szCs w:val="32"/>
        </w:rPr>
      </w:pPr>
    </w:p>
    <w:p w14:paraId="71AE6BAC">
      <w:pPr>
        <w:spacing w:line="360" w:lineRule="auto"/>
        <w:rPr>
          <w:rFonts w:hint="eastAsia"/>
          <w:bCs/>
          <w:sz w:val="32"/>
          <w:szCs w:val="32"/>
        </w:rPr>
      </w:pPr>
    </w:p>
    <w:p w14:paraId="4DC585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14A2038A">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（腔镜手术器械</w:t>
      </w:r>
      <w:r>
        <w:rPr>
          <w:rFonts w:hint="eastAsia" w:ascii="Times New Roman" w:hAnsi="Times New Roman" w:eastAsia="宋体" w:cs="Times New Roman"/>
          <w:b/>
          <w:bCs/>
          <w:kern w:val="44"/>
          <w:sz w:val="32"/>
          <w:szCs w:val="32"/>
          <w:lang w:val="en-US" w:eastAsia="zh-CN" w:bidi="ar-SA"/>
        </w:rPr>
        <w:t>院内</w:t>
      </w:r>
      <w:r>
        <w:rPr>
          <w:rFonts w:hint="eastAsia" w:cs="Times New Roman"/>
          <w:b/>
          <w:bCs/>
          <w:kern w:val="44"/>
          <w:sz w:val="32"/>
          <w:szCs w:val="32"/>
          <w:lang w:val="en-US" w:eastAsia="zh-CN" w:bidi="ar-SA"/>
        </w:rPr>
        <w:t>公开挂网</w:t>
      </w:r>
      <w:r>
        <w:rPr>
          <w:rFonts w:hint="eastAsia" w:ascii="Times New Roman" w:hAnsi="Times New Roman" w:eastAsia="宋体" w:cs="Times New Roman"/>
          <w:b/>
          <w:bCs/>
          <w:kern w:val="44"/>
          <w:sz w:val="32"/>
          <w:szCs w:val="32"/>
          <w:lang w:val="en-US" w:eastAsia="zh-CN" w:bidi="ar-SA"/>
        </w:rPr>
        <w:t>）</w:t>
      </w:r>
    </w:p>
    <w:p w14:paraId="5335AED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165CBFBA">
      <w:pPr>
        <w:spacing w:line="320" w:lineRule="exact"/>
        <w:jc w:val="left"/>
        <w:rPr>
          <w:sz w:val="24"/>
        </w:rPr>
      </w:pPr>
    </w:p>
    <w:p w14:paraId="5C0D5D92">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五</w:t>
      </w:r>
      <w:r>
        <w:rPr>
          <w:rFonts w:hint="eastAsia" w:ascii="宋体" w:hAnsi="宋体" w:cs="宋体"/>
          <w:bCs/>
          <w:sz w:val="32"/>
          <w:szCs w:val="32"/>
        </w:rPr>
        <w:t>年</w:t>
      </w:r>
      <w:r>
        <w:rPr>
          <w:rFonts w:hint="eastAsia" w:ascii="宋体" w:hAnsi="宋体" w:cs="宋体"/>
          <w:bCs/>
          <w:sz w:val="32"/>
          <w:szCs w:val="32"/>
          <w:lang w:val="en-US" w:eastAsia="zh-CN"/>
        </w:rPr>
        <w:t>八</w:t>
      </w:r>
      <w:bookmarkStart w:id="5" w:name="_GoBack"/>
      <w:bookmarkEnd w:id="5"/>
      <w:r>
        <w:rPr>
          <w:rFonts w:hint="eastAsia" w:ascii="宋体" w:hAnsi="宋体" w:cs="宋体"/>
          <w:bCs/>
          <w:sz w:val="32"/>
          <w:szCs w:val="32"/>
        </w:rPr>
        <w:t>月</w:t>
      </w:r>
    </w:p>
    <w:p w14:paraId="39517B17">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4CDE80D5">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腔镜手术器械</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5EC85F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06492F">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腔镜手术器械</w:t>
      </w:r>
      <w:r>
        <w:rPr>
          <w:rFonts w:hint="eastAsia" w:asciiTheme="minorEastAsia" w:hAnsiTheme="minorEastAsia" w:eastAsiaTheme="minorEastAsia" w:cstheme="minorEastAsia"/>
          <w:b w:val="0"/>
          <w:bCs/>
          <w:color w:val="auto"/>
          <w:sz w:val="24"/>
          <w:szCs w:val="24"/>
          <w:lang w:val="en-US" w:eastAsia="zh-CN"/>
        </w:rPr>
        <w:t>采购项目</w:t>
      </w:r>
    </w:p>
    <w:p w14:paraId="6ECACE7D">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549F44A8">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医院公开挂网，按招标文件评分规则进行评审，以评审结果排序，综合评分得分相同的，按投标报价由低到高顺序排列，得分且投标报价相同的，按技术指标优劣顺序排列。</w:t>
      </w:r>
    </w:p>
    <w:bookmarkEnd w:id="0"/>
    <w:p w14:paraId="32757B3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7D560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789D34E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1、投标截止时间、开标时间：具体时间电话通知</w:t>
      </w:r>
    </w:p>
    <w:p w14:paraId="21C864B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8CFB5B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13CD957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B640F9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1273820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6D2908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438F044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3D06705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85C1E2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E7B3B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1D47E51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4F3720F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25BDAB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6B9F99DC">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06E0E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616206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89B0C0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50974657">
      <w:pPr>
        <w:pStyle w:val="16"/>
        <w:rPr>
          <w:rFonts w:hint="eastAsia"/>
          <w:lang w:val="en-US" w:eastAsia="zh-CN"/>
        </w:rPr>
      </w:pPr>
    </w:p>
    <w:p w14:paraId="24F3677D">
      <w:pPr>
        <w:pStyle w:val="16"/>
        <w:jc w:val="both"/>
        <w:rPr>
          <w:rFonts w:hint="default"/>
          <w:lang w:val="en-US" w:eastAsia="zh-CN"/>
        </w:rPr>
      </w:pPr>
    </w:p>
    <w:p w14:paraId="3AB80244">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B4DC417">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43E9672">
      <w:pPr>
        <w:pStyle w:val="16"/>
        <w:rPr>
          <w:rFonts w:hint="eastAsia" w:ascii="宋体" w:hAnsi="宋体" w:cs="宋体"/>
          <w:b/>
          <w:bCs/>
          <w:color w:val="auto"/>
          <w:sz w:val="44"/>
          <w:szCs w:val="44"/>
          <w:lang w:val="en-US" w:eastAsia="zh-CN"/>
        </w:rPr>
      </w:pPr>
    </w:p>
    <w:p w14:paraId="5BA5BAC5">
      <w:pPr>
        <w:pStyle w:val="11"/>
        <w:rPr>
          <w:rFonts w:hint="eastAsia" w:ascii="宋体" w:hAnsi="宋体" w:cs="宋体"/>
          <w:b/>
          <w:bCs/>
          <w:color w:val="auto"/>
          <w:sz w:val="44"/>
          <w:szCs w:val="44"/>
          <w:lang w:val="en-US" w:eastAsia="zh-CN"/>
        </w:rPr>
      </w:pPr>
    </w:p>
    <w:p w14:paraId="311D956D">
      <w:pPr>
        <w:rPr>
          <w:rFonts w:hint="eastAsia" w:ascii="宋体" w:hAnsi="宋体" w:cs="宋体"/>
          <w:b/>
          <w:bCs/>
          <w:color w:val="auto"/>
          <w:sz w:val="44"/>
          <w:szCs w:val="44"/>
          <w:lang w:val="en-US" w:eastAsia="zh-CN"/>
        </w:rPr>
      </w:pPr>
    </w:p>
    <w:p w14:paraId="5EA6EFA8">
      <w:pPr>
        <w:pStyle w:val="14"/>
        <w:rPr>
          <w:rFonts w:hint="eastAsia"/>
          <w:lang w:val="en-US" w:eastAsia="zh-CN"/>
        </w:rPr>
      </w:pPr>
    </w:p>
    <w:p w14:paraId="02602556">
      <w:pPr>
        <w:pStyle w:val="4"/>
        <w:rPr>
          <w:rFonts w:hint="eastAsia" w:ascii="宋体" w:hAnsi="宋体" w:cs="宋体"/>
          <w:b/>
          <w:bCs/>
          <w:color w:val="auto"/>
          <w:sz w:val="44"/>
          <w:szCs w:val="44"/>
          <w:lang w:val="en-US" w:eastAsia="zh-CN"/>
        </w:rPr>
      </w:pPr>
    </w:p>
    <w:p w14:paraId="1AE91E79">
      <w:pPr>
        <w:rPr>
          <w:rFonts w:hint="eastAsia" w:ascii="宋体" w:hAnsi="宋体" w:cs="宋体"/>
          <w:b/>
          <w:bCs/>
          <w:color w:val="auto"/>
          <w:sz w:val="44"/>
          <w:szCs w:val="44"/>
          <w:lang w:val="en-US" w:eastAsia="zh-CN"/>
        </w:rPr>
      </w:pPr>
    </w:p>
    <w:p w14:paraId="6E5E4BA7">
      <w:pPr>
        <w:rPr>
          <w:rFonts w:hint="eastAsia"/>
          <w:lang w:val="en-US" w:eastAsia="zh-CN"/>
        </w:rPr>
      </w:pPr>
    </w:p>
    <w:p w14:paraId="5A6DF2D9">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8503B1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7D70D05">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1.采购项目及技术参数</w:t>
      </w:r>
    </w:p>
    <w:tbl>
      <w:tblPr>
        <w:tblStyle w:val="1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086"/>
        <w:gridCol w:w="4377"/>
        <w:gridCol w:w="473"/>
        <w:gridCol w:w="519"/>
        <w:gridCol w:w="727"/>
        <w:gridCol w:w="1903"/>
      </w:tblGrid>
      <w:tr w14:paraId="3A269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5EB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166E2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器械名称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99163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9BD42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A58F7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预估年度量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93389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预算单价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B7A1">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预估年度总预算</w:t>
            </w:r>
          </w:p>
        </w:tc>
      </w:tr>
      <w:tr w14:paraId="68FC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2E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7A6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内窥镜用高频手术器械（输尿管抓钳）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2FD9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0294.1-2016中M号钢，绝缘套管用PEEK制造。夹持力不小于20N。其硬度不小于350HV0.2，进入患者部分表面粗糙度Ra参数值的最大值为0.4μm。耐腐蚀性能不低于YY/T0149-2006中5.4b级的规定。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3.头部形状多种多样，囊括上百种钳头，全满足操作者的多种需求。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胆道镜抓取钳，头部装有软保护套，夹持胆道镜时可以保护镜子不受损伤；滑槽结构的抓钳，达到高绝缘的效果；特制的肠钳，夹持肠管时钳头紧贴组织，不滑脱。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5FFA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07F6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27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4F2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r>
      <w:tr w14:paraId="5A787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0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FC9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内窥镜用高频手术器械（弯剪刀）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3A4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0294.1-2016中C号钢，钳杆及内芯采用YY/T 0294.1-2016中M号钢，绝缘套管用PEEK制造。其硬度不小于350HV0.2</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4.根据头部形状可分为直头，弯头，钩和翘头等，根据钳头张开方式又可分为双动和单动两种，完全满足操作者的多种需求。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5.钳头张开角度不小于30°。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7.包含两拆、三拆两种结构，安装简单方便，且清洗更彻底。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8.滑槽款剪刀裸露金属部位少，电凝止血安全高效。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8F36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CDC7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9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8E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7250</w:t>
            </w:r>
          </w:p>
        </w:tc>
      </w:tr>
      <w:tr w14:paraId="120B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7C4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FB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内窥镜用高频手术器械（弯分离钳）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D975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0294.1-2016中M号钢，绝缘套管用PEEK制造。单极电凝分离钳的夹持力不小于20N。其硬度为不小于350HV0.2，进入患者部分表面粗糙度Ra参数值的最大值为0.4μm。耐腐蚀性能不低于YY/T0149-2006中5.4b级的规定。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3.根据头部形状可分为直分离钳，弯分离钳，直角分离钳等，且根据手术部位不同，头部又按照钳头长短、外形、角度等方面设计成多种型号来满足不同手术需要，例如 高绝缘分离钳（又称神经探针），接触面少，损伤小，可用于神经监测。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4.钳头张开角度大于等于50°，分离效果更好。</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7.滑槽款暴露金属部位很少，电凝止血安全高效。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1A2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4001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B9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3CC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8250</w:t>
            </w:r>
          </w:p>
        </w:tc>
      </w:tr>
      <w:tr w14:paraId="5EADB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C2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7F7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内窥镜用高频手术器械（无创抓钳）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F697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0294.1-2016中M号钢，绝缘套管用PEEK制造。夹持力不小于20N。其硬度不小于350HV0.2，进入患者部分表面粗糙度Ra参数值的最大值为0.4μm。耐腐蚀性能不低于YY/T0149-2006中5.4b级的规定。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3.头部形状多种多样，囊括上百种钳头，全满足操作者的多种需求。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胆道镜抓取钳，头部装有软保护套，夹持胆道镜时可以保护镜子不受损伤；滑槽结构的抓钳，达到高绝缘的效果；特制的肠钳，夹持肠管时钳头紧贴组织，不滑脱。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0D47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56EA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F1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226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5400</w:t>
            </w:r>
          </w:p>
        </w:tc>
      </w:tr>
      <w:tr w14:paraId="4964B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02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383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内窥镜用高频手术器械（大型直角分离钳）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B8F2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0294.1-2016中M号钢，绝缘套管用PEEK制造。单极电凝分离钳的夹持力不小于20N。其硬度为不小于350HV0.2，进入患者部分表面粗糙度Ra参数值的最大值为0.4μm。耐腐蚀性能不低于YY/T0149-2006中5.4b级的规定。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3.根据头部形状可分为直分离钳，弯分离钳，直角分离钳等，且根据手术部位不同，头部又按照钳头长短、外形、角度等方面设计成多种型号来满足不同手术需要，例如 高绝缘分离钳（又称神经探针），接触面少，损伤小，可用于神经监测。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4.钳头张开角度大于等于50°，分离效果更好。</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7.滑槽款暴露金属部位很少，电凝止血安全高效。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3EC0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106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A71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92C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4400</w:t>
            </w:r>
          </w:p>
        </w:tc>
      </w:tr>
      <w:tr w14:paraId="4CF5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F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D6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内窥镜用高频手术器械（二拆手柄）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0AEB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FE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69E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E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F7B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1500</w:t>
            </w:r>
          </w:p>
        </w:tc>
      </w:tr>
      <w:tr w14:paraId="6DE1D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1D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C809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腹腔镜手术器械（八爪抓钳）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393D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1.抓钳夹持性能：φ5mm外径的钳子夹持力不小于20N，φ10mm外径钳子夹持力不小于40N。钳头采用ASTM F899-09中的630号钢制造，杆部与患者接触材料采用YY/T0294.1-2016中M号钢制造。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2.规格Φ5和Φ10，工作长度180-500mm。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3.可选配金属手柄和塑料手柄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30F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0EB7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C3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FABB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4000</w:t>
            </w:r>
          </w:p>
        </w:tc>
      </w:tr>
      <w:tr w14:paraId="6037C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2E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5C2F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腹腔镜手术器械（持针钳）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B74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1.持针钳夹持性能：φ2mm外径的钳子夹持力应不小于5N,φ5mm外径的钳子夹持力不小于20N。钳头采用ASTM F899-09中的630号钢制造，杆部与患者接触材料采用YY/T0294.1-2016中M号钢制造。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2.规格有Φ3、Φ5，工作长度180-450mm。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3.有弯头、直头、归位和弧形归位等多种头型，其中直头和弯头有常规型和精细型，其中精细型头型更小，缝合时视野更好，适用精细缝合。</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4.手柄有O型、V型和枪型等，其中枪型手柄采用钛合金加工，轻盈且强度高。</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5.O型手柄带搭扣，闭合和打开手柄时更稳定。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7B0E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AB82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C0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721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7200</w:t>
            </w:r>
          </w:p>
        </w:tc>
      </w:tr>
      <w:tr w14:paraId="07E6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4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8AA7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腹腔镜手术器械（吸引器）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F1B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吸引器采用YY/T0294.1-2016中M号钢制造。吸引器内芯通常，无堵塞现象。器械进入人体部分表面粗糙度：抛光表面Ra参数值的最大值为0.2μm，表面Ra参数值的最大值为0.8μm，其余部分的最大值为1.6μm。器械的耐腐蚀性能不低于YY/T0149-2006 中 5.4b 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2.吸引管可配Φ3、Φ5和Φ10，工作长度180-450mm。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3.推杆式吸引器按阀体大小可分大号、中号和小号推杆式吸引器，阀体设有复位机构，使用中阀体卡滞时用力按压阀门盖“咔”一声即复位。</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4.弹簧式吸引器密封良好，可方便实现点吸引。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5.枪式吸引器外形符合人体工程学，握感好。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16D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D6D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B7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658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6300</w:t>
            </w:r>
          </w:p>
        </w:tc>
      </w:tr>
      <w:tr w14:paraId="5E8F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E6F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B69F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内窥镜用高频手术器械（胆囊抓钳）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991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0294.1-2016中M号钢，绝缘套管用PEEK制造。夹持力不小于20N。其硬度不小于350HV0.2，进入患者部分表面粗糙度Ra参数值的最大值为0.4μm。耐腐蚀性能不低于YY/T0149-2006中5.4b级的规定。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3.头部形状多种多样，囊括上百种钳头，全满足操作者的多种需求。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胆道镜抓取钳，头部装有软保护套，夹持胆道镜时可以保护镜子不受损伤；滑槽结构的抓钳，达到高绝缘的效果；特制的肠钳，夹持肠管时钳头紧贴组织，不滑脱。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3A7D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ED2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AC1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012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4500</w:t>
            </w:r>
          </w:p>
        </w:tc>
      </w:tr>
      <w:tr w14:paraId="0722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8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CC3B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腹腔镜手术器械（施夹钳）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AC4B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1.施夹器夹持性能：φ5.5mm外径的钳子夹持力不小于20N，φ10mm外径钳子夹持力不小于40N。钳头采用ASTM F899-09中的630号钢制造，杆部与患者接触材料采用YY/T0294.1-2016中M号钢制造。施夹器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2.规格有Ф5.5、Ф10，工作长度180-450mm，适合各种部位各种患者腔镜手术。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4.头部多种弯曲角度，可以保证良好的手术视野以及不同角度走向的血管。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5.改良钳头，夹子固定更牢靠，术中不易掉夹。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149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07F5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D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358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7000</w:t>
            </w:r>
          </w:p>
        </w:tc>
      </w:tr>
      <w:tr w14:paraId="3F167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1B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5AAF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内窥镜用高频手术器械（单极电凝线）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354A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1.规格Φ4×3000，电缆线材质可高温灭菌。</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2.接口有4mm、6mm和8mm，可适配市场上大部分高频电刀主机。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5B06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4EAB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11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1DD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r>
      <w:tr w14:paraId="7C42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F4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028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腹腔镜手术器械（穿刺器）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6D74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1.穿刺器采用YY/T0294.1-2016中M号钢制造。</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器械进入人体部分表面粗糙度：抛光表面Ra参数值的最大值为0.2μm，表面Ra参数值的最大值为0.8μm，其余部分的最大值为1.6μm。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阀门旋转应灵活，在关闭姿态下，经4kPa气压，应无明显渗漏；穿刺器的阻气阀应有良好阻气功能，经4kPa气压，冒出的气泡少于20个。</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2.规格有Ф3、Ф5、Ф10、Ф12.5、Ф15、Ф18，工作长度50-250mm，适合婴儿、成年和肥胖等各类型患者。</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3.磁片、翻盖和十字硅胶帽等多种密封可选。</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4.套管有普通款和带螺纹款，带螺纹款可防止术中穿刺器滑脱。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5.穿刺器穿刺针有锐头、钝头和保护头等多型可选。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6AD6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C4F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C82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455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2800</w:t>
            </w:r>
          </w:p>
        </w:tc>
      </w:tr>
      <w:tr w14:paraId="11A0B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9F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BEF5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电动子宫切除器及配套手术器械（穿刺套管）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96916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1.器械接触人体的不锈钢材料为YY/T 0294.1-2016中M号钢。</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2.其表面粗糙度器械接触人体的部位≤0.8µm，其余部位≤3.2µm。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3.器械的耐腐蚀性能应不低于YY/T 0149-2006中5.4的规定，器械外表面b级。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7CF1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B997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69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04D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2800</w:t>
            </w:r>
          </w:p>
        </w:tc>
      </w:tr>
      <w:tr w14:paraId="077A6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EF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165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腹腔镜手术器械（穿刺针）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C74F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穿刺针的针尖应光滑、锋锐、无毛刺等缺陷。刃口锋利，能顺利穿透2mm厚的硅胶膜。穿刺针硬度为：200HV0.2-400HV0.2，器械进入人体部分表面粗糙度：抛光表面Ra参数值的最大值为0.2μm，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2.规格Φ5，工作长度180-450mm。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3.可选7#、9#、12#、16#、18#、20#、22#、25#针头。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741E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DC11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96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A18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2940</w:t>
            </w:r>
          </w:p>
        </w:tc>
      </w:tr>
      <w:tr w14:paraId="59A47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2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0B7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杯式举宫器（举宫杯）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711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杯式举宫器与患者接触的金属部分采用符合304号钢材料制造，举宫杯采用聚四氟乙烯制造。</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8E37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273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57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F85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r>
      <w:tr w14:paraId="2EEB2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FEB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3A67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电动子宫切除器及配套手术器械（肌瘤钻）</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BAC5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1.器械接触人体的不锈钢材料为YY/T 0294.1-2016中M号钢。</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2.其表面粗糙度器械接触人体的部位≤0.8µm，其余部位≤3.2µm。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3.肌瘤钻钻头硬度应为450 HV0.2～560 HV0.2。</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4.器械的耐腐蚀性能应不低于YY/T 0149-2006中5.4的规定，器械外表面b级。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E2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88D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69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40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2400</w:t>
            </w:r>
          </w:p>
        </w:tc>
      </w:tr>
      <w:tr w14:paraId="4E188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64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5EF6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内窥镜用高频手术器械（电钩）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F8F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1.单极电凝钩头部采用YY/T 0294.1-2016中M号钢，绝缘套管用PEEK制造。进入患者部分表面粗糙度Ra参数值的最大值为0.4μm。耐腐蚀性能不低于YY/T0149-2006中5.4b级的规定。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2.包含Ф5规格，多种工作长度适合各种部位各种患者腔镜手术。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3.手柄设计灵巧轻便。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7B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DE99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52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DD1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3300</w:t>
            </w:r>
          </w:p>
        </w:tc>
      </w:tr>
      <w:tr w14:paraId="7C5B9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5EF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6080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内窥镜用高频手术器械（电棒）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BF4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1.单极电凝棒头部采用YY/T 0294.1-2016中M号钢，绝缘套管用PEEK制造。进入患者部分表面粗糙度Ra参数值的最大值为0.4μm。耐腐蚀性能不低于YY/T0149-2006中5.4b级的规定。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2.包含Ф5规格，多种工作长度适合各种部位各种患者腔镜手术。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3.手柄设计灵巧轻便。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9856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198E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73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CFFF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r>
      <w:tr w14:paraId="2278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A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3C9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腹腔镜手术器械（五叶钳）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FA0BC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1.扇形钳夹持性能：φ5mm外径的钳子夹持力不小于20N，φ10mm外径钳子夹持力不小于40N。钳头采用ASTM F899-09中的630号钢制造，杆部与患者接触材料采用YY/T0294.1-2016中M号钢制造。硬度为200HV0.2-400HV0.2。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2.头部可承受不小于10N的托举力，关节调节过程轻松顺利。</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3.规格Φ5和Φ10，工作长度180-450mm。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4.有多种钳头，三叶扇形、五叶扇形、连接扇形等，其中Φ10五叶扇形钳有头部可弯曲款，适格腹腔内各组织的提、挡、托、举等动作。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462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34F9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B5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07E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4800</w:t>
            </w:r>
          </w:p>
        </w:tc>
      </w:tr>
      <w:tr w14:paraId="0678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34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BA8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导光束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885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导光束：φ4.8x3米，耐高温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ABB5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8B9B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468F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D6F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r>
      <w:tr w14:paraId="15284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74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FDF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腹腔镜手术器械（金手指抓钳（半钩）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EE8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1.抓钳夹持性能：φ5mm外径的钳子夹持力不小于20N，φ10mm外径钳子夹持力不小于40N。钳头采用ASTM F899-09中的630号钢制造，杆部与患者接触材料采用YY/T0294.1-2016中M号钢制造。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2.规格Φ3、Φ5和Φ10，工作长度180-500mm。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3.可选配金属手柄和塑料手柄</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4.金手指抓钳有半钩、正钩、反钩等，部分款式带勾线槽。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365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50ED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E78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21DC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4500</w:t>
            </w:r>
          </w:p>
        </w:tc>
      </w:tr>
      <w:tr w14:paraId="689B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F2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8388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医用拉钩（肝脏拉钩）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E59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1.器械进入人体部位表面粗糙度Ra值应≤0.8μm，其余部位应≤1.6μm。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2.器械应具有良好的耐腐蚀性能，经沸水实验法，不得产生腐蚀现象。应符合YY/T0149-2006中5.4b级的规定。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3.Ⅰ型肝脏拉钩与人体接触部分采用钛合金或镍钛合金材料制成，Ⅱ型肝脏拉钩采用符合ASTM F899标准的631号不锈钢材料制成。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3D8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F9FC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0B6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730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5200</w:t>
            </w:r>
          </w:p>
        </w:tc>
      </w:tr>
      <w:tr w14:paraId="73FDD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A48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E6A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腹腔镜手术器械(腹壁缝合钳)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3458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1.腹壁缝合钳夹持性能：φ2mm外径的钳子夹持力应不小于5N。钳头采用ASTM F899-09中的630号钢制造，杆部与患者接触材料采用YY/T0294.1-2016中M号钢制造。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2.规格Φ1.5、Φ1.8、Φ2、Φ2.2、Φ2.5，工作长度100-220mm。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3.手柄包含枪式、钩式、指圈式和针式。</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4.多种钳头，单动上开口、单动下开口、双动钳头，部分款式带注水功能。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C80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BA8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411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3AE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4500</w:t>
            </w:r>
          </w:p>
        </w:tc>
      </w:tr>
      <w:tr w14:paraId="35395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E7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F8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荷包钳(剪式)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5722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1.荷包钳外表应光滑、圆润，不得有锋棱、毛刺和裂纹等缺陷。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2.荷包钳各连接、焊接部位应牢固可靠，不得有虚焊、脱焊或堆焊现象。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3.荷包钳的铆钉应牢固的铆合在相应的部位上，不得有松动、脱落现象，工作时也不得跟动。</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4.荷包钳闭合时，两片钳头应相互吻合，不得有偏摆、错口的现象。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5.钳头采用符合YY/T 0294.1-2005标准中的M号钢材料制造，手握式荷包钳的杆管和手柄采用06Cr19Ni10材料制造。</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6.荷包钳头部应经热处理，其硬度35HRC～45HRC。</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7.荷包钳应具有良好的耐腐蚀性能，经沸水实验法，不得产生腐蚀现象，应符合YY/T0149-2006中5.4b级的规定。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8.荷包钳应有良好的夹持性能，其夹持力应不小于20N。</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9.荷包钳进入人体部位表面粗糙度Ra值应≤0.4μm，其余部位应≤1.6μm。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10.荷包钳应有良好的弹性和牢固性，当钳头夹紧Ф2mm紫铜棒时，各部位不应产生弯曲和断裂的现象。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223B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14F6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CB59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B3E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3600</w:t>
            </w:r>
          </w:p>
        </w:tc>
      </w:tr>
      <w:tr w14:paraId="2740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EE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466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内窥镜用高频手术器械(带电凝吸引器)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C169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0294.1-2016中M号钢，绝缘套管用PEEK制造。其硬度不小于350HV0.2，进入患者部分表面粗糙度Ra参数值的最大值为0.4μm。耐腐蚀性能不低于YY/T0149-2006中5.4b级的规定。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2.规格Φ5，多种工作长度适合各种部位各种患者腔镜手术。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3.根据吸引器头部可分为钩状、棒状、铲状，根据吸引器阀可分为推杆式、弹簧式、按压式、枪式等若干规格，以此来满足操作者的各种需求。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F7D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B77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4110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F78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4800</w:t>
            </w:r>
          </w:p>
        </w:tc>
      </w:tr>
      <w:tr w14:paraId="6A7F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31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D0CC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腹腔镜手术器械(胆道取石钳)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A43B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1.规格有Φ5、Φ6、Φ7、Φ8、Φ10，工作长度180-450,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2.钳头采用ASTM F899-09中的630号钢制造，杆部与患者接触材料采用YY/T0294.1-2016中M号钢制造。硬度为200HV0.2-400HV0.2。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3.钳口有单动、双动款</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4.可360°旋转，满足腔镜手术的各种角度需要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0B1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C2F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5BD3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4A3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5100</w:t>
            </w:r>
          </w:p>
        </w:tc>
      </w:tr>
      <w:tr w14:paraId="08DCB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E1E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1BBE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杯式举宫器(特种举宫器）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FB3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1.杯式举宫器与患者接触的金属部分采用符合304号钢材料制造，举宫杯采用聚四氟乙烯制造。球囊举宫器的举宫杯采用聚苯硫醚制造。</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2.举宫器头端应光滑、圆润，不得有锋棱、毛刺和裂纹等缺陷。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3.举宫器各连接、焊接部位的固定应牢固可靠，焊缝平整、光滑，不得有虚焊、脱焊或堆焊现象。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4.举宫器的螺钉在相应的部位上应紧密配合，不得有松动、脱落现象。鳃轴螺钉应牢固的被固定，工作时也不得跟动。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240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3F9C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8910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5EB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4000</w:t>
            </w:r>
          </w:p>
        </w:tc>
      </w:tr>
      <w:tr w14:paraId="52A6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18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273C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举宫器(简易举宫器）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7431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1.简易举宫器和可调举宫器与患者接触的金属部分采用符合YY/T 0294.1-2005标准中的M号钢材料制造，举宫球与患者接触的金属部分采用符合YY/T 0294.1-2005标准中的不锈钢和钛合金制造。</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2.举宫器应具有良好的耐腐蚀性能，应符合YY/T0149-2006中5.4b级的规定。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3.举宫器进入人体部位表面粗糙度Ra值应≤0.8μm，其余部位为≤1.6μm。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4.举宫器应使用方便，无卡滞现象。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F17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29E6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ED2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7C7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1400</w:t>
            </w:r>
          </w:p>
        </w:tc>
      </w:tr>
      <w:tr w14:paraId="34C81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A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20CD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腹腔镜手术器械（钛夹钳）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6CA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1.钛夹钳夹持性能：φ5mm外径的钳子夹持力不小于20N，φ10mm外径钳子夹持力不小于40N。头部采用ASTM F899-09中的630号钢制造，杆部与患者接触的材料采用YY/T0294.1-2016中M号钢制造。钛夹钳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2.规格有Ф5、Ф10、Ф12.5，工作长度180-450mm，适合各种部位各种患者腔镜手术。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3.可适配多种品牌的钛夹。</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5.头部微弯曲设计，可以保证良好的手术视野。</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6.单动、双动、直角等头型可选，满足不同需求。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37BC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FAB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773C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20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2900</w:t>
            </w:r>
          </w:p>
        </w:tc>
      </w:tr>
      <w:tr w14:paraId="0ABE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DE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CD26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电动子宫切除器及配套手术器械（子宫抓钳）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2275E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1、器械接触人体的不锈钢材料为YY/T 0294.1-2016中M号钢（其中宫颈钳为YY 0672.1-2008中05Cr17Ni4Cu4Nb）。</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2、配套手术器械外表面应光洁、圆滑、无锋棱、毛刺、裂纹、伤痕及明显的凹凸等缺陷。其表面粗糙度器械接触人体的部位≤0.8µm，其余部位≤3.2µm。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3、当两片锁合后，钳子顶端应圆滑平整，不应有偏歪、叉齿、尖刺、高低不平等缺陷；锁止牙应清晰、完整，无锋棱、毛刺。其表面粗糙度头部内表面≤0.8µm，外表≤0.8µm。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4、子宫抓钳钳头硬度应为400 HV0.2～550 HV0.2。</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5、子宫抓钳应开闭自如，夹持可靠，闭合时不应有错位、偏歪和张口现象。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6、子宫抓钳张开角度最大应不小于45°。</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7、器械各连接部位应牢固可靠，焊接部位应焊缝平整、光滑、无虚焊、漏焊、堆焊等缺陷。</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8、器械的配合性能良好，工作可靠，无卡滞或打滑现象。</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9、器械的耐腐蚀性能应不低于YY/T 0149-2006中5.4的规定，器械外表面b级。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4713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0A62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7F47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1980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BD04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3960</w:t>
            </w:r>
          </w:p>
        </w:tc>
      </w:tr>
      <w:tr w14:paraId="1AD5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67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C1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腹腔镜手术器械（气腹针）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90472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1.规格有Φ1.5、Φ1.8、Φ2.0、Φ2.2 和Φ2.5 ，工作长度100-180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2.针尖应锋利，能顺利穿透2mm厚的硅胶膜。</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4.阀门旋转灵活，在关闭状态下经4kPa气压，无明显渗漏。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E1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55B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960D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58B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1400</w:t>
            </w:r>
          </w:p>
        </w:tc>
      </w:tr>
      <w:tr w14:paraId="36AD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79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187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弹簧抓钳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63E1A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0294.1-2016中M号钢，绝缘套管用PEEK制造。夹持力不小于20N。其硬度不小于350HV0.2，进入患者部分表面粗糙度Ra参数值的最大值为0.4μm。耐腐蚀性能不低于YY/T0149-2006中5.4b级的规定。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3.头部形状多种多样，囊括上百种钳头，全满足操作者的多种需求。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胆道镜抓取钳，头部装有软保护套，夹持胆道镜时可以保护镜子不受损伤；滑槽结构的抓钳，达到高绝缘的效果；特制的肠钳，夹持肠管时钳头紧贴组织，不滑脱。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5601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3077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A407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0EC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4350</w:t>
            </w:r>
          </w:p>
        </w:tc>
      </w:tr>
      <w:tr w14:paraId="2F11E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0FF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94EA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腹腔镜手术器械（松夹钳）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18A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1.松夹器夹持性能：φ5mm外径的钳子夹持力不小于20N，φ10mm外径钳子夹持力不小于40N。钳头采用ASTM F899-09中的630号钢制造，杆部与患者接触材料采用YY/T0294.1-2016中M号钢制造。硬度为300HV0.2-600HV0.2（或29.8HRC-55.2HRC）。器械进入人体部分表面粗糙度：抛光表面Ra参数值的最大值为0.2μm，亚光表面Ra参数值的最大值为0.8μm，其余部分的最大值为1.6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3.多种型号，可匹配金色、紫色和绿色结扎夹的松夹。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44A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F8D5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DF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17F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3000</w:t>
            </w:r>
          </w:p>
        </w:tc>
      </w:tr>
      <w:tr w14:paraId="12E6B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AA1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0BDD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单孔腔镜手术器械（弯分离钳）420mm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336C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0294.1-2016中M号钢，绝缘套管用PEEK制造。单极电凝分离钳的夹持力不小于20N。其硬度为不小于350HV0.2，进入患者部分表面粗糙度Ra参数值的最大值为0.4μm。耐腐蚀性能不低于YY/T0149-2006中5.4b级的规定。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3.根据头部形状可分为直分离钳，弯分离钳，直角分离钳等，且根据手术部位不同，头部又按照钳头长短、外形、角度等方面设计成多种型号来满足不同手术需要，例如 高绝缘分离钳（又称神经探针），接触面少，损伤小，可用于神经监测。</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4.钳头张开角度大于等于50°，分离效果更好。</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7.滑槽款暴露金属部位很少，电凝止血安全高效。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8AA1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0957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01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630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4400</w:t>
            </w:r>
          </w:p>
        </w:tc>
      </w:tr>
      <w:tr w14:paraId="34C8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8B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D42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单孔腔镜手术器械（胃抓钳）420mm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5F5B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0294.1-2016中M号钢，绝缘套管用PEEK制造。夹持力不小于20N。其硬度不小于350HV0.2，进入患者部分表面粗糙度Ra参数值的最大值为0.4μm。耐腐蚀性能不低于YY/T0149-2006中5.4b级的规定。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3.头部形状多种多样，囊括上百种钳头，全满足操作者的多种需求。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胆道镜抓取钳，头部装有软保护套，夹持胆道镜时可以保护镜子不受损伤；滑槽结构的抓钳，达到高绝缘的效果；特制的肠钳，夹持肠管时钳头紧贴组织，不滑脱。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78B8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792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5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4FC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r>
      <w:tr w14:paraId="4EBAA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7B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C802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单孔腔镜手术器械（双动弯剪刀）420mm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16BDB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0294.1-2016中C号钢，钳杆及内芯采用YY/T 0294.1-2016中M号钢，绝缘套管用PEEK制造。其硬度不小于350HV0.2</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4.根据头部形状可分为直头，弯头，钩和翘头等，根据钳头张开方式又可分为双动和单动两种，完全满足操作者的多种需求。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5.钳头张开角度不小于30°。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6.可360°旋转，满足腔镜手术的各种角度需要。</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7.包含两拆、三拆两种结构，安装简单方便，且清洗更彻底。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8.滑槽款剪刀裸露金属部位少，电凝止血安全高效。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19A3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9492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58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85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4400</w:t>
            </w:r>
          </w:p>
        </w:tc>
      </w:tr>
      <w:tr w14:paraId="2A94C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DD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7850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单孔腔镜手术器械（吸引器）420mm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9558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吸引器采用YY/T0294.1-2016中M号钢制造。吸引器内芯通常，无堵塞现象。器械进入人体部分表面粗糙度：抛光表面Ra参数值的最大值为0.2μm，表面Ra参数值的最大值为0.8μm，其余部分的最大值为1.6μm。器械的耐腐蚀性能不低于YY/T0149-2006 中 5.4b 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2.吸引管可配Φ3、Φ5和Φ10，工作长度180-450mm。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3.推杆式吸引器按阀体大小可分大号、中号和小号推杆式吸引器，阀体设有复位机构，使用中阀体卡滞时用力按压阀门盖“咔”一声即复位。</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4.弹簧式吸引器密封良好，可方便实现点吸引。</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5.枪式吸引器外形符合人体工程学，握感好。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50CB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A6EF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56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187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4400</w:t>
            </w:r>
          </w:p>
        </w:tc>
      </w:tr>
      <w:tr w14:paraId="0D9A8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D8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0CDA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单孔腔镜手术器械（长无创抓钳）420mm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478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1.头部采用YY/T 0294.1-2016标准中的05Cr17Ni4Cu4Nb不锈钢，钳杆及内芯采用YY/T 0294.1-2016中M号钢，绝缘套管用PEEK制造。夹持力不小于20N。其硬度不小于350HV0.2，进入患者部分表面粗糙度Ra参数值的最大值为0.4μm。耐腐蚀性能不低于YY/T0149-2006中5.4b级的规定。</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2.包含Ф3、Ф5和Φ10三种规格，多种工作长度适合各种部位各种患者腔镜手术。</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3.头部形状多种多样，囊括上百种钳头，全满足操作者的多种需求。</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胆道镜抓取钳，头部装有软保护套，夹持胆道镜时可以保护镜子不受损伤；滑槽结构的抓钳，达到高绝缘的效果；特制的肠钳，夹持肠管时钳头紧贴组织，不滑脱。</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4.钳头张开角度大于等于50°。</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6.包含两拆、三拆两种结构，安装简单方便，且清洗更彻底。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9E10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E0A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2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A74A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4600</w:t>
            </w:r>
          </w:p>
        </w:tc>
      </w:tr>
      <w:tr w14:paraId="289C9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E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619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单孔腔镜手术器械（持针钳）420mm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5FC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1、持针钳夹持性能：φ2mm外径的钳子夹持力应不小于5N,φ5mm外径的钳子夹持力不小于20N。</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2、头部采用ASTM F 899-09中630号钢制造，杆部与患者接触材料采用YY/T0294.1-2005中M号钢制造。</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3、硬度为300HV0.2-600HV0.2（或29.8HRC-55.2HRC）。</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4、器械进入人体部分表面粗糙度：抛光表面Ra参数值的最大值为0.2μm，表面Ra参数值的最大值为0.8μm，其余部分的最大值为1.6μm。</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5、耐腐蚀性能符合YY/T0149-2006中5.4b级。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6362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E18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6A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C1E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4000</w:t>
            </w:r>
          </w:p>
        </w:tc>
      </w:tr>
      <w:tr w14:paraId="456DC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00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0716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输尿管肾镜配套手术器械（取石钳）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E250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1、产品粗糙度：器械表面粗糙度 Ra 值为钳头和杆部位不大于0.4um，其余部位应不大于1.6μ m 。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 xml:space="preserve">2、软管式活检钳：钳头部表面粗糙度参数 Ra 之数值应不大于有光0.4 um ，无光亮0.8μ m 。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3、钳头部位硬度：器械经过热处理，钳头部分硬度为377HV0.2~620 HV 0.2 °                          4、软管式活检钳：器械经过热处理，其钳头硬度为480HV0.2~620HV 0.2 °                        5、夹持力：手术钳应有一定的夹持功能，夹持力不小于15N。                                      6、张开度：手术钳头部张开度应≥45°</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7、软管式活检钳头部张开度≥90°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6BAD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9194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B5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169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4650</w:t>
            </w:r>
          </w:p>
        </w:tc>
      </w:tr>
      <w:tr w14:paraId="38E6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CA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EEF1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膀胱镜配套手术器械（异物钳.剪刀）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6C0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1、产品粗糙度：器械外表面应光滑、圆整、杆部应平直，不得有锋棱、毛刺、裂纹及明显的碰伤、划痕等缺陷。其表面粗糙度 Ra 值为钳头和杆部应不大于0.4um，其余部位应不大于1.6μ m 。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 xml:space="preserve">2、 钳头部位硬度：钳头部位应经过热处理，其硬度为：377HV0.2~543HV0.2，剪刀头硬度为478HV0.2~620HV0.2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3、夹持力：手术钳应有一定的弹性及夹持功能，夹持力不小于10N。                                4、张开度：剪头部张开度应不小于40°。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B7B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9D56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A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D112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4650</w:t>
            </w:r>
          </w:p>
        </w:tc>
      </w:tr>
      <w:tr w14:paraId="727AB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33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86CA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宫腔镜配套手术器械(剪刀）</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7F29F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1、产品粗糙度：器械外表面应光滑、圆整、杆部应平直，不得有锋棱、毛刺、裂纹及明显的碰伤、划痕等缺陷。其表面粗糙度 Ra 值为钳头和杆部应不大于0.4um，其余部位应不大于1.6μ m 。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 xml:space="preserve">2、 钳头部位硬度：钳头部位应经过热处理，其硬度为：377HV0.2~543HV0.2，剪刀头硬度为478HV0.2~620HV0.2       </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3、夹持力：手术钳应有一定的弹性及夹持功能，夹持力不小于10N。                                4、张开度：剪头部张开度应不小于45°。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A7A5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99A6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038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F96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2790</w:t>
            </w:r>
          </w:p>
        </w:tc>
      </w:tr>
      <w:tr w14:paraId="2D6B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4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402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宫腔镜配套手术器械(异物钳）</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2F133">
            <w:pPr>
              <w:jc w:val="left"/>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FAE3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42FD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43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88B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2790</w:t>
            </w:r>
          </w:p>
        </w:tc>
      </w:tr>
      <w:tr w14:paraId="4A5EA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CD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3750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宫腔镜配套手术器械(活检钳）</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E0BED">
            <w:pPr>
              <w:jc w:val="left"/>
              <w:rPr>
                <w:rFonts w:hint="eastAsia" w:asciiTheme="minorEastAsia" w:hAnsiTheme="minorEastAsia" w:eastAsiaTheme="minorEastAsia" w:cstheme="minorEastAsia"/>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B8E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11F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E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48C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2790</w:t>
            </w:r>
          </w:p>
        </w:tc>
      </w:tr>
      <w:tr w14:paraId="154E1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7D2F">
            <w:pPr>
              <w:jc w:val="center"/>
              <w:rPr>
                <w:rFonts w:hint="eastAsia" w:asciiTheme="minorEastAsia" w:hAnsiTheme="minorEastAsia" w:eastAsiaTheme="minorEastAsia" w:cstheme="minorEastAsia"/>
                <w:i w:val="0"/>
                <w:iCs w:val="0"/>
                <w:color w:val="000000"/>
                <w:sz w:val="24"/>
                <w:szCs w:val="24"/>
                <w:u w:val="none"/>
                <w:lang w:val="en-US" w:eastAsia="zh-CN"/>
              </w:rPr>
            </w:pPr>
            <w:r>
              <w:rPr>
                <w:rFonts w:hint="eastAsia" w:asciiTheme="minorEastAsia" w:hAnsiTheme="minorEastAsia" w:eastAsiaTheme="minorEastAsia" w:cstheme="minorEastAsia"/>
                <w:i w:val="0"/>
                <w:iCs w:val="0"/>
                <w:color w:val="000000"/>
                <w:sz w:val="24"/>
                <w:szCs w:val="24"/>
                <w:u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9D0E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2B74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1D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4ABF">
            <w:pPr>
              <w:keepNext w:val="0"/>
              <w:keepLines w:val="0"/>
              <w:widowControl/>
              <w:suppressLineNumbers w:val="0"/>
              <w:jc w:val="right"/>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180220</w:t>
            </w:r>
          </w:p>
        </w:tc>
      </w:tr>
    </w:tbl>
    <w:p w14:paraId="1B771DBB">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67464D36">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71E2963">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3DD3110">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4、目录1-40，要求为同一品牌；目录41-45，要求为同一品牌。</w:t>
      </w:r>
    </w:p>
    <w:p w14:paraId="3330980E">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5、招标期限为1年。每月按需求计划发货，按实结算。</w:t>
      </w:r>
    </w:p>
    <w:p w14:paraId="5A6200BE">
      <w:pPr>
        <w:spacing w:line="360" w:lineRule="auto"/>
        <w:ind w:firstLine="56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sz w:val="28"/>
          <w:szCs w:val="28"/>
          <w:vertAlign w:val="baseline"/>
          <w:lang w:val="en-US" w:eastAsia="zh-CN"/>
        </w:rPr>
        <w:t>★</w:t>
      </w:r>
      <w:r>
        <w:rPr>
          <w:rFonts w:hint="eastAsia" w:asciiTheme="minorEastAsia" w:hAnsiTheme="minorEastAsia" w:eastAsiaTheme="minorEastAsia" w:cstheme="minorEastAsia"/>
          <w:bCs/>
          <w:color w:val="auto"/>
          <w:kern w:val="0"/>
          <w:sz w:val="24"/>
          <w:szCs w:val="24"/>
          <w:lang w:val="en-US" w:eastAsia="zh-CN" w:bidi="ar-SA"/>
        </w:rPr>
        <w:t>6、一年内非人为损坏的质量问题免费更换，质保3年。</w:t>
      </w:r>
    </w:p>
    <w:p w14:paraId="38301E37">
      <w:pPr>
        <w:pStyle w:val="2"/>
        <w:rPr>
          <w:rFonts w:hint="eastAsia" w:asciiTheme="minorEastAsia" w:hAnsiTheme="minorEastAsia" w:eastAsiaTheme="minorEastAsia" w:cstheme="minorEastAsia"/>
          <w:bCs/>
          <w:color w:val="FF0000"/>
          <w:kern w:val="0"/>
          <w:sz w:val="24"/>
          <w:szCs w:val="24"/>
          <w:lang w:val="en-US" w:eastAsia="zh-CN" w:bidi="ar-SA"/>
        </w:rPr>
      </w:pPr>
      <w:r>
        <w:rPr>
          <w:rFonts w:hint="eastAsia" w:asciiTheme="minorEastAsia" w:hAnsiTheme="minorEastAsia" w:eastAsiaTheme="minorEastAsia" w:cstheme="minorEastAsia"/>
          <w:bCs/>
          <w:color w:val="FF0000"/>
          <w:kern w:val="0"/>
          <w:sz w:val="24"/>
          <w:szCs w:val="24"/>
          <w:lang w:val="en-US" w:eastAsia="zh-CN" w:bidi="ar-SA"/>
        </w:rPr>
        <w:t>★7、本次采购的全部产品必须满足招标人要求，因手术器械工具为初步预估，采购人可根据医院需求对同一品牌下同品种产品的样式、规格、型号进行调整，供货前中标人必须先提供样品，经采购人确认后才能配送，如产品在第一年度质保期内发生非人为损害质量问题达到3次的，采购人有权终止合同，由此造成的一切损失由中标人承担。</w:t>
      </w:r>
    </w:p>
    <w:p w14:paraId="6CCE8EC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二、标书要求</w:t>
      </w:r>
    </w:p>
    <w:p w14:paraId="13A5BA13">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724A216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B0FD78D">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089B0E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BEBEB5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2E1FA4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2B9C621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23FE4A8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A1E9FB">
      <w:pPr>
        <w:spacing w:line="360" w:lineRule="auto"/>
        <w:ind w:firstLine="480" w:firstLineChars="200"/>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465C7F22">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6D077D5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三、合同</w:t>
      </w:r>
    </w:p>
    <w:p w14:paraId="756D5829">
      <w:pPr>
        <w:keepNext w:val="0"/>
        <w:keepLines w:val="0"/>
        <w:pageBreakBefore w:val="0"/>
        <w:widowControl w:val="0"/>
        <w:kinsoku/>
        <w:wordWrap/>
        <w:overflowPunct/>
        <w:topLinePunct w:val="0"/>
        <w:autoSpaceDE/>
        <w:autoSpaceDN/>
        <w:bidi w:val="0"/>
        <w:adjustRightInd/>
        <w:snapToGrid/>
        <w:spacing w:line="500" w:lineRule="exact"/>
        <w:ind w:firstLine="5520" w:firstLineChars="2300"/>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t>合同编号：</w:t>
      </w:r>
    </w:p>
    <w:p w14:paraId="2B86C8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44"/>
          <w:szCs w:val="44"/>
          <w:lang w:val="en-US" w:eastAsia="zh-CN"/>
          <w14:textFill>
            <w14:solidFill>
              <w14:schemeClr w14:val="tx1"/>
            </w14:solidFill>
          </w14:textFill>
        </w:rPr>
        <w:t>手术器械供应</w:t>
      </w:r>
      <w:r>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t>合同</w:t>
      </w:r>
    </w:p>
    <w:p w14:paraId="4C82C1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bCs/>
          <w:i w:val="0"/>
          <w:caps w:val="0"/>
          <w:color w:val="000000" w:themeColor="text1"/>
          <w:spacing w:val="0"/>
          <w:w w:val="100"/>
          <w:sz w:val="44"/>
          <w:szCs w:val="44"/>
          <w14:textFill>
            <w14:solidFill>
              <w14:schemeClr w14:val="tx1"/>
            </w14:solidFill>
          </w14:textFill>
        </w:rPr>
      </w:pPr>
    </w:p>
    <w:p w14:paraId="16F8777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eastAsia="zh-CN"/>
          <w14:textFill>
            <w14:solidFill>
              <w14:schemeClr w14:val="tx1"/>
            </w14:solidFill>
          </w14:textFill>
        </w:rPr>
        <w:t>甲方：娄底市中心医院</w:t>
      </w:r>
    </w:p>
    <w:p w14:paraId="4B27114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t>统一社会信用代码：12431300447162073W</w:t>
      </w:r>
    </w:p>
    <w:p w14:paraId="5E9554F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乙方：</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20A7F521">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eastAsia="zh-CN"/>
          <w14:textFill>
            <w14:solidFill>
              <w14:schemeClr w14:val="tx1"/>
            </w14:solidFill>
          </w14:textFill>
        </w:rPr>
        <w:t>统一社会信用代码：</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09CFF73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2ACD5A5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甲方通过</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医院公开挂网</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方式采购</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等手术器械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，选定乙方作为</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供应商。现依据《中华人民共和国民法典》《医疗机构管理条例》《医疗器械监督管理条例》《医疗机构医用耗材管理办法（试行）》等法律法规、政策等规定，甲乙双方就乙方供应的</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相关事宜协商一致，特订立本合同，以资共同遵守。</w:t>
      </w:r>
    </w:p>
    <w:p w14:paraId="517FAB9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第一条 供应内容</w:t>
      </w:r>
    </w:p>
    <w:p w14:paraId="22B287A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一、本合同供应的</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等手术器械</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品种共计 </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个，内容详见附件《手术器械供应目录清单》，具体供应品种、数量以甲方发送乙方的书面订单为准。</w:t>
      </w:r>
    </w:p>
    <w:p w14:paraId="644AAC1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二、《手术器械供应目录清单》中手术器械的价格已经包含乙方履行本合同产生的全部费用，包括但不限</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lang w:val="en-US" w:eastAsia="zh-CN"/>
          <w14:textFill>
            <w14:solidFill>
              <w14:schemeClr w14:val="tx1"/>
            </w14:solidFill>
          </w14:textFill>
        </w:rPr>
        <w:t>于材料费、</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运输费、包装费、装卸费、搬运费、附随服务费、税费、保险费等。</w:t>
      </w:r>
    </w:p>
    <w:p w14:paraId="1D9C382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三、供应期限内如发生如下情形之一的，对应手术器械自动从《手术器械供应目录清单》中剔除，甲方不再向乙方发送对应手术器械订单：</w:t>
      </w:r>
    </w:p>
    <w:p w14:paraId="3400465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（一）该手术器械被生产厂家取消配送权的。</w:t>
      </w:r>
    </w:p>
    <w:p w14:paraId="1B63648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（二）该手术器械进入集中采购目录的。</w:t>
      </w:r>
    </w:p>
    <w:p w14:paraId="65339D5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四、乙方承诺严格遵守法律法规、政策和甲方制度履行合同，接受甲方供应商管理考核，无条件配合甲方管理，包括但不限于配合甲方HRP系统信息录入、赋码、SPD配送管理等工作，因SPD配送产生的服务费用由乙方自行承担。</w:t>
      </w:r>
    </w:p>
    <w:p w14:paraId="79A983A9">
      <w:pPr>
        <w:keepNext w:val="0"/>
        <w:keepLines w:val="0"/>
        <w:pageBreakBefore w:val="0"/>
        <w:widowControl w:val="0"/>
        <w:kinsoku/>
        <w:wordWrap/>
        <w:overflowPunct/>
        <w:topLinePunct w:val="0"/>
        <w:autoSpaceDE/>
        <w:autoSpaceDN/>
        <w:bidi w:val="0"/>
        <w:adjustRightInd/>
        <w:snapToGrid/>
        <w:spacing w:line="500" w:lineRule="exact"/>
        <w:ind w:firstLine="56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第二条 供应期限</w:t>
      </w:r>
    </w:p>
    <w:p w14:paraId="711E2808">
      <w:pPr>
        <w:keepNext w:val="0"/>
        <w:keepLines w:val="0"/>
        <w:pageBreakBefore w:val="0"/>
        <w:widowControl w:val="0"/>
        <w:kinsoku/>
        <w:wordWrap/>
        <w:overflowPunct/>
        <w:topLinePunct w:val="0"/>
        <w:autoSpaceDE/>
        <w:autoSpaceDN/>
        <w:bidi w:val="0"/>
        <w:adjustRightInd/>
        <w:snapToGrid/>
        <w:spacing w:line="500" w:lineRule="exact"/>
        <w:ind w:left="800" w:leftChars="266" w:hanging="241" w:hangingChars="1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供应期限为</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1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年，自</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月</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日起至</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年</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月</w:t>
      </w: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日止。</w:t>
      </w:r>
    </w:p>
    <w:p w14:paraId="6C18096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kern w:val="2"/>
          <w:sz w:val="24"/>
          <w:szCs w:val="24"/>
          <w:lang w:val="en-US" w:eastAsia="zh-CN" w:bidi="ar-SA"/>
          <w14:textFill>
            <w14:solidFill>
              <w14:schemeClr w14:val="tx1"/>
            </w14:solidFill>
          </w14:textFill>
        </w:rPr>
        <w:t>第三条</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 xml:space="preserve"> 质量标准</w:t>
      </w:r>
    </w:p>
    <w:p w14:paraId="03FCB08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一、国内生产的手术器械应当符合国家质量标准和行业强制性标准。</w:t>
      </w:r>
    </w:p>
    <w:p w14:paraId="3CE90D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二、进口手术器械须具备进口医疗器械注册证、批件，口岸药检所出具的检验报告书或注明“已抽样”的通关单。</w:t>
      </w:r>
    </w:p>
    <w:p w14:paraId="0616B21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三、乙方送交的手术器械均应提供相应合格证书。</w:t>
      </w:r>
    </w:p>
    <w:p w14:paraId="193C1DF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kern w:val="2"/>
          <w:sz w:val="24"/>
          <w:szCs w:val="24"/>
          <w:lang w:val="en-US" w:eastAsia="zh-CN" w:bidi="ar-SA"/>
          <w14:textFill>
            <w14:solidFill>
              <w14:schemeClr w14:val="tx1"/>
            </w14:solidFill>
          </w14:textFill>
        </w:rPr>
        <w:t>第四条</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 xml:space="preserve"> 交货时间、地点、指定收货人</w:t>
      </w:r>
    </w:p>
    <w:p w14:paraId="05B183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一、交货时间：乙方自甲方发送书面订单之日起5日内，按书面订单要求将手术器械送至甲方指定地点，非工作日、节假日正常执行。</w:t>
      </w:r>
    </w:p>
    <w:p w14:paraId="59BAC86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二、交货地点：娄底市中心医院设备科仓库。</w:t>
      </w:r>
    </w:p>
    <w:p w14:paraId="1DAAB9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三、指定收货人：娄底市中心医院设备科仓库管理员。</w:t>
      </w:r>
    </w:p>
    <w:p w14:paraId="4C8D56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第五条 包装方式、运输</w:t>
      </w:r>
    </w:p>
    <w:p w14:paraId="2ADED4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一、包装方式：手术器械</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包装等信息须与国家、省、市市场监督管理局网站的备案信息一致，</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包装为原产包装且应完全无损，如甲方对包装有特殊要求时，乙方应按甲方订单要求包装。</w:t>
      </w:r>
    </w:p>
    <w:p w14:paraId="08CBD2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二、乙方自备交通工具、组织人员向甲方运输、装卸、搬运医疗器械。</w:t>
      </w:r>
    </w:p>
    <w:p w14:paraId="7D15FCD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第六条 验收、质量异议及风险承担</w:t>
      </w:r>
    </w:p>
    <w:p w14:paraId="792A481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一、甲方每次收到乙方提供手术器械时，应组织人员对手术器械的包装、数量、厂家、规格型号、外观、有效期等进行验收，如验收合格，</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甲方在乙方送货单上签字确认验收。如验收</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不符的，甲方有权拒收。乙方应在甲方拒收之日起3日内，向甲方更换合格的手术器械。                                                                                                                                                                                                                                                                                                                                                                                                                                                                                                                                                                                                                                                                                                                                                                                                                                                                                                                                                                                                                                                                                                                                                                                                                                                                                                                                                                                                                                                                                                                                                                                                                                                                                                                                                                                                                                                                                                                                                                                                                                                                                                                                                                                                                                           </w:t>
      </w:r>
    </w:p>
    <w:p w14:paraId="2028A6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二、在乙方提供手术器械的标识标注的有效期内，如出现质量问题，甲方有权要求更换，乙方应在甲方提出更换之日起3日内，向甲方更换合格的手术器械。</w:t>
      </w:r>
    </w:p>
    <w:p w14:paraId="177526B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三、手术器械毁损、灭失的风险自甲方在供货单上签字验收之日起转移给甲方。</w:t>
      </w:r>
    </w:p>
    <w:p w14:paraId="40409CF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四、手术器械有效期内因医疗器械质量问题产生的风险均由乙方承担，</w:t>
      </w:r>
      <w:r>
        <w:rPr>
          <w:rFonts w:hint="eastAsia" w:asciiTheme="minorEastAsia" w:hAnsiTheme="minorEastAsia" w:eastAsiaTheme="minorEastAsia" w:cstheme="minorEastAsia"/>
          <w:b w:val="0"/>
          <w:bCs w:val="0"/>
          <w:i w:val="0"/>
          <w:caps w:val="0"/>
          <w:color w:val="000000" w:themeColor="text1"/>
          <w:spacing w:val="0"/>
          <w:w w:val="100"/>
          <w:sz w:val="24"/>
          <w:szCs w:val="24"/>
          <w:highlight w:val="yellow"/>
          <w:lang w:val="en-US" w:eastAsia="zh-CN"/>
          <w14:textFill>
            <w14:solidFill>
              <w14:schemeClr w14:val="tx1"/>
            </w14:solidFill>
          </w14:textFill>
        </w:rPr>
        <w:t>在一年内非人为损坏的质量问题免费更换，质保3年。</w:t>
      </w:r>
    </w:p>
    <w:p w14:paraId="44CF7E9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五、乙方在履行本合同过程中发生的一切事故，给甲方、乙方或第三方的人身和财产造成的损失，均由乙方负责处理并承担所有费用。</w:t>
      </w:r>
    </w:p>
    <w:p w14:paraId="12C17C5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第七条 价格调整约定</w:t>
      </w:r>
    </w:p>
    <w:p w14:paraId="58529F9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一、乙方接受甲方手术器械带量采购价格约定。</w:t>
      </w:r>
    </w:p>
    <w:p w14:paraId="4D08690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二、供货期限内，如遇政府政策性或交易平台调价：调整后的价格低于本合同价格的，自调价之后发送的书面订单一律按调整后的价格执行；</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调整后的价格高于本合同价格的，</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原则上按本合同约定价格执行，如</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乙方因</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特殊情况需要调整，</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应先书面通知甲方，经</w:t>
      </w:r>
      <w:r>
        <w:rPr>
          <w:rFonts w:hint="eastAsia" w:asciiTheme="minorEastAsia" w:hAnsiTheme="minorEastAsia" w:eastAsiaTheme="minorEastAsia" w:cstheme="minorEastAsia"/>
          <w:b w:val="0"/>
          <w:bCs w:val="0"/>
          <w:i w:val="0"/>
          <w:caps w:val="0"/>
          <w:strike w:val="0"/>
          <w:dstrike w:val="0"/>
          <w:color w:val="000000" w:themeColor="text1"/>
          <w:spacing w:val="0"/>
          <w:w w:val="100"/>
          <w:sz w:val="24"/>
          <w:szCs w:val="24"/>
          <w:u w:val="single"/>
          <w:lang w:val="en-US" w:eastAsia="zh-CN"/>
          <w14:textFill>
            <w14:solidFill>
              <w14:schemeClr w14:val="tx1"/>
            </w14:solidFill>
          </w14:textFill>
        </w:rPr>
        <w:t>甲乙双方协商一致后按协商后的</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价格执行，如双方无法达成一致，甲方有权对该耗材公开遴选。</w:t>
      </w: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本合同约定手术器械集采后，甲方库存中剩余器械均按新的集采价格进行结算。</w:t>
      </w:r>
    </w:p>
    <w:p w14:paraId="5594DAC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三、如无政府政策性或交易平台调价，甲方接受乙方对本合同约定价格进行下调，自乙方发出价格下调通知之日起，甲方发送的书面订单一律按下调后的价格执行。</w:t>
      </w:r>
    </w:p>
    <w:p w14:paraId="420D19E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第八条 货款支付方式、时间</w:t>
      </w:r>
    </w:p>
    <w:p w14:paraId="180E0DF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一、货款根据书面订单、经甲方签字确认的乙方送货单按月结算。乙方应向甲方提供以乙方名义开具的与结算金额对应的增值税普通发票；如乙方未能及时提供符合约定的发票，甲方有权顺延支付期限且无需承担违约责任。</w:t>
      </w:r>
    </w:p>
    <w:p w14:paraId="4C5608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二、甲方自收到乙方发票且财务入账后180日内（如遇特殊情况顺延），通过银行转账支付发票金额价款至乙方指定银行账户。</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乙方指定银行账户：</w:t>
      </w:r>
    </w:p>
    <w:p w14:paraId="71DF447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户名：</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  </w:t>
      </w:r>
    </w:p>
    <w:p w14:paraId="070C87A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开户银行：</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w:t>
      </w:r>
    </w:p>
    <w:p w14:paraId="033B69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账号：</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w:t>
      </w:r>
    </w:p>
    <w:p w14:paraId="3BB4B16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三、乙方委派</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i w:val="0"/>
          <w:caps w:val="0"/>
          <w:color w:val="000000" w:themeColor="text1"/>
          <w:spacing w:val="0"/>
          <w:w w:val="100"/>
          <w:sz w:val="24"/>
          <w:szCs w:val="24"/>
          <w:u w:val="single"/>
          <w:lang w:val="en-US" w:eastAsia="zh-CN"/>
          <w14:textFill>
            <w14:solidFill>
              <w14:schemeClr w14:val="tx1"/>
            </w14:solidFill>
          </w14:textFill>
        </w:rPr>
        <w:t xml:space="preserve">              ）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与甲方办理结算手续。</w:t>
      </w:r>
    </w:p>
    <w:p w14:paraId="6157E5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四、乙方银行账户、指定办理结算人员等如发生变化，应及时书面通知甲方。如未及时通知，应承担相应法律后果。</w:t>
      </w:r>
    </w:p>
    <w:p w14:paraId="6F6CA4C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第九条 廉洁条款</w:t>
      </w:r>
    </w:p>
    <w:p w14:paraId="060679D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一、乙方应严格遵守国家相关法律法规，涉及合同的有关业务活动必须坚持公开、公平、公正、诚信原则，不得为获取不正当利益，损害国家、集体和甲方利益。</w:t>
      </w:r>
    </w:p>
    <w:p w14:paraId="0D88303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二、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930F33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第十条 其他</w:t>
      </w:r>
    </w:p>
    <w:p w14:paraId="20FEDA0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一、乙方保证本合同约定手术器械的权利无瑕疵，包括手术器械的所有权及知识产权等权利。</w:t>
      </w:r>
    </w:p>
    <w:p w14:paraId="2E164D0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二、乙方提供的器械应为符合国家质量标准的合格产品且所有证件、手续合法齐全，如因产品质量原因或手续不齐不合法或未按要求储存、运输（冷链）、包装等给甲方造成损失和不良影响全部由乙方负责。</w:t>
      </w:r>
    </w:p>
    <w:p w14:paraId="451A017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三、合同期内，乙方不得申请变更其他公司来配送其产品。</w:t>
      </w:r>
    </w:p>
    <w:p w14:paraId="5761C53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第十一条 通知与送达</w:t>
      </w:r>
    </w:p>
    <w:p w14:paraId="6C06EDB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一、甲乙双方同意，与本合同有关的任何文书，应以书面方式按照本合同约定发送，书面方式包括手机短信、微信、书面函件、电子邮件等形式。</w:t>
      </w:r>
    </w:p>
    <w:p w14:paraId="492FDBA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二、双方确认的文书（包括未来可能发生的诉讼或仲裁活动中法院或仲裁机构的送达法律文书）送达地址：</w:t>
      </w:r>
    </w:p>
    <w:p w14:paraId="5789145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1、甲方的联系地址：娄底市娄星区长青中街51号，联系人：</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，联系电话：</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p>
    <w:p w14:paraId="400B3BC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2、乙方的联系地址：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，联系人：</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 xml:space="preserve"> ， 联系电话：</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，邮箱地址</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或微信号</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p>
    <w:p w14:paraId="3C668F0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三、上述通知应被视为在下列时间送达：以快递或专人发送的，在收件人签收之日或拒收之日；以挂号邮件发出的，在发出之日起7个工作日；以电子邮件发出的，在电子邮件进入收件方电子邮箱服务器之日。</w:t>
      </w:r>
    </w:p>
    <w:p w14:paraId="00F474F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四、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E2D43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第十二条 合同的变更、补充与解除</w:t>
      </w:r>
    </w:p>
    <w:p w14:paraId="24B6670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一、出现以下情形的，经双方协商一致，可签订变更、补充协议：</w:t>
      </w:r>
    </w:p>
    <w:p w14:paraId="4856889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（一）因手术器械生产企业关、停、并、转的原因造成合同部分不能履行的，乙方应及时向甲方通报并提供相应证明，双方可以变更相应手术器械部分。</w:t>
      </w:r>
    </w:p>
    <w:p w14:paraId="7F9B12B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（二）如本合同约定内容与政府规定的手术器械招标新政策相抵触，双方根据新的政策在协商一致基础上对本合同内容进行变更。</w:t>
      </w:r>
    </w:p>
    <w:p w14:paraId="2A1CD2E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二、符合以下情形之一的，甲方有权单方解除本合同：</w:t>
      </w:r>
    </w:p>
    <w:p w14:paraId="7B3A18F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（一）乙方主体变更的，或供应的手术器械被</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生产厂家</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取消配送权的。</w:t>
      </w:r>
    </w:p>
    <w:p w14:paraId="7DD544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（二）乙方发函告知或口头告知不能送货的，或未在甲方订单规定的时间内提供手术器械，经甲方催告三次以上后仍不能提供的。</w:t>
      </w:r>
    </w:p>
    <w:p w14:paraId="46D78C2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（三）乙方交付的手术器械经甲方验收不合格或乙方提供的手术器械在有效期内出现质量问题，经连续两次更换仍不合格的，或存在提供的器械、证件手续不齐等情况，致甲方不能合法使用的。</w:t>
      </w:r>
    </w:p>
    <w:p w14:paraId="0BB93A7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（四）乙方私自对器械转配送的，或未经设备科下单采购私自向科室配送的。</w:t>
      </w:r>
    </w:p>
    <w:p w14:paraId="41C0073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（五）乙方不配合甲方器械管理工作的，如不配合HRP系统信息录入、赋码等、不配合SPD配送管理、未向SPD配送公司交纳配送服务费等。</w:t>
      </w:r>
    </w:p>
    <w:p w14:paraId="6B4770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（六）乙方违反甲方制度的，或乙方经甲方供应商管理考核为不合格供应商的。</w:t>
      </w:r>
    </w:p>
    <w:p w14:paraId="01CA779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highlight w:val="none"/>
          <w:u w:val="single"/>
          <w:lang w:val="en-US" w:eastAsia="zh-CN"/>
          <w14:textFill>
            <w14:solidFill>
              <w14:schemeClr w14:val="tx1"/>
            </w14:solidFill>
          </w14:textFill>
        </w:rPr>
        <w:t>（七）供应期限内乙方违法行为被追究刑事责任的，或被予以吊销营业执照、取消资质等行政处罚，或乙方被接管、资金被冻结的。</w:t>
      </w:r>
    </w:p>
    <w:p w14:paraId="64BD5D8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三、如出现不可抗力事件（包括但不限于战争、严重火灾、洪水、台风、地震、法律法规政策变化及政府强制行为、</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疫情、社会异常事</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故）导致本合同无法履行，双方可以解除本合同且不承担违约责任。</w:t>
      </w:r>
    </w:p>
    <w:p w14:paraId="3B66DC5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第十三条 违约责任</w:t>
      </w:r>
    </w:p>
    <w:p w14:paraId="72804B2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一、如乙方未在甲方订单规定时间内提供符合约定的手术器械，除赔偿甲方因此造成的损失外，还应按该批次器械总价款的</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5 %</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向甲方支付违约金。</w:t>
      </w:r>
    </w:p>
    <w:p w14:paraId="29980AC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二、如乙方擅自解除本合同或因乙方原因导致甲方解除本合同，乙方除赔偿甲方由此造成的损失外，还应向甲方支付违约金</w:t>
      </w:r>
      <w:r>
        <w:rPr>
          <w:rFonts w:hint="eastAsia" w:asciiTheme="minorEastAsia" w:hAnsiTheme="minorEastAsia" w:eastAsiaTheme="minorEastAsia" w:cstheme="minorEastAsia"/>
          <w:b/>
          <w:bCs/>
          <w:i w:val="0"/>
          <w:caps w:val="0"/>
          <w:color w:val="000000" w:themeColor="text1"/>
          <w:spacing w:val="0"/>
          <w:w w:val="100"/>
          <w:sz w:val="24"/>
          <w:szCs w:val="24"/>
          <w:highlight w:val="none"/>
          <w:u w:val="none"/>
          <w:lang w:val="en-US" w:eastAsia="zh-CN"/>
          <w14:textFill>
            <w14:solidFill>
              <w14:schemeClr w14:val="tx1"/>
            </w14:solidFill>
          </w14:textFill>
        </w:rPr>
        <w:t>陆万</w:t>
      </w:r>
      <w:r>
        <w:rPr>
          <w:rFonts w:hint="eastAsia" w:asciiTheme="minorEastAsia" w:hAnsiTheme="minorEastAsia" w:eastAsiaTheme="minorEastAsia" w:cstheme="minorEastAsia"/>
          <w:b/>
          <w:bCs/>
          <w:i w:val="0"/>
          <w:caps w:val="0"/>
          <w:color w:val="000000" w:themeColor="text1"/>
          <w:spacing w:val="0"/>
          <w:w w:val="100"/>
          <w:sz w:val="24"/>
          <w:szCs w:val="24"/>
          <w:highlight w:val="none"/>
          <w:lang w:val="en-US" w:eastAsia="zh-CN"/>
          <w14:textFill>
            <w14:solidFill>
              <w14:schemeClr w14:val="tx1"/>
            </w14:solidFill>
          </w14:textFill>
        </w:rPr>
        <w:t>元</w:t>
      </w: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w:t>
      </w:r>
    </w:p>
    <w:p w14:paraId="5C94876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三、乙方提供的手术器械质量不合格给甲方造成损失的，由乙方承担全部责任，并按损失的30%向甲方支付违约金。</w:t>
      </w:r>
    </w:p>
    <w:p w14:paraId="5D6008F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u w:val="single"/>
          <w:lang w:val="en-US" w:eastAsia="zh-CN"/>
          <w14:textFill>
            <w14:solidFill>
              <w14:schemeClr w14:val="tx1"/>
            </w14:solidFill>
          </w14:textFill>
        </w:rPr>
        <w:t>四、无论甲方在任意时候（不限于本合同履行期间）发现存在违反本合同廉洁条款及《廉洁购销承诺书》约定的行为，乙方均须向甲方一次性支付惩罚性违约金陆万元，如本金额与根据甲方供应商考核管理制度计算的违约金金额不一致，违约金金额以价高的为准。如乙方除需承担违反廉洁条款及《廉洁购销承诺书》的违约责任外，同时存在其他违约行为，乙方仍须就其他违约行为承担相应违约责任。</w:t>
      </w:r>
    </w:p>
    <w:p w14:paraId="535C9F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五、乙方因违反本合同约定应向甲方支付的赔偿金、违约金或其他款项，甲方有权直接从应付乙方的任意款项中予以扣除，不足部分由乙方另行补足。</w:t>
      </w:r>
    </w:p>
    <w:p w14:paraId="3EF00F8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第十四条 争议解决方式</w:t>
      </w:r>
    </w:p>
    <w:p w14:paraId="4527B22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双方履行本合同过程中发生的争议，由甲方所在地有管辖权的人民法院管辖。</w:t>
      </w:r>
    </w:p>
    <w:p w14:paraId="54A71C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t>第十五条 附则</w:t>
      </w:r>
    </w:p>
    <w:p w14:paraId="5CC96F8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bCs/>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一、《手术器械供应目录清单》</w:t>
      </w:r>
      <w:r>
        <w:rPr>
          <w:rFonts w:hint="eastAsia" w:asciiTheme="minorEastAsia" w:hAnsiTheme="minorEastAsia" w:eastAsiaTheme="minorEastAsia" w:cstheme="minorEastAsia"/>
          <w:b w:val="0"/>
          <w:bCs w:val="0"/>
          <w:i w:val="0"/>
          <w:caps w:val="0"/>
          <w:color w:val="000000" w:themeColor="text1"/>
          <w:spacing w:val="0"/>
          <w:w w:val="100"/>
          <w:sz w:val="24"/>
          <w:szCs w:val="24"/>
          <w:u w:val="none"/>
          <w:lang w:val="en-US" w:eastAsia="zh-CN"/>
          <w14:textFill>
            <w14:solidFill>
              <w14:schemeClr w14:val="tx1"/>
            </w14:solidFill>
          </w14:textFill>
        </w:rPr>
        <w:t>《</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u w:val="none"/>
          <w:lang w:val="en-US" w:eastAsia="zh-CN"/>
          <w14:textFill>
            <w14:solidFill>
              <w14:schemeClr w14:val="tx1"/>
            </w14:solidFill>
          </w14:textFill>
        </w:rPr>
        <w:t>廉洁购销承诺书》《医疗器械供应商考核管理制度》</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甲方向乙方发送的书面订单、双方往来函件（电子邮件）、经甲方签字验收的乙方送货单等作为本合同的附件，为本合同不可分割的有效组成部分。</w:t>
      </w:r>
    </w:p>
    <w:p w14:paraId="0AB52BD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二、本合同组成文件及解释顺序：本合同变更、补充协议；本合同及附件；</w:t>
      </w:r>
      <w:r>
        <w:rPr>
          <w:rFonts w:hint="eastAsia" w:asciiTheme="minorEastAsia" w:hAnsiTheme="minorEastAsia" w:eastAsiaTheme="minorEastAsia" w:cstheme="minorEastAsia"/>
          <w:b w:val="0"/>
          <w:bCs w:val="0"/>
          <w:i w:val="0"/>
          <w:caps w:val="0"/>
          <w:color w:val="000000" w:themeColor="text1"/>
          <w:spacing w:val="0"/>
          <w:w w:val="100"/>
          <w:sz w:val="24"/>
          <w:szCs w:val="24"/>
          <w:highlight w:val="none"/>
          <w:lang w:val="en-US" w:eastAsia="zh-CN"/>
          <w14:textFill>
            <w14:solidFill>
              <w14:schemeClr w14:val="tx1"/>
            </w14:solidFill>
          </w14:textFill>
        </w:rPr>
        <w:t>公开采购结果公示（公开遴选结果公示）、公开采购文件（公开遴选文件）、响应文件；</w:t>
      </w: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与本合同有关的其他资料。</w:t>
      </w:r>
    </w:p>
    <w:p w14:paraId="5D82D45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三、本合同一式四份，甲方持三份、乙方持一份，自双方签字并盖章后生效。</w:t>
      </w:r>
    </w:p>
    <w:p w14:paraId="31BAC6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1E3D7E4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 xml:space="preserve">甲方（盖章）：娄底市中心医院     乙方（盖章）： </w:t>
      </w:r>
    </w:p>
    <w:p w14:paraId="68DBE32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1D901E5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法定代表人（签字）：             法定代表人（签字）：</w:t>
      </w:r>
    </w:p>
    <w:p w14:paraId="3F5F063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41CE8FC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或委托代理人（签字）：           或委托代理人（签字）</w:t>
      </w:r>
    </w:p>
    <w:p w14:paraId="47F68ED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pPr>
    </w:p>
    <w:p w14:paraId="4AD5934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r>
        <w:rPr>
          <w:rFonts w:hint="eastAsia" w:asciiTheme="minorEastAsia" w:hAnsiTheme="minorEastAsia" w:eastAsiaTheme="minorEastAsia" w:cstheme="minorEastAsia"/>
          <w:b w:val="0"/>
          <w:bCs w:val="0"/>
          <w:i w:val="0"/>
          <w:caps w:val="0"/>
          <w:color w:val="000000" w:themeColor="text1"/>
          <w:spacing w:val="0"/>
          <w:w w:val="100"/>
          <w:sz w:val="24"/>
          <w:szCs w:val="24"/>
          <w:lang w:val="en-US" w:eastAsia="zh-CN"/>
          <w14:textFill>
            <w14:solidFill>
              <w14:schemeClr w14:val="tx1"/>
            </w14:solidFill>
          </w14:textFill>
        </w:rPr>
        <w:t>签约地点：娄底市娄星区           签约时间：     年  月  日</w:t>
      </w:r>
      <w:r>
        <w:rPr>
          <w:rFonts w:hint="eastAsia" w:asciiTheme="minorEastAsia" w:hAnsiTheme="minorEastAsia" w:eastAsiaTheme="minorEastAsia" w:cstheme="minorEastAsia"/>
          <w:b w:val="0"/>
          <w:bCs w:val="0"/>
          <w:i w:val="0"/>
          <w:caps w:val="0"/>
          <w:color w:val="000000" w:themeColor="text1"/>
          <w:spacing w:val="0"/>
          <w:w w:val="100"/>
          <w:sz w:val="28"/>
          <w:szCs w:val="28"/>
          <w:lang w:val="en-US" w:eastAsia="zh-CN"/>
          <w14:textFill>
            <w14:solidFill>
              <w14:schemeClr w14:val="tx1"/>
            </w14:solidFill>
          </w14:textFill>
        </w:rPr>
        <w:t xml:space="preserve">   </w:t>
      </w:r>
      <w:r>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t xml:space="preserve">  </w:t>
      </w:r>
    </w:p>
    <w:p w14:paraId="78254DC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ascii="仿宋_GB2312" w:hAnsi="宋体" w:eastAsia="仿宋_GB2312"/>
          <w:b w:val="0"/>
          <w:bCs w:val="0"/>
          <w:i w:val="0"/>
          <w:caps w:val="0"/>
          <w:color w:val="000000" w:themeColor="text1"/>
          <w:spacing w:val="0"/>
          <w:w w:val="100"/>
          <w:sz w:val="28"/>
          <w:szCs w:val="28"/>
          <w:lang w:val="en-US" w:eastAsia="zh-CN"/>
          <w14:textFill>
            <w14:solidFill>
              <w14:schemeClr w14:val="tx1"/>
            </w14:solidFill>
          </w14:textFill>
        </w:rPr>
      </w:pPr>
    </w:p>
    <w:p w14:paraId="532490A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p>
    <w:p w14:paraId="4FFCD74A">
      <w:pPr>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br w:type="page"/>
      </w:r>
    </w:p>
    <w:p w14:paraId="6BC10BB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4DDA99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593715" cy="7958455"/>
            <wp:effectExtent l="0" t="0" r="6985" b="44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593715" cy="7958455"/>
                    </a:xfrm>
                    <a:prstGeom prst="rect">
                      <a:avLst/>
                    </a:prstGeom>
                  </pic:spPr>
                </pic:pic>
              </a:graphicData>
            </a:graphic>
          </wp:inline>
        </w:drawing>
      </w:r>
      <w:r>
        <w:rPr>
          <w:rFonts w:hint="eastAsia" w:eastAsiaTheme="minorEastAsia"/>
          <w:lang w:eastAsia="zh-CN"/>
        </w:rPr>
        <w:drawing>
          <wp:inline distT="0" distB="0" distL="114300" distR="114300">
            <wp:extent cx="5650230" cy="8082915"/>
            <wp:effectExtent l="0" t="0" r="762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650230" cy="8082915"/>
                    </a:xfrm>
                    <a:prstGeom prst="rect">
                      <a:avLst/>
                    </a:prstGeom>
                  </pic:spPr>
                </pic:pic>
              </a:graphicData>
            </a:graphic>
          </wp:inline>
        </w:drawing>
      </w:r>
      <w:r>
        <w:rPr>
          <w:rFonts w:hint="eastAsia" w:eastAsiaTheme="minorEastAsia"/>
          <w:lang w:eastAsia="zh-CN"/>
        </w:rPr>
        <w:drawing>
          <wp:inline distT="0" distB="0" distL="114300" distR="114300">
            <wp:extent cx="5786120" cy="8161020"/>
            <wp:effectExtent l="0" t="0" r="5080"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86120" cy="8161020"/>
                    </a:xfrm>
                    <a:prstGeom prst="rect">
                      <a:avLst/>
                    </a:prstGeom>
                  </pic:spPr>
                </pic:pic>
              </a:graphicData>
            </a:graphic>
          </wp:inline>
        </w:drawing>
      </w:r>
      <w:r>
        <w:rPr>
          <w:rFonts w:hint="eastAsia" w:eastAsiaTheme="minorEastAsia"/>
          <w:lang w:eastAsia="zh-CN"/>
        </w:rPr>
        <w:drawing>
          <wp:inline distT="0" distB="0" distL="114300" distR="114300">
            <wp:extent cx="5793740" cy="8176260"/>
            <wp:effectExtent l="0" t="0" r="16510" b="1524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93740" cy="8176260"/>
                    </a:xfrm>
                    <a:prstGeom prst="rect">
                      <a:avLst/>
                    </a:prstGeom>
                  </pic:spPr>
                </pic:pic>
              </a:graphicData>
            </a:graphic>
          </wp:inline>
        </w:drawing>
      </w:r>
    </w:p>
    <w:p w14:paraId="4F5B69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p>
    <w:p w14:paraId="18C0EA55">
      <w:pPr>
        <w:rPr>
          <w:rFonts w:hint="eastAsia" w:ascii="宋体" w:hAnsi="宋体" w:cs="宋体"/>
          <w:color w:val="auto"/>
          <w:sz w:val="44"/>
          <w:szCs w:val="44"/>
          <w:lang w:val="en-US" w:eastAsia="zh-CN"/>
        </w:rPr>
      </w:pPr>
    </w:p>
    <w:p w14:paraId="5DEF8A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614BF35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4"/>
          <w:szCs w:val="24"/>
        </w:rPr>
      </w:pPr>
      <w:r>
        <w:rPr>
          <w:rFonts w:hint="eastAsia" w:ascii="宋体" w:hAnsi="宋体" w:cs="宋体"/>
          <w:b/>
          <w:color w:val="auto"/>
          <w:sz w:val="32"/>
          <w:szCs w:val="32"/>
        </w:rPr>
        <w:t>综合评分表</w:t>
      </w:r>
    </w:p>
    <w:tbl>
      <w:tblPr>
        <w:tblStyle w:val="12"/>
        <w:tblW w:w="4716"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6"/>
        <w:gridCol w:w="941"/>
        <w:gridCol w:w="934"/>
        <w:gridCol w:w="6042"/>
        <w:gridCol w:w="942"/>
      </w:tblGrid>
      <w:tr w14:paraId="297CD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1" w:hRule="atLeast"/>
          <w:jc w:val="center"/>
        </w:trPr>
        <w:tc>
          <w:tcPr>
            <w:tcW w:w="242" w:type="pct"/>
            <w:noWrap w:val="0"/>
            <w:vAlign w:val="center"/>
          </w:tcPr>
          <w:p w14:paraId="7C80F399">
            <w:pPr>
              <w:jc w:val="both"/>
              <w:rPr>
                <w:rFonts w:hint="eastAsia" w:ascii="宋体" w:hAnsi="宋体" w:eastAsia="宋体" w:cs="宋体"/>
                <w:sz w:val="24"/>
                <w:szCs w:val="24"/>
              </w:rPr>
            </w:pPr>
            <w:r>
              <w:rPr>
                <w:rFonts w:hint="eastAsia" w:ascii="仿宋" w:hAnsi="仿宋" w:eastAsia="仿宋" w:cs="仿宋"/>
                <w:sz w:val="24"/>
                <w:szCs w:val="24"/>
              </w:rPr>
              <w:br w:type="page"/>
            </w:r>
            <w:r>
              <w:rPr>
                <w:rFonts w:hint="eastAsia" w:ascii="宋体" w:hAnsi="宋体" w:eastAsia="宋体" w:cs="宋体"/>
                <w:sz w:val="24"/>
                <w:szCs w:val="24"/>
              </w:rPr>
              <w:t>序号</w:t>
            </w:r>
          </w:p>
        </w:tc>
        <w:tc>
          <w:tcPr>
            <w:tcW w:w="1008" w:type="pct"/>
            <w:gridSpan w:val="2"/>
            <w:noWrap w:val="0"/>
            <w:vAlign w:val="center"/>
          </w:tcPr>
          <w:p w14:paraId="75E1F29B">
            <w:pPr>
              <w:jc w:val="center"/>
              <w:rPr>
                <w:rFonts w:hint="eastAsia" w:ascii="宋体" w:hAnsi="宋体" w:eastAsia="宋体" w:cs="宋体"/>
                <w:sz w:val="24"/>
                <w:szCs w:val="24"/>
              </w:rPr>
            </w:pPr>
            <w:r>
              <w:rPr>
                <w:rFonts w:hint="eastAsia" w:ascii="宋体" w:hAnsi="宋体" w:eastAsia="宋体" w:cs="宋体"/>
                <w:sz w:val="24"/>
                <w:szCs w:val="24"/>
              </w:rPr>
              <w:t>评审项目</w:t>
            </w:r>
          </w:p>
        </w:tc>
        <w:tc>
          <w:tcPr>
            <w:tcW w:w="3243" w:type="pct"/>
            <w:noWrap w:val="0"/>
            <w:vAlign w:val="center"/>
          </w:tcPr>
          <w:p w14:paraId="5B69D2E6">
            <w:pPr>
              <w:ind w:left="480"/>
              <w:jc w:val="center"/>
              <w:rPr>
                <w:rFonts w:hint="eastAsia" w:ascii="宋体" w:hAnsi="宋体" w:eastAsia="宋体" w:cs="宋体"/>
                <w:sz w:val="24"/>
                <w:szCs w:val="24"/>
              </w:rPr>
            </w:pPr>
            <w:r>
              <w:rPr>
                <w:rFonts w:hint="eastAsia" w:ascii="宋体" w:hAnsi="宋体" w:eastAsia="宋体" w:cs="宋体"/>
                <w:sz w:val="24"/>
                <w:szCs w:val="24"/>
              </w:rPr>
              <w:t>评审标准</w:t>
            </w:r>
          </w:p>
        </w:tc>
        <w:tc>
          <w:tcPr>
            <w:tcW w:w="506" w:type="pct"/>
            <w:noWrap w:val="0"/>
            <w:vAlign w:val="center"/>
          </w:tcPr>
          <w:p w14:paraId="1A74710E">
            <w:pPr>
              <w:jc w:val="center"/>
              <w:rPr>
                <w:rFonts w:hint="eastAsia" w:ascii="宋体" w:hAnsi="宋体" w:eastAsia="宋体" w:cs="宋体"/>
                <w:sz w:val="24"/>
                <w:szCs w:val="24"/>
              </w:rPr>
            </w:pPr>
            <w:r>
              <w:rPr>
                <w:rFonts w:hint="eastAsia" w:ascii="宋体" w:hAnsi="宋体" w:eastAsia="宋体" w:cs="宋体"/>
                <w:sz w:val="24"/>
                <w:szCs w:val="24"/>
              </w:rPr>
              <w:t>最高分值</w:t>
            </w:r>
          </w:p>
        </w:tc>
      </w:tr>
      <w:tr w14:paraId="650F9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9" w:hRule="atLeast"/>
          <w:jc w:val="center"/>
        </w:trPr>
        <w:tc>
          <w:tcPr>
            <w:tcW w:w="242" w:type="pct"/>
            <w:noWrap w:val="0"/>
            <w:vAlign w:val="center"/>
          </w:tcPr>
          <w:p w14:paraId="707910C5">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506" w:type="pct"/>
            <w:noWrap w:val="0"/>
            <w:vAlign w:val="center"/>
          </w:tcPr>
          <w:p w14:paraId="7D222F2E">
            <w:pPr>
              <w:spacing w:line="360" w:lineRule="auto"/>
              <w:jc w:val="center"/>
              <w:rPr>
                <w:rFonts w:hint="eastAsia" w:ascii="宋体" w:hAnsi="宋体" w:eastAsia="宋体" w:cs="宋体"/>
                <w:sz w:val="24"/>
                <w:szCs w:val="24"/>
              </w:rPr>
            </w:pPr>
            <w:r>
              <w:rPr>
                <w:rFonts w:hint="eastAsia" w:ascii="宋体" w:hAnsi="宋体" w:eastAsia="宋体" w:cs="宋体"/>
                <w:sz w:val="24"/>
                <w:szCs w:val="24"/>
                <w:highlight w:val="none"/>
              </w:rPr>
              <w:t>价格（</w:t>
            </w:r>
            <w:r>
              <w:rPr>
                <w:rFonts w:hint="eastAsia" w:ascii="宋体" w:hAnsi="宋体" w:cs="宋体"/>
                <w:sz w:val="24"/>
                <w:szCs w:val="24"/>
                <w:highlight w:val="none"/>
                <w:lang w:val="en-US" w:eastAsia="zh-CN"/>
              </w:rPr>
              <w:t>40</w:t>
            </w:r>
            <w:r>
              <w:rPr>
                <w:rFonts w:hint="eastAsia" w:ascii="宋体" w:hAnsi="宋体" w:eastAsia="宋体" w:cs="宋体"/>
                <w:sz w:val="24"/>
                <w:szCs w:val="24"/>
                <w:highlight w:val="none"/>
              </w:rPr>
              <w:t>分）</w:t>
            </w:r>
          </w:p>
        </w:tc>
        <w:tc>
          <w:tcPr>
            <w:tcW w:w="501" w:type="pct"/>
            <w:noWrap w:val="0"/>
            <w:vAlign w:val="center"/>
          </w:tcPr>
          <w:p w14:paraId="58CE7E3B">
            <w:pPr>
              <w:spacing w:line="360" w:lineRule="auto"/>
              <w:jc w:val="center"/>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报价</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价格</w:t>
            </w:r>
          </w:p>
        </w:tc>
        <w:tc>
          <w:tcPr>
            <w:tcW w:w="3243" w:type="pct"/>
            <w:noWrap w:val="0"/>
            <w:vAlign w:val="center"/>
          </w:tcPr>
          <w:p w14:paraId="08D66E0E">
            <w:pPr>
              <w:spacing w:line="360" w:lineRule="auto"/>
              <w:jc w:val="both"/>
              <w:rPr>
                <w:rFonts w:ascii="宋体" w:hAnsi="宋体" w:eastAsia="宋体" w:cs="宋体"/>
                <w:sz w:val="24"/>
                <w:szCs w:val="24"/>
              </w:rPr>
            </w:pPr>
            <w:r>
              <w:rPr>
                <w:rFonts w:ascii="宋体" w:hAnsi="宋体" w:eastAsia="宋体" w:cs="宋体"/>
                <w:sz w:val="24"/>
                <w:szCs w:val="24"/>
              </w:rPr>
              <w:t>以合格供应商在同一包号中的所有产品的报价</w:t>
            </w:r>
            <w:r>
              <w:rPr>
                <w:rFonts w:hint="eastAsia" w:ascii="宋体" w:hAnsi="宋体" w:eastAsia="宋体" w:cs="宋体"/>
                <w:sz w:val="24"/>
                <w:szCs w:val="24"/>
                <w:lang w:eastAsia="zh-CN"/>
              </w:rPr>
              <w:t>单价</w:t>
            </w:r>
            <w:r>
              <w:rPr>
                <w:rFonts w:ascii="宋体" w:hAnsi="宋体" w:eastAsia="宋体" w:cs="宋体"/>
                <w:sz w:val="24"/>
                <w:szCs w:val="24"/>
              </w:rPr>
              <w:t>平均值为其评审价格，合格供应商评审价格最低的为满分，作为评审基准价，计</w:t>
            </w:r>
            <w:r>
              <w:rPr>
                <w:rFonts w:hint="eastAsia" w:ascii="宋体" w:hAnsi="宋体" w:cs="宋体"/>
                <w:sz w:val="24"/>
                <w:szCs w:val="24"/>
                <w:lang w:val="en-US" w:eastAsia="zh-CN"/>
              </w:rPr>
              <w:t>40</w:t>
            </w:r>
            <w:r>
              <w:rPr>
                <w:rFonts w:ascii="宋体" w:hAnsi="宋体" w:eastAsia="宋体" w:cs="宋体"/>
                <w:sz w:val="24"/>
                <w:szCs w:val="24"/>
              </w:rPr>
              <w:t>分。评审价格高于评审基准价的，其报价分按照下列公式进行计算： 报价得分=（评审基准价/评审价格）×</w:t>
            </w:r>
            <w:r>
              <w:rPr>
                <w:rFonts w:hint="eastAsia" w:ascii="宋体" w:hAnsi="宋体" w:cs="宋体"/>
                <w:sz w:val="24"/>
                <w:szCs w:val="24"/>
                <w:lang w:val="en-US" w:eastAsia="zh-CN"/>
              </w:rPr>
              <w:t>40</w:t>
            </w:r>
            <w:r>
              <w:rPr>
                <w:rFonts w:ascii="宋体" w:hAnsi="宋体" w:eastAsia="宋体" w:cs="宋体"/>
                <w:sz w:val="24"/>
                <w:szCs w:val="24"/>
              </w:rPr>
              <w:t>分。</w:t>
            </w:r>
          </w:p>
          <w:p w14:paraId="3C795333">
            <w:pPr>
              <w:spacing w:line="360" w:lineRule="auto"/>
              <w:jc w:val="both"/>
              <w:rPr>
                <w:rFonts w:hint="default" w:ascii="宋体" w:hAnsi="宋体" w:eastAsia="宋体" w:cs="宋体"/>
                <w:color w:val="000000"/>
                <w:sz w:val="24"/>
                <w:szCs w:val="24"/>
                <w:lang w:val="en-US"/>
              </w:rPr>
            </w:pPr>
            <w:r>
              <w:rPr>
                <w:rFonts w:hint="eastAsia" w:ascii="宋体" w:hAnsi="宋体" w:eastAsia="宋体" w:cs="宋体"/>
                <w:color w:val="auto"/>
                <w:sz w:val="24"/>
                <w:szCs w:val="24"/>
                <w:highlight w:val="none"/>
                <w:lang w:val="en-US" w:eastAsia="zh-CN"/>
              </w:rPr>
              <w:t>注：供应商所投产品偏离该目录采购要求的或未通过本项目资格审查的，则该供应商产品报价不进入评审价格计算</w:t>
            </w:r>
            <w:r>
              <w:rPr>
                <w:rFonts w:hint="eastAsia" w:ascii="宋体" w:hAnsi="宋体" w:eastAsia="宋体" w:cs="宋体"/>
                <w:color w:val="000000"/>
                <w:sz w:val="24"/>
                <w:szCs w:val="24"/>
              </w:rPr>
              <w:t>。</w:t>
            </w:r>
          </w:p>
        </w:tc>
        <w:tc>
          <w:tcPr>
            <w:tcW w:w="506" w:type="pct"/>
            <w:noWrap w:val="0"/>
            <w:vAlign w:val="center"/>
          </w:tcPr>
          <w:p w14:paraId="4AA5B7FC">
            <w:pPr>
              <w:spacing w:line="360" w:lineRule="auto"/>
              <w:jc w:val="center"/>
              <w:rPr>
                <w:rFonts w:hint="default" w:ascii="宋体" w:hAnsi="宋体" w:eastAsia="宋体" w:cs="宋体"/>
                <w:sz w:val="24"/>
                <w:szCs w:val="24"/>
                <w:lang w:val="en-US" w:eastAsia="zh-CN"/>
              </w:rPr>
            </w:pPr>
            <w:r>
              <w:rPr>
                <w:rFonts w:hint="eastAsia" w:ascii="宋体" w:hAnsi="宋体" w:cs="宋体"/>
                <w:color w:val="auto"/>
                <w:sz w:val="24"/>
                <w:szCs w:val="24"/>
                <w:highlight w:val="none"/>
                <w:lang w:val="en-US" w:eastAsia="zh-CN"/>
              </w:rPr>
              <w:t>40</w:t>
            </w:r>
          </w:p>
        </w:tc>
      </w:tr>
      <w:tr w14:paraId="649BC3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242" w:type="pct"/>
            <w:vMerge w:val="restart"/>
            <w:noWrap w:val="0"/>
            <w:vAlign w:val="center"/>
          </w:tcPr>
          <w:p w14:paraId="148C72CA">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506" w:type="pct"/>
            <w:vMerge w:val="restart"/>
            <w:noWrap w:val="0"/>
            <w:vAlign w:val="center"/>
          </w:tcPr>
          <w:p w14:paraId="4B255C8E">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技术（50）</w:t>
            </w:r>
          </w:p>
        </w:tc>
        <w:tc>
          <w:tcPr>
            <w:tcW w:w="501" w:type="pct"/>
            <w:noWrap w:val="0"/>
            <w:vAlign w:val="center"/>
          </w:tcPr>
          <w:p w14:paraId="2E61F650">
            <w:pPr>
              <w:adjustRightInd w:val="0"/>
              <w:snapToGrid w:val="0"/>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技术参数</w:t>
            </w:r>
          </w:p>
        </w:tc>
        <w:tc>
          <w:tcPr>
            <w:tcW w:w="3243" w:type="pct"/>
            <w:noWrap w:val="0"/>
            <w:vAlign w:val="center"/>
          </w:tcPr>
          <w:p w14:paraId="0E41F311">
            <w:pPr>
              <w:spacing w:line="360" w:lineRule="auto"/>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技术参数偏离或漏项，每出现一处扣4分，扣完为止。</w:t>
            </w:r>
          </w:p>
        </w:tc>
        <w:tc>
          <w:tcPr>
            <w:tcW w:w="506" w:type="pct"/>
            <w:noWrap w:val="0"/>
            <w:vAlign w:val="center"/>
          </w:tcPr>
          <w:p w14:paraId="6CC8F840">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w:t>
            </w:r>
          </w:p>
        </w:tc>
      </w:tr>
      <w:tr w14:paraId="1F816A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1" w:hRule="atLeast"/>
          <w:jc w:val="center"/>
        </w:trPr>
        <w:tc>
          <w:tcPr>
            <w:tcW w:w="242" w:type="pct"/>
            <w:vMerge w:val="continue"/>
            <w:noWrap w:val="0"/>
            <w:vAlign w:val="center"/>
          </w:tcPr>
          <w:p w14:paraId="4F1B3E43">
            <w:pPr>
              <w:spacing w:line="360" w:lineRule="auto"/>
              <w:jc w:val="center"/>
              <w:rPr>
                <w:rFonts w:hint="eastAsia" w:ascii="宋体" w:hAnsi="宋体" w:eastAsia="宋体" w:cs="宋体"/>
                <w:sz w:val="24"/>
                <w:szCs w:val="24"/>
              </w:rPr>
            </w:pPr>
          </w:p>
        </w:tc>
        <w:tc>
          <w:tcPr>
            <w:tcW w:w="506" w:type="pct"/>
            <w:vMerge w:val="continue"/>
            <w:noWrap w:val="0"/>
            <w:vAlign w:val="center"/>
          </w:tcPr>
          <w:p w14:paraId="6A1C99BD">
            <w:pPr>
              <w:spacing w:line="360" w:lineRule="auto"/>
              <w:jc w:val="center"/>
              <w:rPr>
                <w:rFonts w:hint="eastAsia" w:ascii="宋体" w:hAnsi="宋体" w:eastAsia="宋体" w:cs="宋体"/>
                <w:sz w:val="24"/>
                <w:szCs w:val="24"/>
              </w:rPr>
            </w:pPr>
          </w:p>
        </w:tc>
        <w:tc>
          <w:tcPr>
            <w:tcW w:w="501" w:type="pct"/>
            <w:noWrap w:val="0"/>
            <w:vAlign w:val="center"/>
          </w:tcPr>
          <w:p w14:paraId="23C7F92C">
            <w:pPr>
              <w:spacing w:line="360" w:lineRule="auto"/>
              <w:jc w:val="center"/>
              <w:rPr>
                <w:rFonts w:hint="eastAsia" w:ascii="宋体" w:hAnsi="宋体" w:eastAsia="宋体" w:cs="宋体"/>
                <w:sz w:val="24"/>
                <w:szCs w:val="24"/>
              </w:rPr>
            </w:pPr>
            <w:r>
              <w:rPr>
                <w:rFonts w:hint="eastAsia" w:ascii="宋体" w:hAnsi="宋体" w:cs="宋体"/>
                <w:color w:val="auto"/>
                <w:sz w:val="24"/>
                <w:szCs w:val="24"/>
                <w:highlight w:val="none"/>
                <w:lang w:val="en-US" w:eastAsia="zh-CN"/>
              </w:rPr>
              <w:t>产品业绩</w:t>
            </w:r>
          </w:p>
        </w:tc>
        <w:tc>
          <w:tcPr>
            <w:tcW w:w="3243" w:type="pct"/>
            <w:noWrap w:val="0"/>
            <w:vAlign w:val="center"/>
          </w:tcPr>
          <w:p w14:paraId="17BCAC46">
            <w:pPr>
              <w:spacing w:line="360" w:lineRule="auto"/>
              <w:rPr>
                <w:rFonts w:hint="eastAsia" w:ascii="宋体" w:hAnsi="宋体" w:eastAsia="宋体" w:cs="宋体"/>
                <w:sz w:val="24"/>
                <w:szCs w:val="24"/>
              </w:rPr>
            </w:pPr>
            <w:r>
              <w:rPr>
                <w:rFonts w:hint="eastAsia" w:ascii="宋体" w:hAnsi="宋体" w:eastAsia="宋体" w:cs="宋体"/>
                <w:color w:val="auto"/>
                <w:sz w:val="24"/>
                <w:szCs w:val="24"/>
                <w:highlight w:val="none"/>
              </w:rPr>
              <w:t>供应商所投</w:t>
            </w:r>
            <w:r>
              <w:rPr>
                <w:rFonts w:hint="eastAsia" w:ascii="宋体" w:hAnsi="宋体" w:cs="宋体"/>
                <w:color w:val="auto"/>
                <w:sz w:val="24"/>
                <w:szCs w:val="24"/>
                <w:highlight w:val="none"/>
                <w:lang w:val="en-US" w:eastAsia="zh-CN"/>
              </w:rPr>
              <w:t>产品品牌手术器械</w:t>
            </w:r>
            <w:r>
              <w:rPr>
                <w:rFonts w:hint="eastAsia" w:ascii="宋体" w:hAnsi="宋体" w:eastAsia="宋体" w:cs="宋体"/>
                <w:color w:val="auto"/>
                <w:sz w:val="24"/>
                <w:szCs w:val="24"/>
                <w:highlight w:val="none"/>
              </w:rPr>
              <w:t>在三</w:t>
            </w:r>
            <w:r>
              <w:rPr>
                <w:rFonts w:hint="eastAsia" w:ascii="宋体" w:hAnsi="宋体" w:eastAsia="宋体" w:cs="宋体"/>
                <w:color w:val="auto"/>
                <w:sz w:val="24"/>
                <w:szCs w:val="24"/>
                <w:highlight w:val="none"/>
                <w:lang w:val="en-US" w:eastAsia="zh-CN"/>
              </w:rPr>
              <w:t>级</w:t>
            </w:r>
            <w:r>
              <w:rPr>
                <w:rFonts w:hint="eastAsia" w:ascii="宋体" w:hAnsi="宋体" w:cs="宋体"/>
                <w:color w:val="auto"/>
                <w:sz w:val="24"/>
                <w:szCs w:val="24"/>
                <w:highlight w:val="none"/>
                <w:lang w:val="en-US" w:eastAsia="zh-CN"/>
              </w:rPr>
              <w:t>甲等</w:t>
            </w:r>
            <w:r>
              <w:rPr>
                <w:rFonts w:hint="eastAsia" w:ascii="宋体" w:hAnsi="宋体" w:eastAsia="宋体" w:cs="宋体"/>
                <w:color w:val="auto"/>
                <w:sz w:val="24"/>
                <w:szCs w:val="24"/>
                <w:highlight w:val="none"/>
              </w:rPr>
              <w:t>医院使用</w:t>
            </w:r>
            <w:r>
              <w:rPr>
                <w:rFonts w:hint="eastAsia" w:ascii="宋体" w:hAnsi="宋体" w:eastAsia="宋体" w:cs="宋体"/>
                <w:color w:val="auto"/>
                <w:sz w:val="24"/>
                <w:szCs w:val="24"/>
                <w:highlight w:val="none"/>
                <w:lang w:val="en-US" w:eastAsia="zh-CN"/>
              </w:rPr>
              <w:t>业绩</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每个医院计</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分。（需提供在用医院联系清单，供货合同或供货发票</w:t>
            </w:r>
            <w:r>
              <w:rPr>
                <w:rFonts w:hint="eastAsia" w:ascii="宋体" w:hAnsi="宋体" w:eastAsia="宋体" w:cs="宋体"/>
                <w:color w:val="auto"/>
                <w:sz w:val="24"/>
                <w:szCs w:val="24"/>
                <w:highlight w:val="none"/>
                <w:lang w:val="en-US" w:eastAsia="zh-CN"/>
              </w:rPr>
              <w:t>复印件</w:t>
            </w:r>
            <w:r>
              <w:rPr>
                <w:rFonts w:hint="eastAsia" w:ascii="宋体" w:hAnsi="宋体" w:eastAsia="宋体" w:cs="宋体"/>
                <w:color w:val="auto"/>
                <w:sz w:val="24"/>
                <w:szCs w:val="24"/>
                <w:highlight w:val="none"/>
              </w:rPr>
              <w:t>）</w:t>
            </w:r>
          </w:p>
        </w:tc>
        <w:tc>
          <w:tcPr>
            <w:tcW w:w="506" w:type="pct"/>
            <w:noWrap w:val="0"/>
            <w:vAlign w:val="center"/>
          </w:tcPr>
          <w:p w14:paraId="422B1D3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30</w:t>
            </w:r>
          </w:p>
        </w:tc>
      </w:tr>
      <w:tr w14:paraId="0D0A88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242" w:type="pct"/>
            <w:noWrap w:val="0"/>
            <w:vAlign w:val="center"/>
          </w:tcPr>
          <w:p w14:paraId="59AE06BA">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506" w:type="pct"/>
            <w:noWrap w:val="0"/>
            <w:vAlign w:val="center"/>
          </w:tcPr>
          <w:p w14:paraId="48522BF8">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商务（10分</w:t>
            </w:r>
          </w:p>
        </w:tc>
        <w:tc>
          <w:tcPr>
            <w:tcW w:w="501" w:type="pct"/>
            <w:noWrap w:val="0"/>
            <w:vAlign w:val="center"/>
          </w:tcPr>
          <w:p w14:paraId="02EB1621">
            <w:pPr>
              <w:spacing w:line="36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rPr>
              <w:t>配送服务方案</w:t>
            </w:r>
          </w:p>
        </w:tc>
        <w:tc>
          <w:tcPr>
            <w:tcW w:w="3243" w:type="pct"/>
            <w:noWrap w:val="0"/>
            <w:vAlign w:val="center"/>
          </w:tcPr>
          <w:p w14:paraId="7A44D9E5">
            <w:pPr>
              <w:spacing w:line="360" w:lineRule="auto"/>
              <w:jc w:val="left"/>
              <w:rPr>
                <w:rFonts w:hint="eastAsia" w:ascii="宋体" w:hAnsi="宋体" w:eastAsia="宋体" w:cs="宋体"/>
                <w:kern w:val="2"/>
                <w:sz w:val="24"/>
                <w:szCs w:val="24"/>
                <w:lang w:val="en-US" w:eastAsia="zh-CN" w:bidi="ar-SA"/>
              </w:rPr>
            </w:pPr>
            <w:r>
              <w:rPr>
                <w:rFonts w:hint="eastAsia" w:ascii="宋体" w:hAnsi="宋体" w:eastAsia="宋体" w:cs="宋体"/>
                <w:sz w:val="24"/>
                <w:szCs w:val="24"/>
              </w:rPr>
              <w:t>供应商根据本项目的采购需求提供配送服务方案，包括但不限于耗材供货来源、响应时间、人员配置、集中送货方案、紧急配送、退换货、质量及进度保障</w:t>
            </w:r>
            <w:r>
              <w:rPr>
                <w:rFonts w:hint="eastAsia" w:ascii="宋体" w:hAnsi="宋体" w:cs="宋体"/>
                <w:sz w:val="24"/>
                <w:szCs w:val="24"/>
                <w:lang w:eastAsia="zh-CN"/>
              </w:rPr>
              <w:t>、</w:t>
            </w:r>
            <w:r>
              <w:rPr>
                <w:rFonts w:hint="eastAsia" w:ascii="宋体" w:hAnsi="宋体" w:cs="宋体"/>
                <w:sz w:val="24"/>
                <w:szCs w:val="24"/>
                <w:lang w:val="en-US" w:eastAsia="zh-CN"/>
              </w:rPr>
              <w:t>培训</w:t>
            </w:r>
            <w:r>
              <w:rPr>
                <w:rFonts w:hint="eastAsia" w:ascii="宋体" w:hAnsi="宋体" w:eastAsia="宋体" w:cs="宋体"/>
                <w:sz w:val="24"/>
                <w:szCs w:val="24"/>
              </w:rPr>
              <w:t>措施等方面。方案详细合理包含以上全部内容的计</w:t>
            </w:r>
            <w:r>
              <w:rPr>
                <w:rFonts w:hint="eastAsia" w:ascii="宋体" w:hAnsi="宋体" w:cs="宋体"/>
                <w:sz w:val="24"/>
                <w:szCs w:val="24"/>
                <w:lang w:val="en-US" w:eastAsia="zh-CN"/>
              </w:rPr>
              <w:t>10</w:t>
            </w:r>
            <w:r>
              <w:rPr>
                <w:rFonts w:hint="eastAsia" w:ascii="宋体" w:hAnsi="宋体" w:eastAsia="宋体" w:cs="宋体"/>
                <w:sz w:val="24"/>
                <w:szCs w:val="24"/>
              </w:rPr>
              <w:t>分；方案较详细合理包含以上全部内</w:t>
            </w:r>
            <w:r>
              <w:rPr>
                <w:rFonts w:hint="eastAsia" w:ascii="宋体" w:hAnsi="宋体" w:eastAsia="宋体" w:cs="宋体"/>
                <w:sz w:val="24"/>
                <w:szCs w:val="24"/>
                <w:lang w:val="en-US" w:eastAsia="zh-CN"/>
              </w:rPr>
              <w:t>容</w:t>
            </w:r>
            <w:r>
              <w:rPr>
                <w:rFonts w:hint="eastAsia" w:ascii="宋体" w:hAnsi="宋体" w:eastAsia="宋体" w:cs="宋体"/>
                <w:sz w:val="24"/>
                <w:szCs w:val="24"/>
              </w:rPr>
              <w:t>的计</w:t>
            </w:r>
            <w:r>
              <w:rPr>
                <w:rFonts w:hint="eastAsia" w:ascii="宋体" w:hAnsi="宋体" w:cs="宋体"/>
                <w:sz w:val="24"/>
                <w:szCs w:val="24"/>
                <w:lang w:val="en-US" w:eastAsia="zh-CN"/>
              </w:rPr>
              <w:t>6分</w:t>
            </w: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 xml:space="preserve">方案未详细合理缺少以上部分内容的计 </w:t>
            </w:r>
            <w:r>
              <w:rPr>
                <w:rFonts w:hint="eastAsia" w:ascii="宋体" w:hAnsi="宋体" w:cs="宋体"/>
                <w:sz w:val="24"/>
                <w:szCs w:val="24"/>
                <w:lang w:val="en-US" w:eastAsia="zh-CN"/>
              </w:rPr>
              <w:t>2</w:t>
            </w:r>
            <w:r>
              <w:rPr>
                <w:rFonts w:hint="eastAsia" w:ascii="宋体" w:hAnsi="宋体" w:eastAsia="宋体" w:cs="宋体"/>
                <w:sz w:val="24"/>
                <w:szCs w:val="24"/>
              </w:rPr>
              <w:t>分，未提供方案的计 0</w:t>
            </w:r>
            <w:r>
              <w:rPr>
                <w:rFonts w:hint="eastAsia" w:ascii="宋体" w:hAnsi="宋体" w:eastAsia="宋体" w:cs="宋体"/>
                <w:sz w:val="24"/>
                <w:szCs w:val="24"/>
                <w:lang w:val="en-US" w:eastAsia="zh-CN"/>
              </w:rPr>
              <w:t>分。</w:t>
            </w:r>
          </w:p>
        </w:tc>
        <w:tc>
          <w:tcPr>
            <w:tcW w:w="506" w:type="pct"/>
            <w:noWrap w:val="0"/>
            <w:vAlign w:val="center"/>
          </w:tcPr>
          <w:p w14:paraId="750390B3">
            <w:pPr>
              <w:spacing w:line="360" w:lineRule="auto"/>
              <w:jc w:val="center"/>
              <w:rPr>
                <w:rFonts w:hint="default" w:ascii="宋体" w:hAnsi="宋体" w:eastAsia="宋体" w:cs="宋体"/>
                <w:kern w:val="2"/>
                <w:sz w:val="24"/>
                <w:szCs w:val="24"/>
                <w:lang w:val="en-US" w:eastAsia="zh-CN" w:bidi="ar-SA"/>
              </w:rPr>
            </w:pPr>
            <w:r>
              <w:rPr>
                <w:rFonts w:hint="eastAsia" w:ascii="宋体" w:hAnsi="宋体" w:cs="宋体"/>
                <w:sz w:val="24"/>
                <w:szCs w:val="24"/>
                <w:lang w:val="en-US" w:eastAsia="zh-CN"/>
              </w:rPr>
              <w:t>10</w:t>
            </w:r>
          </w:p>
        </w:tc>
      </w:tr>
    </w:tbl>
    <w:p w14:paraId="2B7AA0AA">
      <w:pPr>
        <w:jc w:val="both"/>
        <w:rPr>
          <w:rFonts w:hint="eastAsia" w:ascii="仿宋" w:hAnsi="仿宋" w:eastAsia="仿宋" w:cs="仿宋"/>
          <w:sz w:val="24"/>
          <w:szCs w:val="24"/>
        </w:rPr>
      </w:pPr>
    </w:p>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p>
    <w:p w14:paraId="294A5165">
      <w:pPr>
        <w:pStyle w:val="4"/>
        <w:numPr>
          <w:ilvl w:val="0"/>
          <w:numId w:val="3"/>
        </w:numPr>
        <w:spacing w:line="240" w:lineRule="auto"/>
        <w:ind w:firstLine="2409" w:firstLineChars="80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7169976">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6CBF91">
      <w:pPr>
        <w:rPr>
          <w:rFonts w:hint="eastAsia" w:ascii="宋体" w:hAnsi="宋体" w:cs="宋体"/>
          <w:color w:val="auto"/>
        </w:rPr>
      </w:pPr>
    </w:p>
    <w:bookmarkEnd w:id="2"/>
    <w:p w14:paraId="08D4C590">
      <w:pPr>
        <w:rPr>
          <w:rFonts w:hint="eastAsia"/>
          <w:color w:val="auto"/>
        </w:rPr>
      </w:pPr>
    </w:p>
    <w:p w14:paraId="4D0960B7">
      <w:pPr>
        <w:jc w:val="center"/>
        <w:rPr>
          <w:b/>
          <w:color w:val="auto"/>
          <w:sz w:val="24"/>
        </w:rPr>
      </w:pPr>
      <w:r>
        <w:rPr>
          <w:b/>
          <w:color w:val="auto"/>
          <w:sz w:val="28"/>
          <w:szCs w:val="28"/>
        </w:rPr>
        <w:t>第一部分、开标一览表</w:t>
      </w:r>
    </w:p>
    <w:p w14:paraId="62657D8A">
      <w:pPr>
        <w:jc w:val="center"/>
        <w:rPr>
          <w:b/>
          <w:color w:val="auto"/>
          <w:sz w:val="24"/>
        </w:rPr>
      </w:pPr>
    </w:p>
    <w:p w14:paraId="3A11B7F8">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436237B">
      <w:pPr>
        <w:pStyle w:val="18"/>
        <w:rPr>
          <w:color w:val="auto"/>
        </w:rPr>
      </w:pPr>
    </w:p>
    <w:p w14:paraId="268DC177">
      <w:pPr>
        <w:adjustRightInd w:val="0"/>
        <w:snapToGrid w:val="0"/>
        <w:spacing w:line="360" w:lineRule="auto"/>
        <w:jc w:val="center"/>
        <w:rPr>
          <w:rFonts w:hint="eastAsia" w:ascii="宋体" w:hAnsi="宋体" w:cs="宋体"/>
          <w:b/>
          <w:color w:val="auto"/>
          <w:sz w:val="28"/>
          <w:szCs w:val="28"/>
        </w:rPr>
      </w:pPr>
    </w:p>
    <w:p w14:paraId="4A8DC8E8">
      <w:pPr>
        <w:adjustRightInd w:val="0"/>
        <w:snapToGrid w:val="0"/>
        <w:spacing w:line="360" w:lineRule="auto"/>
        <w:jc w:val="center"/>
        <w:rPr>
          <w:rFonts w:hint="eastAsia" w:ascii="宋体" w:hAnsi="宋体" w:cs="宋体"/>
          <w:b/>
          <w:color w:val="auto"/>
          <w:sz w:val="28"/>
          <w:szCs w:val="28"/>
        </w:rPr>
      </w:pPr>
    </w:p>
    <w:p w14:paraId="07F41EB6">
      <w:pPr>
        <w:adjustRightInd w:val="0"/>
        <w:snapToGrid w:val="0"/>
        <w:spacing w:line="360" w:lineRule="auto"/>
        <w:jc w:val="center"/>
        <w:rPr>
          <w:rFonts w:hint="eastAsia" w:ascii="宋体" w:hAnsi="宋体" w:cs="宋体"/>
          <w:b/>
          <w:color w:val="auto"/>
          <w:sz w:val="28"/>
          <w:szCs w:val="28"/>
        </w:rPr>
      </w:pPr>
    </w:p>
    <w:p w14:paraId="5F3BE2EA">
      <w:pPr>
        <w:adjustRightInd w:val="0"/>
        <w:snapToGrid w:val="0"/>
        <w:spacing w:line="360" w:lineRule="auto"/>
        <w:jc w:val="center"/>
        <w:rPr>
          <w:rFonts w:hint="eastAsia" w:ascii="宋体" w:hAnsi="宋体" w:cs="宋体"/>
          <w:b/>
          <w:color w:val="auto"/>
          <w:sz w:val="28"/>
          <w:szCs w:val="28"/>
        </w:rPr>
      </w:pPr>
    </w:p>
    <w:p w14:paraId="4267E2D0">
      <w:pPr>
        <w:adjustRightInd w:val="0"/>
        <w:snapToGrid w:val="0"/>
        <w:spacing w:line="360" w:lineRule="auto"/>
        <w:jc w:val="center"/>
        <w:rPr>
          <w:rFonts w:hint="eastAsia" w:ascii="宋体" w:hAnsi="宋体" w:cs="宋体"/>
          <w:b/>
          <w:color w:val="auto"/>
          <w:sz w:val="28"/>
          <w:szCs w:val="28"/>
        </w:rPr>
      </w:pPr>
    </w:p>
    <w:p w14:paraId="5F1C5418">
      <w:pPr>
        <w:adjustRightInd w:val="0"/>
        <w:snapToGrid w:val="0"/>
        <w:spacing w:line="360" w:lineRule="auto"/>
        <w:jc w:val="center"/>
        <w:rPr>
          <w:rFonts w:hint="eastAsia" w:ascii="宋体" w:hAnsi="宋体" w:cs="宋体"/>
          <w:b/>
          <w:color w:val="auto"/>
          <w:sz w:val="28"/>
          <w:szCs w:val="28"/>
        </w:rPr>
      </w:pPr>
    </w:p>
    <w:p w14:paraId="040D6C03">
      <w:pPr>
        <w:adjustRightInd w:val="0"/>
        <w:snapToGrid w:val="0"/>
        <w:spacing w:line="360" w:lineRule="auto"/>
        <w:jc w:val="center"/>
        <w:rPr>
          <w:rFonts w:hint="eastAsia" w:ascii="宋体" w:hAnsi="宋体" w:cs="宋体"/>
          <w:b/>
          <w:color w:val="auto"/>
          <w:sz w:val="28"/>
          <w:szCs w:val="28"/>
        </w:rPr>
      </w:pPr>
    </w:p>
    <w:p w14:paraId="13B7AA99">
      <w:pPr>
        <w:adjustRightInd w:val="0"/>
        <w:snapToGrid w:val="0"/>
        <w:spacing w:line="360" w:lineRule="auto"/>
        <w:jc w:val="center"/>
        <w:rPr>
          <w:rFonts w:hint="eastAsia" w:ascii="宋体" w:hAnsi="宋体" w:cs="宋体"/>
          <w:b/>
          <w:color w:val="auto"/>
          <w:sz w:val="28"/>
          <w:szCs w:val="28"/>
        </w:rPr>
      </w:pPr>
    </w:p>
    <w:p w14:paraId="4EABC2AA">
      <w:pPr>
        <w:adjustRightInd w:val="0"/>
        <w:snapToGrid w:val="0"/>
        <w:spacing w:line="360" w:lineRule="auto"/>
        <w:jc w:val="center"/>
        <w:rPr>
          <w:rFonts w:hint="eastAsia" w:ascii="宋体" w:hAnsi="宋体" w:cs="宋体"/>
          <w:b/>
          <w:color w:val="auto"/>
          <w:sz w:val="28"/>
          <w:szCs w:val="28"/>
        </w:rPr>
      </w:pPr>
    </w:p>
    <w:p w14:paraId="50BA3C00">
      <w:pPr>
        <w:adjustRightInd w:val="0"/>
        <w:snapToGrid w:val="0"/>
        <w:spacing w:line="360" w:lineRule="auto"/>
        <w:jc w:val="center"/>
        <w:rPr>
          <w:rFonts w:hint="eastAsia" w:ascii="宋体" w:hAnsi="宋体" w:cs="宋体"/>
          <w:b/>
          <w:color w:val="auto"/>
          <w:sz w:val="28"/>
          <w:szCs w:val="28"/>
        </w:rPr>
      </w:pPr>
    </w:p>
    <w:p w14:paraId="3F96BEA8">
      <w:pPr>
        <w:adjustRightInd w:val="0"/>
        <w:snapToGrid w:val="0"/>
        <w:spacing w:line="360" w:lineRule="auto"/>
        <w:jc w:val="center"/>
        <w:rPr>
          <w:rFonts w:hint="eastAsia" w:ascii="宋体" w:hAnsi="宋体" w:cs="宋体"/>
          <w:b/>
          <w:color w:val="auto"/>
          <w:sz w:val="28"/>
          <w:szCs w:val="28"/>
        </w:rPr>
      </w:pPr>
    </w:p>
    <w:p w14:paraId="20AAEBC3">
      <w:pPr>
        <w:adjustRightInd w:val="0"/>
        <w:snapToGrid w:val="0"/>
        <w:spacing w:line="360" w:lineRule="auto"/>
        <w:jc w:val="center"/>
        <w:rPr>
          <w:rFonts w:hint="eastAsia" w:ascii="宋体" w:hAnsi="宋体" w:cs="宋体"/>
          <w:b/>
          <w:color w:val="auto"/>
          <w:sz w:val="28"/>
          <w:szCs w:val="28"/>
        </w:rPr>
      </w:pPr>
    </w:p>
    <w:p w14:paraId="4F74D181">
      <w:pPr>
        <w:adjustRightInd w:val="0"/>
        <w:snapToGrid w:val="0"/>
        <w:spacing w:line="360" w:lineRule="auto"/>
        <w:jc w:val="center"/>
        <w:rPr>
          <w:rFonts w:hint="eastAsia" w:ascii="宋体" w:hAnsi="宋体" w:cs="宋体"/>
          <w:b/>
          <w:color w:val="auto"/>
          <w:sz w:val="28"/>
          <w:szCs w:val="28"/>
        </w:rPr>
      </w:pPr>
    </w:p>
    <w:p w14:paraId="228EC2E2">
      <w:pPr>
        <w:adjustRightInd w:val="0"/>
        <w:snapToGrid w:val="0"/>
        <w:spacing w:line="360" w:lineRule="auto"/>
        <w:jc w:val="center"/>
        <w:rPr>
          <w:rFonts w:hint="eastAsia" w:ascii="宋体" w:hAnsi="宋体" w:cs="宋体"/>
          <w:b/>
          <w:color w:val="auto"/>
          <w:sz w:val="28"/>
          <w:szCs w:val="28"/>
        </w:rPr>
      </w:pPr>
    </w:p>
    <w:p w14:paraId="456569A2">
      <w:pPr>
        <w:adjustRightInd w:val="0"/>
        <w:snapToGrid w:val="0"/>
        <w:spacing w:line="360" w:lineRule="auto"/>
        <w:jc w:val="center"/>
        <w:rPr>
          <w:rFonts w:hint="eastAsia" w:ascii="宋体" w:hAnsi="宋体" w:cs="宋体"/>
          <w:b/>
          <w:color w:val="auto"/>
          <w:sz w:val="28"/>
          <w:szCs w:val="28"/>
        </w:rPr>
      </w:pPr>
    </w:p>
    <w:p w14:paraId="2E749D59">
      <w:pPr>
        <w:adjustRightInd w:val="0"/>
        <w:snapToGrid w:val="0"/>
        <w:spacing w:line="360" w:lineRule="auto"/>
        <w:jc w:val="center"/>
        <w:rPr>
          <w:rFonts w:hint="eastAsia" w:ascii="宋体" w:hAnsi="宋体" w:cs="宋体"/>
          <w:b/>
          <w:color w:val="auto"/>
          <w:sz w:val="28"/>
          <w:szCs w:val="28"/>
        </w:rPr>
      </w:pPr>
    </w:p>
    <w:p w14:paraId="0F548034">
      <w:pPr>
        <w:adjustRightInd w:val="0"/>
        <w:snapToGrid w:val="0"/>
        <w:spacing w:line="360" w:lineRule="auto"/>
        <w:jc w:val="center"/>
        <w:rPr>
          <w:rFonts w:hint="eastAsia" w:ascii="宋体" w:hAnsi="宋体" w:cs="宋体"/>
          <w:b/>
          <w:color w:val="auto"/>
          <w:sz w:val="28"/>
          <w:szCs w:val="28"/>
        </w:rPr>
      </w:pPr>
    </w:p>
    <w:p w14:paraId="66416A03">
      <w:pPr>
        <w:adjustRightInd w:val="0"/>
        <w:snapToGrid w:val="0"/>
        <w:spacing w:line="360" w:lineRule="auto"/>
        <w:jc w:val="center"/>
        <w:rPr>
          <w:rFonts w:hint="eastAsia" w:ascii="宋体" w:hAnsi="宋体" w:cs="宋体"/>
          <w:b/>
          <w:color w:val="auto"/>
          <w:sz w:val="28"/>
          <w:szCs w:val="28"/>
        </w:rPr>
      </w:pPr>
    </w:p>
    <w:p w14:paraId="16E73805">
      <w:pPr>
        <w:adjustRightInd w:val="0"/>
        <w:snapToGrid w:val="0"/>
        <w:spacing w:line="360" w:lineRule="auto"/>
        <w:jc w:val="center"/>
        <w:rPr>
          <w:rFonts w:hint="eastAsia" w:ascii="宋体" w:hAnsi="宋体" w:cs="宋体"/>
          <w:b/>
          <w:color w:val="auto"/>
          <w:sz w:val="28"/>
          <w:szCs w:val="28"/>
        </w:rPr>
      </w:pPr>
    </w:p>
    <w:p w14:paraId="014F0BBF">
      <w:pPr>
        <w:adjustRightInd w:val="0"/>
        <w:snapToGrid w:val="0"/>
        <w:spacing w:line="360" w:lineRule="auto"/>
        <w:jc w:val="center"/>
        <w:rPr>
          <w:rFonts w:hint="eastAsia" w:ascii="宋体" w:hAnsi="宋体" w:cs="宋体"/>
          <w:b/>
          <w:color w:val="auto"/>
          <w:sz w:val="28"/>
          <w:szCs w:val="28"/>
        </w:rPr>
      </w:pPr>
    </w:p>
    <w:p w14:paraId="14CE07D0">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C9A566">
      <w:pPr>
        <w:pStyle w:val="17"/>
        <w:rPr>
          <w:rFonts w:hint="eastAsia"/>
          <w:lang w:eastAsia="zh-CN"/>
        </w:rPr>
      </w:pPr>
    </w:p>
    <w:p w14:paraId="7F35D233">
      <w:pPr>
        <w:adjustRightInd w:val="0"/>
        <w:snapToGrid w:val="0"/>
        <w:spacing w:line="360" w:lineRule="auto"/>
        <w:jc w:val="center"/>
        <w:rPr>
          <w:rFonts w:hint="eastAsia" w:ascii="宋体" w:hAnsi="宋体" w:cs="宋体"/>
          <w:b/>
          <w:color w:val="auto"/>
          <w:sz w:val="24"/>
          <w:szCs w:val="20"/>
        </w:rPr>
      </w:pPr>
    </w:p>
    <w:p w14:paraId="3FAEF57A">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215D7B">
      <w:pPr>
        <w:adjustRightInd w:val="0"/>
        <w:snapToGrid w:val="0"/>
        <w:spacing w:line="360" w:lineRule="auto"/>
        <w:rPr>
          <w:rFonts w:hint="eastAsia" w:ascii="宋体" w:hAnsi="宋体" w:cs="宋体"/>
          <w:b/>
          <w:color w:val="auto"/>
          <w:sz w:val="28"/>
          <w:szCs w:val="28"/>
        </w:rPr>
      </w:pPr>
    </w:p>
    <w:p w14:paraId="7A47BF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1AF209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6649A44">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5724CC1">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02D956C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38C9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6BE864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22ABCFC3">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F5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2C811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24B408DE">
      <w:pPr>
        <w:adjustRightInd w:val="0"/>
        <w:snapToGrid w:val="0"/>
        <w:spacing w:line="360" w:lineRule="auto"/>
        <w:rPr>
          <w:rFonts w:hint="eastAsia" w:ascii="宋体" w:hAnsi="宋体" w:cs="宋体"/>
          <w:color w:val="auto"/>
          <w:sz w:val="24"/>
        </w:rPr>
      </w:pPr>
    </w:p>
    <w:p w14:paraId="490FDD2E">
      <w:pPr>
        <w:adjustRightInd w:val="0"/>
        <w:snapToGrid w:val="0"/>
        <w:spacing w:line="360" w:lineRule="auto"/>
        <w:rPr>
          <w:rFonts w:hint="eastAsia" w:ascii="宋体" w:hAnsi="宋体" w:cs="宋体"/>
          <w:color w:val="auto"/>
          <w:sz w:val="24"/>
        </w:rPr>
      </w:pPr>
    </w:p>
    <w:p w14:paraId="3DC8584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3253D32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0083CE6">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1E02DCF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1C322F7">
      <w:pPr>
        <w:adjustRightInd w:val="0"/>
        <w:snapToGrid w:val="0"/>
        <w:spacing w:line="360" w:lineRule="auto"/>
        <w:rPr>
          <w:rFonts w:hint="eastAsia" w:ascii="宋体" w:hAnsi="宋体" w:cs="宋体"/>
          <w:b/>
          <w:color w:val="auto"/>
          <w:sz w:val="28"/>
          <w:szCs w:val="28"/>
        </w:rPr>
      </w:pPr>
    </w:p>
    <w:p w14:paraId="5896EFCA">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4D2674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03DC49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49024E8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9D29FE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22FAA1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C37B98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79ED8E5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785C0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753EFB40">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659F7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6D741EA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F3BE63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1A6943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314E33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29E81FF3">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D9F12E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83ECCB6">
      <w:pPr>
        <w:adjustRightInd w:val="0"/>
        <w:snapToGrid w:val="0"/>
        <w:spacing w:line="360" w:lineRule="auto"/>
        <w:jc w:val="center"/>
        <w:rPr>
          <w:rFonts w:hint="eastAsia" w:ascii="宋体" w:hAnsi="宋体" w:cs="宋体"/>
          <w:b/>
          <w:color w:val="auto"/>
          <w:sz w:val="24"/>
          <w:szCs w:val="20"/>
        </w:rPr>
      </w:pPr>
    </w:p>
    <w:p w14:paraId="3652377E">
      <w:pPr>
        <w:adjustRightInd w:val="0"/>
        <w:snapToGrid w:val="0"/>
        <w:spacing w:line="360" w:lineRule="auto"/>
        <w:rPr>
          <w:rFonts w:hint="eastAsia" w:ascii="宋体" w:hAnsi="宋体" w:cs="宋体"/>
          <w:b/>
          <w:color w:val="auto"/>
          <w:sz w:val="24"/>
          <w:szCs w:val="20"/>
        </w:rPr>
      </w:pPr>
    </w:p>
    <w:p w14:paraId="3F7A786C">
      <w:pPr>
        <w:adjustRightInd w:val="0"/>
        <w:snapToGrid w:val="0"/>
        <w:spacing w:line="360" w:lineRule="auto"/>
        <w:rPr>
          <w:rFonts w:hint="eastAsia" w:ascii="宋体" w:hAnsi="宋体" w:cs="宋体"/>
          <w:b/>
          <w:color w:val="auto"/>
          <w:sz w:val="24"/>
          <w:szCs w:val="20"/>
        </w:rPr>
      </w:pPr>
    </w:p>
    <w:p w14:paraId="7E770005">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3679E11">
      <w:pPr>
        <w:adjustRightInd w:val="0"/>
        <w:snapToGrid w:val="0"/>
        <w:spacing w:line="360" w:lineRule="auto"/>
        <w:jc w:val="center"/>
        <w:rPr>
          <w:rFonts w:hint="eastAsia" w:ascii="宋体" w:hAnsi="宋体" w:cs="宋体"/>
          <w:b/>
          <w:color w:val="auto"/>
          <w:sz w:val="24"/>
          <w:szCs w:val="20"/>
        </w:rPr>
      </w:pPr>
    </w:p>
    <w:p w14:paraId="4EDCF384">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F18043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403B4C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A6F256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B38984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25B75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7835BB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75BF593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2CA0506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466990D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EB79461">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69480F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B0AF416">
      <w:pPr>
        <w:jc w:val="left"/>
        <w:rPr>
          <w:rFonts w:hint="eastAsia" w:ascii="宋体" w:hAnsi="宋体" w:eastAsia="宋体" w:cs="Times New Roman"/>
          <w:b w:val="0"/>
          <w:bCs w:val="0"/>
          <w:color w:val="auto"/>
          <w:kern w:val="2"/>
          <w:sz w:val="24"/>
          <w:szCs w:val="24"/>
          <w:lang w:val="en-US" w:eastAsia="zh-CN" w:bidi="ar-SA"/>
        </w:rPr>
      </w:pPr>
    </w:p>
    <w:p w14:paraId="21D11BF0">
      <w:pPr>
        <w:jc w:val="left"/>
        <w:rPr>
          <w:rFonts w:hint="eastAsia" w:ascii="宋体" w:hAnsi="宋体" w:eastAsia="宋体" w:cs="Times New Roman"/>
          <w:b w:val="0"/>
          <w:bCs w:val="0"/>
          <w:color w:val="auto"/>
          <w:kern w:val="2"/>
          <w:sz w:val="24"/>
          <w:szCs w:val="24"/>
          <w:lang w:val="en-US" w:eastAsia="zh-CN" w:bidi="ar-SA"/>
        </w:rPr>
      </w:pPr>
    </w:p>
    <w:p w14:paraId="2C406AA0">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69E8948">
      <w:pPr>
        <w:jc w:val="center"/>
        <w:rPr>
          <w:rFonts w:hint="eastAsia" w:ascii="宋体" w:hAnsi="宋体" w:cs="宋体"/>
          <w:b/>
          <w:color w:val="auto"/>
          <w:sz w:val="24"/>
        </w:rPr>
        <w:sectPr>
          <w:headerReference r:id="rId3" w:type="default"/>
          <w:footerReference r:id="rId4" w:type="default"/>
          <w:pgSz w:w="11906" w:h="16838"/>
          <w:pgMar w:top="1440" w:right="1166" w:bottom="1440" w:left="1080" w:header="567" w:footer="283" w:gutter="0"/>
          <w:pgBorders>
            <w:top w:val="none" w:sz="0" w:space="0"/>
            <w:left w:val="none" w:sz="0" w:space="0"/>
            <w:bottom w:val="none" w:sz="0" w:space="0"/>
            <w:right w:val="none" w:sz="0" w:space="0"/>
          </w:pgBorders>
          <w:pgNumType w:fmt="decimal" w:start="1"/>
          <w:cols w:space="720" w:num="1"/>
          <w:docGrid w:linePitch="312" w:charSpace="0"/>
        </w:sectPr>
      </w:pPr>
    </w:p>
    <w:p w14:paraId="3A59E3E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AA91257">
      <w:pPr>
        <w:pStyle w:val="17"/>
        <w:rPr>
          <w:rFonts w:hint="eastAsia"/>
          <w:lang w:eastAsia="zh-CN"/>
        </w:rPr>
      </w:pPr>
    </w:p>
    <w:p w14:paraId="68DA9DD9">
      <w:pPr>
        <w:spacing w:before="120" w:beforeLines="50" w:after="120" w:afterLines="50" w:line="276" w:lineRule="auto"/>
        <w:jc w:val="center"/>
        <w:rPr>
          <w:b/>
          <w:color w:val="auto"/>
          <w:sz w:val="24"/>
        </w:rPr>
      </w:pPr>
      <w:r>
        <w:rPr>
          <w:b/>
          <w:color w:val="auto"/>
          <w:sz w:val="24"/>
        </w:rPr>
        <w:t>采购需求响应/偏离表</w:t>
      </w:r>
    </w:p>
    <w:p w14:paraId="5377DABE">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7612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B332F33">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872AB0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0BE749A3">
            <w:pPr>
              <w:adjustRightInd w:val="0"/>
              <w:snapToGrid w:val="0"/>
              <w:spacing w:before="50" w:line="360" w:lineRule="auto"/>
              <w:jc w:val="center"/>
              <w:rPr>
                <w:color w:val="auto"/>
              </w:rPr>
            </w:pPr>
            <w:r>
              <w:rPr>
                <w:color w:val="auto"/>
              </w:rPr>
              <w:t>招标文件要求</w:t>
            </w:r>
          </w:p>
        </w:tc>
        <w:tc>
          <w:tcPr>
            <w:tcW w:w="962" w:type="pct"/>
            <w:noWrap w:val="0"/>
            <w:vAlign w:val="top"/>
          </w:tcPr>
          <w:p w14:paraId="65A14241">
            <w:pPr>
              <w:adjustRightInd w:val="0"/>
              <w:snapToGrid w:val="0"/>
              <w:spacing w:before="50" w:line="360" w:lineRule="auto"/>
              <w:jc w:val="center"/>
              <w:rPr>
                <w:color w:val="auto"/>
              </w:rPr>
            </w:pPr>
            <w:r>
              <w:rPr>
                <w:color w:val="auto"/>
              </w:rPr>
              <w:t>投标文件应答</w:t>
            </w:r>
          </w:p>
        </w:tc>
        <w:tc>
          <w:tcPr>
            <w:tcW w:w="905" w:type="pct"/>
            <w:noWrap w:val="0"/>
            <w:vAlign w:val="center"/>
          </w:tcPr>
          <w:p w14:paraId="35F415C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358EDB9E">
            <w:pPr>
              <w:adjustRightInd w:val="0"/>
              <w:snapToGrid w:val="0"/>
              <w:spacing w:before="50" w:line="360" w:lineRule="auto"/>
              <w:ind w:left="-88" w:leftChars="-42"/>
              <w:jc w:val="center"/>
              <w:rPr>
                <w:color w:val="auto"/>
                <w:szCs w:val="21"/>
              </w:rPr>
            </w:pPr>
            <w:r>
              <w:rPr>
                <w:color w:val="auto"/>
                <w:szCs w:val="21"/>
              </w:rPr>
              <w:t>偏离说明</w:t>
            </w:r>
          </w:p>
        </w:tc>
      </w:tr>
      <w:tr w14:paraId="58D454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9D3297">
            <w:pPr>
              <w:adjustRightInd w:val="0"/>
              <w:snapToGrid w:val="0"/>
              <w:spacing w:before="50" w:line="360" w:lineRule="auto"/>
              <w:ind w:left="-88" w:leftChars="-42"/>
              <w:jc w:val="center"/>
              <w:rPr>
                <w:color w:val="auto"/>
                <w:szCs w:val="21"/>
              </w:rPr>
            </w:pPr>
          </w:p>
        </w:tc>
        <w:tc>
          <w:tcPr>
            <w:tcW w:w="1123" w:type="pct"/>
            <w:noWrap w:val="0"/>
            <w:vAlign w:val="center"/>
          </w:tcPr>
          <w:p w14:paraId="361B93AA">
            <w:pPr>
              <w:adjustRightInd w:val="0"/>
              <w:snapToGrid w:val="0"/>
              <w:spacing w:before="50" w:line="360" w:lineRule="auto"/>
              <w:ind w:left="-88" w:leftChars="-42"/>
              <w:jc w:val="center"/>
              <w:rPr>
                <w:color w:val="auto"/>
                <w:szCs w:val="21"/>
              </w:rPr>
            </w:pPr>
          </w:p>
        </w:tc>
        <w:tc>
          <w:tcPr>
            <w:tcW w:w="1000" w:type="pct"/>
            <w:noWrap w:val="0"/>
            <w:vAlign w:val="center"/>
          </w:tcPr>
          <w:p w14:paraId="5463B2F6">
            <w:pPr>
              <w:adjustRightInd w:val="0"/>
              <w:snapToGrid w:val="0"/>
              <w:spacing w:before="50" w:line="360" w:lineRule="auto"/>
              <w:ind w:left="-88" w:leftChars="-42"/>
              <w:jc w:val="center"/>
              <w:rPr>
                <w:color w:val="auto"/>
                <w:szCs w:val="21"/>
              </w:rPr>
            </w:pPr>
          </w:p>
        </w:tc>
        <w:tc>
          <w:tcPr>
            <w:tcW w:w="962" w:type="pct"/>
            <w:noWrap w:val="0"/>
            <w:vAlign w:val="center"/>
          </w:tcPr>
          <w:p w14:paraId="1C23536E">
            <w:pPr>
              <w:adjustRightInd w:val="0"/>
              <w:snapToGrid w:val="0"/>
              <w:spacing w:before="50" w:line="360" w:lineRule="auto"/>
              <w:ind w:left="-88" w:leftChars="-42"/>
              <w:jc w:val="center"/>
              <w:rPr>
                <w:color w:val="auto"/>
                <w:szCs w:val="21"/>
              </w:rPr>
            </w:pPr>
          </w:p>
        </w:tc>
        <w:tc>
          <w:tcPr>
            <w:tcW w:w="905" w:type="pct"/>
            <w:noWrap w:val="0"/>
            <w:vAlign w:val="center"/>
          </w:tcPr>
          <w:p w14:paraId="1B60F28C">
            <w:pPr>
              <w:adjustRightInd w:val="0"/>
              <w:snapToGrid w:val="0"/>
              <w:spacing w:before="50" w:line="360" w:lineRule="auto"/>
              <w:ind w:left="-88" w:leftChars="-42"/>
              <w:jc w:val="center"/>
              <w:rPr>
                <w:color w:val="auto"/>
                <w:szCs w:val="21"/>
              </w:rPr>
            </w:pPr>
          </w:p>
        </w:tc>
        <w:tc>
          <w:tcPr>
            <w:tcW w:w="634" w:type="pct"/>
            <w:noWrap w:val="0"/>
            <w:vAlign w:val="center"/>
          </w:tcPr>
          <w:p w14:paraId="260D2C3B">
            <w:pPr>
              <w:adjustRightInd w:val="0"/>
              <w:snapToGrid w:val="0"/>
              <w:spacing w:before="50" w:line="360" w:lineRule="auto"/>
              <w:ind w:left="-88" w:leftChars="-42"/>
              <w:jc w:val="center"/>
              <w:rPr>
                <w:color w:val="auto"/>
                <w:szCs w:val="21"/>
              </w:rPr>
            </w:pPr>
          </w:p>
        </w:tc>
      </w:tr>
      <w:tr w14:paraId="4639C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E9F4A3">
            <w:pPr>
              <w:adjustRightInd w:val="0"/>
              <w:snapToGrid w:val="0"/>
              <w:spacing w:before="50" w:line="360" w:lineRule="auto"/>
              <w:ind w:left="-88" w:leftChars="-42"/>
              <w:jc w:val="center"/>
              <w:rPr>
                <w:color w:val="auto"/>
                <w:szCs w:val="21"/>
              </w:rPr>
            </w:pPr>
          </w:p>
        </w:tc>
        <w:tc>
          <w:tcPr>
            <w:tcW w:w="1123" w:type="pct"/>
            <w:noWrap w:val="0"/>
            <w:vAlign w:val="center"/>
          </w:tcPr>
          <w:p w14:paraId="038578AF">
            <w:pPr>
              <w:adjustRightInd w:val="0"/>
              <w:snapToGrid w:val="0"/>
              <w:spacing w:before="50" w:line="360" w:lineRule="auto"/>
              <w:ind w:left="-88" w:leftChars="-42"/>
              <w:jc w:val="center"/>
              <w:rPr>
                <w:color w:val="auto"/>
                <w:szCs w:val="21"/>
              </w:rPr>
            </w:pPr>
          </w:p>
        </w:tc>
        <w:tc>
          <w:tcPr>
            <w:tcW w:w="1000" w:type="pct"/>
            <w:noWrap w:val="0"/>
            <w:vAlign w:val="center"/>
          </w:tcPr>
          <w:p w14:paraId="3EC1E8BF">
            <w:pPr>
              <w:adjustRightInd w:val="0"/>
              <w:snapToGrid w:val="0"/>
              <w:spacing w:before="50" w:line="360" w:lineRule="auto"/>
              <w:ind w:left="-88" w:leftChars="-42"/>
              <w:jc w:val="center"/>
              <w:rPr>
                <w:color w:val="auto"/>
                <w:szCs w:val="21"/>
              </w:rPr>
            </w:pPr>
          </w:p>
        </w:tc>
        <w:tc>
          <w:tcPr>
            <w:tcW w:w="962" w:type="pct"/>
            <w:noWrap w:val="0"/>
            <w:vAlign w:val="center"/>
          </w:tcPr>
          <w:p w14:paraId="2D9399DE">
            <w:pPr>
              <w:adjustRightInd w:val="0"/>
              <w:snapToGrid w:val="0"/>
              <w:spacing w:before="50" w:line="360" w:lineRule="auto"/>
              <w:ind w:left="-88" w:leftChars="-42"/>
              <w:jc w:val="center"/>
              <w:rPr>
                <w:color w:val="auto"/>
                <w:szCs w:val="21"/>
              </w:rPr>
            </w:pPr>
          </w:p>
        </w:tc>
        <w:tc>
          <w:tcPr>
            <w:tcW w:w="905" w:type="pct"/>
            <w:noWrap w:val="0"/>
            <w:vAlign w:val="center"/>
          </w:tcPr>
          <w:p w14:paraId="40B26BC6">
            <w:pPr>
              <w:adjustRightInd w:val="0"/>
              <w:snapToGrid w:val="0"/>
              <w:spacing w:before="50" w:line="360" w:lineRule="auto"/>
              <w:ind w:left="-88" w:leftChars="-42"/>
              <w:jc w:val="center"/>
              <w:rPr>
                <w:color w:val="auto"/>
                <w:szCs w:val="21"/>
              </w:rPr>
            </w:pPr>
          </w:p>
        </w:tc>
        <w:tc>
          <w:tcPr>
            <w:tcW w:w="634" w:type="pct"/>
            <w:noWrap w:val="0"/>
            <w:vAlign w:val="center"/>
          </w:tcPr>
          <w:p w14:paraId="407F8781">
            <w:pPr>
              <w:adjustRightInd w:val="0"/>
              <w:snapToGrid w:val="0"/>
              <w:spacing w:before="50" w:line="360" w:lineRule="auto"/>
              <w:ind w:left="-88" w:leftChars="-42"/>
              <w:jc w:val="center"/>
              <w:rPr>
                <w:color w:val="auto"/>
                <w:szCs w:val="21"/>
              </w:rPr>
            </w:pPr>
          </w:p>
        </w:tc>
      </w:tr>
      <w:tr w14:paraId="779DD1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4D1B478">
            <w:pPr>
              <w:adjustRightInd w:val="0"/>
              <w:snapToGrid w:val="0"/>
              <w:spacing w:before="50" w:line="360" w:lineRule="auto"/>
              <w:ind w:left="-88" w:leftChars="-42"/>
              <w:jc w:val="center"/>
              <w:rPr>
                <w:color w:val="auto"/>
                <w:szCs w:val="21"/>
              </w:rPr>
            </w:pPr>
          </w:p>
        </w:tc>
        <w:tc>
          <w:tcPr>
            <w:tcW w:w="1123" w:type="pct"/>
            <w:noWrap w:val="0"/>
            <w:vAlign w:val="center"/>
          </w:tcPr>
          <w:p w14:paraId="2AAD60D8">
            <w:pPr>
              <w:adjustRightInd w:val="0"/>
              <w:snapToGrid w:val="0"/>
              <w:spacing w:before="50" w:line="360" w:lineRule="auto"/>
              <w:ind w:left="-88" w:leftChars="-42"/>
              <w:jc w:val="center"/>
              <w:rPr>
                <w:color w:val="auto"/>
                <w:szCs w:val="21"/>
              </w:rPr>
            </w:pPr>
          </w:p>
        </w:tc>
        <w:tc>
          <w:tcPr>
            <w:tcW w:w="1000" w:type="pct"/>
            <w:noWrap w:val="0"/>
            <w:vAlign w:val="center"/>
          </w:tcPr>
          <w:p w14:paraId="79AABAA5">
            <w:pPr>
              <w:adjustRightInd w:val="0"/>
              <w:snapToGrid w:val="0"/>
              <w:spacing w:before="50" w:line="360" w:lineRule="auto"/>
              <w:ind w:left="-88" w:leftChars="-42"/>
              <w:jc w:val="center"/>
              <w:rPr>
                <w:color w:val="auto"/>
                <w:szCs w:val="21"/>
              </w:rPr>
            </w:pPr>
          </w:p>
        </w:tc>
        <w:tc>
          <w:tcPr>
            <w:tcW w:w="962" w:type="pct"/>
            <w:noWrap w:val="0"/>
            <w:vAlign w:val="center"/>
          </w:tcPr>
          <w:p w14:paraId="6F75F531">
            <w:pPr>
              <w:adjustRightInd w:val="0"/>
              <w:snapToGrid w:val="0"/>
              <w:spacing w:before="50" w:line="360" w:lineRule="auto"/>
              <w:ind w:left="-88" w:leftChars="-42"/>
              <w:jc w:val="center"/>
              <w:rPr>
                <w:color w:val="auto"/>
                <w:szCs w:val="21"/>
              </w:rPr>
            </w:pPr>
          </w:p>
        </w:tc>
        <w:tc>
          <w:tcPr>
            <w:tcW w:w="905" w:type="pct"/>
            <w:noWrap w:val="0"/>
            <w:vAlign w:val="center"/>
          </w:tcPr>
          <w:p w14:paraId="0C922FB7">
            <w:pPr>
              <w:adjustRightInd w:val="0"/>
              <w:snapToGrid w:val="0"/>
              <w:spacing w:before="50" w:line="360" w:lineRule="auto"/>
              <w:ind w:left="-88" w:leftChars="-42"/>
              <w:jc w:val="center"/>
              <w:rPr>
                <w:color w:val="auto"/>
                <w:szCs w:val="21"/>
              </w:rPr>
            </w:pPr>
          </w:p>
        </w:tc>
        <w:tc>
          <w:tcPr>
            <w:tcW w:w="634" w:type="pct"/>
            <w:noWrap w:val="0"/>
            <w:vAlign w:val="center"/>
          </w:tcPr>
          <w:p w14:paraId="19904525">
            <w:pPr>
              <w:adjustRightInd w:val="0"/>
              <w:snapToGrid w:val="0"/>
              <w:spacing w:before="50" w:line="360" w:lineRule="auto"/>
              <w:ind w:left="-88" w:leftChars="-42"/>
              <w:jc w:val="center"/>
              <w:rPr>
                <w:color w:val="auto"/>
                <w:szCs w:val="21"/>
              </w:rPr>
            </w:pPr>
          </w:p>
        </w:tc>
      </w:tr>
      <w:tr w14:paraId="3B58D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A8B7DA4">
            <w:pPr>
              <w:rPr>
                <w:b/>
                <w:color w:val="auto"/>
              </w:rPr>
            </w:pPr>
          </w:p>
        </w:tc>
      </w:tr>
    </w:tbl>
    <w:p w14:paraId="35E278F0">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98D6BEB">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7D37D4D0">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w:t>
      </w:r>
      <w:r>
        <w:rPr>
          <w:rFonts w:hint="eastAsia"/>
          <w:color w:val="auto"/>
          <w:sz w:val="24"/>
          <w:lang w:val="en-US" w:eastAsia="zh-CN"/>
        </w:rPr>
        <w:t>二</w:t>
      </w:r>
      <w:r>
        <w:rPr>
          <w:color w:val="auto"/>
          <w:sz w:val="24"/>
        </w:rPr>
        <w:t>章的所有条款要求，其投标无效；</w:t>
      </w:r>
    </w:p>
    <w:p w14:paraId="70198183">
      <w:pPr>
        <w:adjustRightInd w:val="0"/>
        <w:snapToGrid w:val="0"/>
        <w:spacing w:before="50" w:line="360" w:lineRule="auto"/>
        <w:ind w:left="-88" w:leftChars="-42"/>
        <w:rPr>
          <w:color w:val="auto"/>
        </w:rPr>
      </w:pPr>
      <w:r>
        <w:rPr>
          <w:color w:val="auto"/>
          <w:sz w:val="24"/>
        </w:rPr>
        <w:t>（3）在招标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招标人签订合同。</w:t>
      </w:r>
    </w:p>
    <w:p w14:paraId="7FB18C4F">
      <w:pPr>
        <w:pStyle w:val="18"/>
        <w:rPr>
          <w:color w:val="auto"/>
        </w:rPr>
      </w:pPr>
    </w:p>
    <w:p w14:paraId="5721C18B">
      <w:pPr>
        <w:pStyle w:val="19"/>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14:paraId="339811EC">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540519AA">
      <w:pPr>
        <w:pStyle w:val="19"/>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14:paraId="606D4842">
      <w:pPr>
        <w:adjustRightInd w:val="0"/>
        <w:snapToGrid w:val="0"/>
        <w:spacing w:before="120" w:beforeLines="50" w:line="360" w:lineRule="auto"/>
        <w:jc w:val="center"/>
        <w:rPr>
          <w:rFonts w:hint="eastAsia" w:ascii="宋体" w:hAnsi="宋体" w:eastAsia="宋体" w:cs="宋体"/>
          <w:color w:val="auto"/>
          <w:sz w:val="24"/>
          <w:lang w:eastAsia="zh-CN"/>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14:paraId="3028DD90">
      <w:pPr>
        <w:pStyle w:val="17"/>
        <w:rPr>
          <w:rFonts w:hint="eastAsia"/>
          <w:lang w:eastAsia="zh-CN"/>
        </w:rPr>
      </w:pPr>
    </w:p>
    <w:p w14:paraId="34EAA06C">
      <w:pPr>
        <w:numPr>
          <w:ilvl w:val="0"/>
          <w:numId w:val="4"/>
        </w:numPr>
        <w:jc w:val="center"/>
        <w:rPr>
          <w:rFonts w:hint="eastAsia" w:ascii="Times New Roman" w:hAnsi="Times New Roman" w:eastAsia="宋体" w:cs="Times New Roman"/>
          <w:b/>
          <w:bCs/>
          <w:color w:val="auto"/>
          <w:kern w:val="2"/>
          <w:sz w:val="28"/>
          <w:szCs w:val="28"/>
          <w:lang w:val="en-US" w:eastAsia="zh-CN" w:bidi="ar-SA"/>
        </w:rPr>
      </w:pPr>
      <w:r>
        <w:rPr>
          <w:rFonts w:hint="eastAsia" w:ascii="Times New Roman" w:hAnsi="Times New Roman" w:eastAsia="宋体" w:cs="Times New Roman"/>
          <w:b/>
          <w:bCs/>
          <w:color w:val="auto"/>
          <w:kern w:val="2"/>
          <w:sz w:val="28"/>
          <w:szCs w:val="28"/>
          <w:lang w:val="en-US" w:eastAsia="zh-CN" w:bidi="ar-SA"/>
        </w:rPr>
        <w:t>质保及维护方案</w:t>
      </w:r>
    </w:p>
    <w:p w14:paraId="144E637D">
      <w:pPr>
        <w:adjustRightInd w:val="0"/>
        <w:snapToGrid w:val="0"/>
        <w:spacing w:before="120" w:beforeLines="50" w:line="360" w:lineRule="auto"/>
        <w:jc w:val="cente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r>
        <w:rPr>
          <w:rFonts w:hint="eastAsia" w:ascii="宋体" w:hAnsi="宋体" w:cs="宋体"/>
          <w:color w:val="auto"/>
          <w:sz w:val="24"/>
          <w:lang w:eastAsia="zh-CN"/>
        </w:rPr>
        <w:t>。</w:t>
      </w:r>
    </w:p>
    <w:p w14:paraId="2747C70B"/>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A255">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6335C">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9B6335C">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0F20D6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7A7A">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5B9C7E">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35B9C7E">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0672D83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6165E">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DFCC3393"/>
    <w:multiLevelType w:val="singleLevel"/>
    <w:tmpl w:val="DFCC3393"/>
    <w:lvl w:ilvl="0" w:tentative="0">
      <w:start w:val="6"/>
      <w:numFmt w:val="chineseCounting"/>
      <w:suff w:val="nothing"/>
      <w:lvlText w:val="第%1部分、"/>
      <w:lvlJc w:val="left"/>
      <w:rPr>
        <w:rFonts w:hint="eastAsia"/>
      </w:rPr>
    </w:lvl>
  </w:abstractNum>
  <w:abstractNum w:abstractNumId="3">
    <w:nsid w:val="F22833F1"/>
    <w:multiLevelType w:val="singleLevel"/>
    <w:tmpl w:val="F22833F1"/>
    <w:lvl w:ilvl="0" w:tentative="0">
      <w:start w:val="1"/>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26353A"/>
    <w:rsid w:val="057D647D"/>
    <w:rsid w:val="06E91EC4"/>
    <w:rsid w:val="071C689B"/>
    <w:rsid w:val="08867B61"/>
    <w:rsid w:val="0E274C47"/>
    <w:rsid w:val="0E331420"/>
    <w:rsid w:val="0E76169C"/>
    <w:rsid w:val="0EDD1643"/>
    <w:rsid w:val="12994AC5"/>
    <w:rsid w:val="16EB1D52"/>
    <w:rsid w:val="17290F60"/>
    <w:rsid w:val="17FB542C"/>
    <w:rsid w:val="19BF596B"/>
    <w:rsid w:val="1A1A5AAF"/>
    <w:rsid w:val="1AF56B46"/>
    <w:rsid w:val="1DC3741E"/>
    <w:rsid w:val="1F482B38"/>
    <w:rsid w:val="1FE73549"/>
    <w:rsid w:val="1FEE77E7"/>
    <w:rsid w:val="20B41DA7"/>
    <w:rsid w:val="20F751FF"/>
    <w:rsid w:val="22AB7B8A"/>
    <w:rsid w:val="245079B1"/>
    <w:rsid w:val="250C6795"/>
    <w:rsid w:val="25CA6780"/>
    <w:rsid w:val="28E81B29"/>
    <w:rsid w:val="2A461AE0"/>
    <w:rsid w:val="2C7642D0"/>
    <w:rsid w:val="2D7B74EA"/>
    <w:rsid w:val="2E022A6D"/>
    <w:rsid w:val="2EAC037F"/>
    <w:rsid w:val="2EB67A5C"/>
    <w:rsid w:val="2FB477CF"/>
    <w:rsid w:val="302741D2"/>
    <w:rsid w:val="308B184D"/>
    <w:rsid w:val="340F06E9"/>
    <w:rsid w:val="344405F2"/>
    <w:rsid w:val="39996B77"/>
    <w:rsid w:val="3B3B544D"/>
    <w:rsid w:val="3B654F2B"/>
    <w:rsid w:val="3C01391D"/>
    <w:rsid w:val="3DF12CFC"/>
    <w:rsid w:val="3FC108AC"/>
    <w:rsid w:val="429A4992"/>
    <w:rsid w:val="43B25DAC"/>
    <w:rsid w:val="46202E1C"/>
    <w:rsid w:val="4AC76A02"/>
    <w:rsid w:val="4B792F36"/>
    <w:rsid w:val="4DCD6AB3"/>
    <w:rsid w:val="4EF20476"/>
    <w:rsid w:val="50540C20"/>
    <w:rsid w:val="51AC28BD"/>
    <w:rsid w:val="52FA7866"/>
    <w:rsid w:val="5370483F"/>
    <w:rsid w:val="54653A5E"/>
    <w:rsid w:val="54845466"/>
    <w:rsid w:val="54FC1AB5"/>
    <w:rsid w:val="555B5FCF"/>
    <w:rsid w:val="55C40EA9"/>
    <w:rsid w:val="5A542AE6"/>
    <w:rsid w:val="604638E0"/>
    <w:rsid w:val="611B6B1B"/>
    <w:rsid w:val="64133D6A"/>
    <w:rsid w:val="64D01371"/>
    <w:rsid w:val="66DC57F7"/>
    <w:rsid w:val="678E4F5D"/>
    <w:rsid w:val="6D7B73AA"/>
    <w:rsid w:val="6DE375E4"/>
    <w:rsid w:val="70FA165F"/>
    <w:rsid w:val="71584067"/>
    <w:rsid w:val="747D4B3A"/>
    <w:rsid w:val="750117A8"/>
    <w:rsid w:val="76265FD6"/>
    <w:rsid w:val="76447599"/>
    <w:rsid w:val="77767390"/>
    <w:rsid w:val="7BBF44BB"/>
    <w:rsid w:val="7BF15CE4"/>
    <w:rsid w:val="7E012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BodyText1I2"/>
    <w:basedOn w:val="3"/>
    <w:qFormat/>
    <w:uiPriority w:val="0"/>
    <w:pPr>
      <w:ind w:firstLine="420"/>
      <w:jc w:val="left"/>
    </w:pPr>
    <w:rPr>
      <w:rFonts w:ascii="Calibri" w:hAnsi="Calibri"/>
      <w:kern w:val="0"/>
    </w:rPr>
  </w:style>
  <w:style w:type="paragraph" w:customStyle="1" w:styleId="3">
    <w:name w:val="BodyTextIndent"/>
    <w:basedOn w:val="1"/>
    <w:qFormat/>
    <w:uiPriority w:val="0"/>
    <w:pPr>
      <w:spacing w:after="120"/>
      <w:ind w:left="420" w:leftChars="200"/>
    </w:pPr>
  </w:style>
  <w:style w:type="paragraph" w:styleId="6">
    <w:name w:val="Normal Indent"/>
    <w:basedOn w:val="1"/>
    <w:qFormat/>
    <w:uiPriority w:val="0"/>
    <w:pPr>
      <w:ind w:firstLine="420" w:firstLineChars="200"/>
    </w:pPr>
    <w:rPr>
      <w:rFonts w:ascii="Times New Roman" w:hAnsi="Times New Roman" w:eastAsia="宋体" w:cs="Times New Roman"/>
      <w:kern w:val="0"/>
      <w:sz w:val="24"/>
    </w:rPr>
  </w:style>
  <w:style w:type="paragraph" w:styleId="7">
    <w:name w:val="Body Text Indent"/>
    <w:basedOn w:val="1"/>
    <w:qFormat/>
    <w:uiPriority w:val="99"/>
    <w:pPr>
      <w:spacing w:line="400" w:lineRule="exact"/>
      <w:ind w:left="630"/>
    </w:pPr>
    <w:rPr>
      <w:rFonts w:ascii="楷体_GB2312"/>
      <w:sz w:val="30"/>
      <w:szCs w:val="30"/>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表格文字"/>
    <w:basedOn w:val="1"/>
    <w:qFormat/>
    <w:uiPriority w:val="0"/>
    <w:pPr>
      <w:spacing w:before="25" w:beforeLines="0" w:beforeAutospacing="0" w:after="25" w:afterLines="0" w:afterAutospacing="0"/>
      <w:jc w:val="left"/>
    </w:pPr>
    <w:rPr>
      <w:spacing w:val="10"/>
      <w:kern w:val="0"/>
      <w:sz w:val="24"/>
    </w:rPr>
  </w:style>
  <w:style w:type="character" w:customStyle="1" w:styleId="21">
    <w:name w:val="NormalCharacter"/>
    <w:semiHidden/>
    <w:qFormat/>
    <w:uiPriority w:val="0"/>
    <w:rPr>
      <w:kern w:val="2"/>
      <w:sz w:val="21"/>
      <w:szCs w:val="21"/>
      <w:lang w:val="en-US" w:eastAsia="zh-CN" w:bidi="ar-SA"/>
    </w:rPr>
  </w:style>
  <w:style w:type="paragraph" w:customStyle="1" w:styleId="22">
    <w:name w:val="正文 New New New New New New New New New New New New New New New New New New New New New New New New New New New New New New New New New New New New New New New New New New New New New New New New New New New New New New New New New New New New New New 42"/>
    <w:qFormat/>
    <w:uiPriority w:val="0"/>
    <w:pPr>
      <w:widowControl w:val="0"/>
      <w:jc w:val="both"/>
    </w:pPr>
    <w:rPr>
      <w:rFonts w:ascii="Calibri" w:hAnsi="Calibri" w:eastAsia="宋体" w:cs="Times New Roman"/>
      <w:kern w:val="2"/>
      <w:sz w:val="21"/>
      <w:szCs w:val="24"/>
      <w:lang w:val="en-US" w:eastAsia="zh-CN" w:bidi="ar-SA"/>
    </w:rPr>
  </w:style>
  <w:style w:type="character" w:customStyle="1" w:styleId="23">
    <w:name w:val="font41"/>
    <w:basedOn w:val="13"/>
    <w:qFormat/>
    <w:uiPriority w:val="0"/>
    <w:rPr>
      <w:rFonts w:hint="default" w:ascii="Calibri" w:hAnsi="Calibri" w:cs="Calibri"/>
      <w:color w:val="000000"/>
      <w:sz w:val="22"/>
      <w:szCs w:val="22"/>
      <w:u w:val="none"/>
    </w:rPr>
  </w:style>
  <w:style w:type="character" w:customStyle="1" w:styleId="24">
    <w:name w:val="font31"/>
    <w:basedOn w:val="13"/>
    <w:qFormat/>
    <w:uiPriority w:val="0"/>
    <w:rPr>
      <w:rFonts w:hint="eastAsia" w:ascii="宋体" w:hAnsi="宋体" w:eastAsia="宋体" w:cs="宋体"/>
      <w:color w:val="000000"/>
      <w:sz w:val="22"/>
      <w:szCs w:val="22"/>
      <w:u w:val="none"/>
    </w:rPr>
  </w:style>
  <w:style w:type="character" w:customStyle="1" w:styleId="25">
    <w:name w:val="font61"/>
    <w:basedOn w:val="13"/>
    <w:qFormat/>
    <w:uiPriority w:val="0"/>
    <w:rPr>
      <w:rFonts w:hint="eastAsia" w:ascii="宋体" w:hAnsi="宋体" w:eastAsia="宋体" w:cs="宋体"/>
      <w:color w:val="000000"/>
      <w:sz w:val="12"/>
      <w:szCs w:val="12"/>
      <w:u w:val="none"/>
    </w:rPr>
  </w:style>
  <w:style w:type="character" w:customStyle="1" w:styleId="26">
    <w:name w:val="font71"/>
    <w:basedOn w:val="13"/>
    <w:qFormat/>
    <w:uiPriority w:val="0"/>
    <w:rPr>
      <w:rFonts w:ascii="微软雅黑" w:hAnsi="微软雅黑" w:eastAsia="微软雅黑" w:cs="微软雅黑"/>
      <w:color w:val="000000"/>
      <w:sz w:val="22"/>
      <w:szCs w:val="22"/>
      <w:u w:val="none"/>
    </w:rPr>
  </w:style>
  <w:style w:type="character" w:customStyle="1" w:styleId="27">
    <w:name w:val="font81"/>
    <w:basedOn w:val="13"/>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1371</Words>
  <Characters>1526</Characters>
  <Lines>0</Lines>
  <Paragraphs>0</Paragraphs>
  <TotalTime>0</TotalTime>
  <ScaleCrop>false</ScaleCrop>
  <LinksUpToDate>false</LinksUpToDate>
  <CharactersWithSpaces>1530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2025-08-04T08:07:15Z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