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4D2AB">
      <w:pPr>
        <w:pStyle w:val="14"/>
        <w:snapToGrid w:val="0"/>
        <w:jc w:val="center"/>
        <w:rPr>
          <w:rFonts w:hint="eastAsia" w:ascii="Arial" w:hAnsi="Arial" w:eastAsia="方正小标宋简体" w:cs="Arial"/>
          <w:color w:val="auto"/>
          <w:sz w:val="72"/>
          <w:szCs w:val="72"/>
          <w:lang w:eastAsia="zh-CN"/>
        </w:rPr>
      </w:pPr>
      <w:bookmarkStart w:id="0" w:name="_Toc16523570"/>
    </w:p>
    <w:p w14:paraId="624C34B6">
      <w:pPr>
        <w:pStyle w:val="14"/>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14"/>
        <w:snapToGrid w:val="0"/>
        <w:jc w:val="center"/>
        <w:rPr>
          <w:rFonts w:hint="eastAsia" w:ascii="Arial" w:hAnsi="Arial" w:eastAsia="方正小标宋简体" w:cs="Arial"/>
          <w:sz w:val="72"/>
          <w:szCs w:val="72"/>
        </w:rPr>
      </w:pPr>
    </w:p>
    <w:p w14:paraId="16E58BC0">
      <w:pPr>
        <w:pStyle w:val="14"/>
        <w:snapToGrid w:val="0"/>
        <w:jc w:val="center"/>
        <w:rPr>
          <w:rFonts w:hint="eastAsia" w:ascii="Arial" w:hAnsi="Arial" w:eastAsia="方正小标宋简体" w:cs="Arial"/>
          <w:sz w:val="72"/>
          <w:szCs w:val="72"/>
        </w:rPr>
      </w:pPr>
    </w:p>
    <w:p w14:paraId="7D3C3256">
      <w:pPr>
        <w:pStyle w:val="14"/>
        <w:snapToGrid w:val="0"/>
        <w:jc w:val="center"/>
        <w:rPr>
          <w:rFonts w:hint="eastAsia" w:ascii="Arial" w:hAnsi="Arial" w:eastAsia="方正小标宋简体" w:cs="Arial"/>
          <w:sz w:val="72"/>
          <w:szCs w:val="72"/>
        </w:rPr>
      </w:pPr>
    </w:p>
    <w:p w14:paraId="11608FC0">
      <w:pPr>
        <w:pStyle w:val="14"/>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3524D07">
      <w:pPr>
        <w:pStyle w:val="14"/>
        <w:snapToGrid w:val="0"/>
        <w:jc w:val="center"/>
        <w:rPr>
          <w:rFonts w:ascii="Arial" w:hAnsi="Arial" w:cs="Arial"/>
          <w:sz w:val="32"/>
          <w:szCs w:val="32"/>
        </w:rPr>
      </w:pPr>
    </w:p>
    <w:p w14:paraId="46311545">
      <w:pPr>
        <w:pStyle w:val="15"/>
        <w:rPr>
          <w:rFonts w:ascii="Arial" w:hAnsi="Arial" w:cs="Arial"/>
          <w:sz w:val="32"/>
          <w:szCs w:val="32"/>
        </w:rPr>
      </w:pPr>
    </w:p>
    <w:p w14:paraId="5F00027D">
      <w:pPr>
        <w:pStyle w:val="9"/>
        <w:rPr>
          <w:rFonts w:ascii="Arial" w:hAnsi="Arial" w:cs="Arial"/>
          <w:sz w:val="32"/>
          <w:szCs w:val="32"/>
        </w:rPr>
      </w:pPr>
    </w:p>
    <w:p w14:paraId="790E99FE">
      <w:pPr>
        <w:pStyle w:val="9"/>
        <w:rPr>
          <w:rFonts w:ascii="Arial" w:hAnsi="Arial" w:cs="Arial"/>
          <w:sz w:val="32"/>
          <w:szCs w:val="32"/>
        </w:rPr>
      </w:pPr>
    </w:p>
    <w:p w14:paraId="6D6CF557">
      <w:pPr>
        <w:pStyle w:val="9"/>
        <w:rPr>
          <w:rFonts w:ascii="Arial" w:hAnsi="Arial" w:cs="Arial"/>
          <w:sz w:val="32"/>
          <w:szCs w:val="32"/>
        </w:rPr>
      </w:pPr>
    </w:p>
    <w:p w14:paraId="77BABE1C">
      <w:pPr>
        <w:pStyle w:val="9"/>
        <w:rPr>
          <w:rFonts w:ascii="Arial" w:hAnsi="Arial" w:cs="Arial"/>
          <w:sz w:val="32"/>
          <w:szCs w:val="32"/>
        </w:rPr>
      </w:pPr>
    </w:p>
    <w:p w14:paraId="1C0FB295">
      <w:pPr>
        <w:pStyle w:val="9"/>
        <w:rPr>
          <w:rFonts w:ascii="Arial" w:hAnsi="Arial" w:cs="Arial"/>
          <w:sz w:val="32"/>
          <w:szCs w:val="32"/>
        </w:rPr>
      </w:pPr>
    </w:p>
    <w:p w14:paraId="4C96CB97">
      <w:pPr>
        <w:pStyle w:val="9"/>
        <w:rPr>
          <w:rFonts w:ascii="Arial" w:hAnsi="Arial" w:cs="Arial"/>
          <w:sz w:val="32"/>
          <w:szCs w:val="32"/>
        </w:rPr>
      </w:pPr>
    </w:p>
    <w:p w14:paraId="1825AAC5">
      <w:pPr>
        <w:pStyle w:val="9"/>
        <w:rPr>
          <w:rFonts w:ascii="Arial" w:hAnsi="Arial" w:cs="Arial"/>
          <w:sz w:val="32"/>
          <w:szCs w:val="32"/>
        </w:rPr>
      </w:pPr>
    </w:p>
    <w:p w14:paraId="1B92FFA5">
      <w:pPr>
        <w:pStyle w:val="14"/>
        <w:snapToGrid w:val="0"/>
        <w:jc w:val="center"/>
        <w:rPr>
          <w:rFonts w:ascii="Arial" w:hAnsi="Arial" w:cs="Arial"/>
          <w:sz w:val="32"/>
          <w:szCs w:val="32"/>
        </w:rPr>
      </w:pPr>
    </w:p>
    <w:p w14:paraId="3EB4A47A">
      <w:pPr>
        <w:pStyle w:val="14"/>
        <w:snapToGrid w:val="0"/>
        <w:jc w:val="center"/>
        <w:rPr>
          <w:rFonts w:ascii="Arial" w:hAnsi="Arial" w:cs="Arial"/>
          <w:sz w:val="32"/>
          <w:szCs w:val="32"/>
        </w:rPr>
      </w:pPr>
    </w:p>
    <w:p w14:paraId="487767A3">
      <w:pPr>
        <w:spacing w:line="360" w:lineRule="auto"/>
        <w:rPr>
          <w:rFonts w:hint="eastAsia"/>
          <w:bCs/>
          <w:sz w:val="32"/>
          <w:szCs w:val="32"/>
        </w:rPr>
      </w:pPr>
    </w:p>
    <w:p w14:paraId="4FD265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14:paraId="5CF2881B">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（麻醉机医院公开挂网</w:t>
      </w:r>
      <w:r>
        <w:rPr>
          <w:rFonts w:hint="eastAsia" w:ascii="Times New Roman" w:hAnsi="Times New Roman" w:eastAsia="宋体" w:cs="Times New Roman"/>
          <w:b/>
          <w:bCs/>
          <w:kern w:val="44"/>
          <w:sz w:val="32"/>
          <w:szCs w:val="32"/>
          <w:lang w:val="en-US" w:eastAsia="zh-CN" w:bidi="ar-SA"/>
        </w:rPr>
        <w:t>）</w:t>
      </w:r>
    </w:p>
    <w:p w14:paraId="1ABFAA6B">
      <w:pPr>
        <w:spacing w:line="320" w:lineRule="exact"/>
        <w:jc w:val="left"/>
        <w:rPr>
          <w:sz w:val="24"/>
        </w:rPr>
      </w:pPr>
    </w:p>
    <w:p w14:paraId="770B0BB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eastAsia="zh-CN"/>
        </w:rPr>
        <w:t>五</w:t>
      </w:r>
      <w:r>
        <w:rPr>
          <w:rFonts w:hint="eastAsia" w:ascii="宋体" w:hAnsi="宋体" w:cs="宋体"/>
          <w:bCs/>
          <w:sz w:val="32"/>
          <w:szCs w:val="32"/>
        </w:rPr>
        <w:t>年</w:t>
      </w:r>
      <w:r>
        <w:rPr>
          <w:rFonts w:hint="eastAsia" w:ascii="宋体" w:hAnsi="宋体" w:cs="宋体"/>
          <w:bCs/>
          <w:sz w:val="32"/>
          <w:szCs w:val="32"/>
          <w:lang w:eastAsia="zh-CN"/>
        </w:rPr>
        <w:t>八</w:t>
      </w:r>
      <w:r>
        <w:rPr>
          <w:rFonts w:hint="eastAsia" w:ascii="宋体" w:hAnsi="宋体" w:cs="宋体"/>
          <w:bCs/>
          <w:sz w:val="32"/>
          <w:szCs w:val="32"/>
        </w:rPr>
        <w:t>月</w:t>
      </w:r>
    </w:p>
    <w:p w14:paraId="2CC6C485">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DCF26A">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麻醉机</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435321EC">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7CA5D6D3">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麻醉机</w:t>
      </w:r>
      <w:r>
        <w:rPr>
          <w:rFonts w:hint="eastAsia" w:asciiTheme="minorEastAsia" w:hAnsiTheme="minorEastAsia" w:eastAsiaTheme="minorEastAsia" w:cstheme="minorEastAsia"/>
          <w:b w:val="0"/>
          <w:bCs/>
          <w:color w:val="auto"/>
          <w:sz w:val="24"/>
          <w:szCs w:val="24"/>
          <w:lang w:val="en-US" w:eastAsia="zh-CN"/>
        </w:rPr>
        <w:t>项目</w:t>
      </w:r>
    </w:p>
    <w:p w14:paraId="0AC8FEC7">
      <w:pPr>
        <w:pStyle w:val="14"/>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376B190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1、医院公开挂网</w:t>
      </w:r>
      <w:r>
        <w:rPr>
          <w:rFonts w:hint="eastAsia" w:asciiTheme="minorEastAsia" w:hAnsiTheme="minorEastAsia" w:eastAsiaTheme="minorEastAsia" w:cstheme="minorEastAsia"/>
          <w:bCs/>
          <w:color w:val="auto"/>
          <w:sz w:val="24"/>
          <w:szCs w:val="24"/>
          <w:lang w:val="en-US" w:eastAsia="zh-CN"/>
        </w:rPr>
        <w:t>，最低评标价法，在满足所有参数的条件下，报价最低者中标，如有多个并列最低价，则由并列最低价投标人再次报价，直至出现最低报价为止。</w:t>
      </w:r>
    </w:p>
    <w:bookmarkEnd w:id="0"/>
    <w:p w14:paraId="03E8934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12B84378">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406C4416">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0808AD5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2、开标地点;娄底市中心医院综合楼416</w:t>
      </w:r>
    </w:p>
    <w:p w14:paraId="3644DD88">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049FFAA9">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7C98D1F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31227066">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82700B0">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91642B">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FF6EB10">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93D58A5">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0CF2CE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6F5CB30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79CC0C3">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64AE9C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731CB78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093FC2CB">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1432665">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1D69A94E">
      <w:pPr>
        <w:pStyle w:val="15"/>
        <w:rPr>
          <w:rFonts w:hint="eastAsia"/>
          <w:lang w:val="en-US" w:eastAsia="zh-CN"/>
        </w:rPr>
      </w:pPr>
    </w:p>
    <w:p w14:paraId="687E9235">
      <w:pPr>
        <w:pStyle w:val="15"/>
        <w:jc w:val="both"/>
        <w:rPr>
          <w:rFonts w:hint="default"/>
          <w:lang w:val="en-US" w:eastAsia="zh-CN"/>
        </w:rPr>
      </w:pPr>
    </w:p>
    <w:p w14:paraId="7AECD5DA">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13042EC1">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58623224">
      <w:pPr>
        <w:pStyle w:val="15"/>
        <w:rPr>
          <w:rFonts w:hint="eastAsia" w:ascii="宋体" w:hAnsi="宋体" w:cs="宋体"/>
          <w:b/>
          <w:bCs/>
          <w:color w:val="auto"/>
          <w:sz w:val="44"/>
          <w:szCs w:val="44"/>
          <w:lang w:val="en-US" w:eastAsia="zh-CN"/>
        </w:rPr>
      </w:pPr>
    </w:p>
    <w:p w14:paraId="69D61396">
      <w:pPr>
        <w:pStyle w:val="9"/>
        <w:rPr>
          <w:rFonts w:hint="eastAsia" w:ascii="宋体" w:hAnsi="宋体" w:cs="宋体"/>
          <w:b/>
          <w:bCs/>
          <w:color w:val="auto"/>
          <w:sz w:val="44"/>
          <w:szCs w:val="44"/>
          <w:lang w:val="en-US" w:eastAsia="zh-CN"/>
        </w:rPr>
      </w:pPr>
    </w:p>
    <w:p w14:paraId="0948A873">
      <w:pPr>
        <w:rPr>
          <w:rFonts w:hint="eastAsia" w:ascii="宋体" w:hAnsi="宋体" w:cs="宋体"/>
          <w:b/>
          <w:bCs/>
          <w:color w:val="auto"/>
          <w:sz w:val="44"/>
          <w:szCs w:val="44"/>
          <w:lang w:val="en-US" w:eastAsia="zh-CN"/>
        </w:rPr>
      </w:pPr>
    </w:p>
    <w:p w14:paraId="0D958E9E">
      <w:pPr>
        <w:pStyle w:val="13"/>
        <w:rPr>
          <w:rFonts w:hint="eastAsia"/>
          <w:lang w:val="en-US" w:eastAsia="zh-CN"/>
        </w:rPr>
      </w:pPr>
    </w:p>
    <w:p w14:paraId="7E3117C8">
      <w:pPr>
        <w:pStyle w:val="2"/>
        <w:rPr>
          <w:rFonts w:hint="eastAsia" w:ascii="宋体" w:hAnsi="宋体" w:cs="宋体"/>
          <w:b/>
          <w:bCs/>
          <w:color w:val="auto"/>
          <w:sz w:val="44"/>
          <w:szCs w:val="44"/>
          <w:lang w:val="en-US" w:eastAsia="zh-CN"/>
        </w:rPr>
      </w:pPr>
    </w:p>
    <w:p w14:paraId="73DDB99C">
      <w:pPr>
        <w:rPr>
          <w:rFonts w:hint="eastAsia" w:ascii="宋体" w:hAnsi="宋体" w:cs="宋体"/>
          <w:b/>
          <w:bCs/>
          <w:color w:val="auto"/>
          <w:sz w:val="44"/>
          <w:szCs w:val="44"/>
          <w:lang w:val="en-US" w:eastAsia="zh-CN"/>
        </w:rPr>
      </w:pPr>
    </w:p>
    <w:p w14:paraId="433AFCCD">
      <w:pPr>
        <w:rPr>
          <w:rFonts w:hint="eastAsia" w:ascii="宋体" w:hAnsi="宋体" w:cs="宋体"/>
          <w:b/>
          <w:bCs/>
          <w:color w:val="auto"/>
          <w:sz w:val="44"/>
          <w:szCs w:val="44"/>
          <w:lang w:val="en-US" w:eastAsia="zh-CN"/>
        </w:rPr>
      </w:pPr>
    </w:p>
    <w:p w14:paraId="3F1EFC05">
      <w:pPr>
        <w:rPr>
          <w:rFonts w:hint="eastAsia"/>
          <w:lang w:val="en-US" w:eastAsia="zh-CN"/>
        </w:rPr>
      </w:pPr>
    </w:p>
    <w:p w14:paraId="7DFCDC16">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0DE823E3">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2D2BF8C">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0"/>
        <w:tblW w:w="7303"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tblGrid>
      <w:tr w14:paraId="531C4BD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4330983">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7B60DE4">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eastAsia="zh-CN"/>
              </w:rPr>
              <w:t>配件</w:t>
            </w:r>
            <w:r>
              <w:rPr>
                <w:rFonts w:hint="eastAsia" w:asciiTheme="minorEastAsia" w:hAnsiTheme="minorEastAsia" w:eastAsiaTheme="minorEastAsia" w:cstheme="minorEastAsia"/>
                <w:kern w:val="2"/>
                <w:sz w:val="24"/>
                <w:szCs w:val="24"/>
              </w:rPr>
              <w:t>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8002AC1">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52226A3">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r>
      <w:tr w14:paraId="1F0A541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E6B9F1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4ADCC23">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麻醉机</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187CCB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2</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4140D4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37.8</w:t>
            </w:r>
          </w:p>
        </w:tc>
      </w:tr>
    </w:tbl>
    <w:p w14:paraId="45296353">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336CF4AB">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2701C1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07E105EA">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765613AB">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14:paraId="75829C5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1.气动电控呼吸机。</w:t>
      </w:r>
    </w:p>
    <w:p w14:paraId="671BAB0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2.麻醉机适用于全年龄段病人，包含成人、小儿、新生儿（提供注册证）。</w:t>
      </w:r>
    </w:p>
    <w:p w14:paraId="1D48FE7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3.≥15.6英寸彩色触摸屏，屏幕非内嵌式设计，</w:t>
      </w:r>
      <w:bookmarkStart w:id="4" w:name="_GoBack"/>
      <w:bookmarkEnd w:id="4"/>
      <w:r>
        <w:rPr>
          <w:rFonts w:hint="eastAsia" w:asciiTheme="minorEastAsia" w:hAnsiTheme="minorEastAsia" w:eastAsiaTheme="minorEastAsia" w:cstheme="minorEastAsia"/>
          <w:b w:val="0"/>
          <w:bCs/>
          <w:color w:val="auto"/>
          <w:kern w:val="0"/>
          <w:sz w:val="24"/>
          <w:szCs w:val="24"/>
          <w:lang w:val="en-US" w:eastAsia="zh-CN" w:bidi="ar-SA"/>
        </w:rPr>
        <w:t>外挂式触控屏可以根据操作位置的需要，可多角度旋转调节，可折叠，屏幕旋转角度≥360°。（提供图片证明）。</w:t>
      </w:r>
    </w:p>
    <w:p w14:paraId="670CB19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4.电气一体化开关，具有开机自检、快速启动功能、待机功能，关机10秒延迟提醒。</w:t>
      </w:r>
    </w:p>
    <w:p w14:paraId="25B882F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5.具备嵌入式顶光照明系统，LED灯泡数量≥8个，且照明亮≥3级可调；</w:t>
      </w:r>
    </w:p>
    <w:p w14:paraId="4D74B63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6.后备锂电池，使用时间≥150分钟。</w:t>
      </w:r>
    </w:p>
    <w:p w14:paraId="4260D37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7.主机机身具备个≥3模块插槽，可与同品牌的插件式监护仪实现模块共享。监测CO2、AG、BIS、O2、EEG等监测。标配呼末二氧化碳监测</w:t>
      </w:r>
    </w:p>
    <w:p w14:paraId="321915B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8.可选配具有国际专利带单独注册证的AGSS废气回收系统，自主吸引废弃排空，同时有效的保证麻醉气体不会被排出浪费。</w:t>
      </w:r>
    </w:p>
    <w:p w14:paraId="68C7446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9.氧气，笑气，空气三气源，可进行非纯氧供气，工作压力为0.28~0.6Mpa。</w:t>
      </w:r>
    </w:p>
    <w:p w14:paraId="305E587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10.具备氧气，笑气，空气。调节范围：空气：0-15L/min，氧气：0.2-15L/min，调节精度0.05L，调节分辨率10%，适合低微流量麻醉手术，总流量调节范围0.2L/min～20L/min。</w:t>
      </w:r>
    </w:p>
    <w:p w14:paraId="0E79F8B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11.全电子流量计，直接设置氧浓度、总流量，具有新鲜气体流量水平指示功能，可直接设定氧浓度，电子自动混合。氧气与空气混合时，氧浓度设定范围21%～100%。</w:t>
      </w:r>
    </w:p>
    <w:p w14:paraId="5F8642D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12.可选配最佳流量指示工具，指导医生进行低微流量麻醉，显示麻醉气体消耗量。</w:t>
      </w:r>
    </w:p>
    <w:p w14:paraId="5389E78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13.并配备备用旋钮式电子流量计，在主流量计面板故障时，也能正常使用流量计，机械总流量机调节范围：0-15L/min。</w:t>
      </w:r>
    </w:p>
    <w:p w14:paraId="10B20D8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14.快速充氧范围25 - 75 L/min。</w:t>
      </w:r>
    </w:p>
    <w:p w14:paraId="3BA59C1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15.具有回路泄漏、顺应性、新鲜气体自动补偿功能，保证潮气量所设即所得。</w:t>
      </w:r>
    </w:p>
    <w:p w14:paraId="5A61D2B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16.气动电控呼吸机，通气模式：手动，VCV，PCV、SIMV-VC、SIMV-PC，可选CPAP/PSV、 PRVC、SIMV-PRVC、PSVPro、APRV、AMV。</w:t>
      </w:r>
    </w:p>
    <w:p w14:paraId="4112737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17.VCV模式下潮气量设定范围：10～1500ml；可选PRCV模式下潮气量控制范围：5～1500ml。</w:t>
      </w:r>
    </w:p>
    <w:p w14:paraId="5640FEF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18.呼吸频率设定范围：2～100次/min。</w:t>
      </w:r>
    </w:p>
    <w:p w14:paraId="0FBE24C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19.吸呼比设定范围：4:1～1:10。</w:t>
      </w:r>
    </w:p>
    <w:p w14:paraId="5E643E7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20.吸气压力设定范围：5～90 cmH2O。</w:t>
      </w:r>
    </w:p>
    <w:p w14:paraId="7F30611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21.PEEP设定范围：OFF，3～50 cmH2O。</w:t>
      </w:r>
    </w:p>
    <w:p w14:paraId="425048C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22.吸气暂停设定范围：OFF，5%~60%。</w:t>
      </w:r>
    </w:p>
    <w:p w14:paraId="78D98EF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23.支持压力设定范围：OFF,3～60cmH2O。</w:t>
      </w:r>
    </w:p>
    <w:p w14:paraId="76128E3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24.吸气流速：0～180L/min。</w:t>
      </w:r>
    </w:p>
    <w:p w14:paraId="1C42CB2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25.分钟通气量监测范围：0～100L/min。</w:t>
      </w:r>
    </w:p>
    <w:p w14:paraId="1845727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26.吸气和呼气潮气量监测范围：0～3000ml。</w:t>
      </w:r>
    </w:p>
    <w:p w14:paraId="59E528D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27.顺应性监测范围：0～300mL/cmH2O。</w:t>
      </w:r>
    </w:p>
    <w:p w14:paraId="6DDF720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28.其他监测参数：呼吸频率、峰压、平均压、平台压、呼末正压、吸入和呼出氧浓度、吸呼比，可选配：吸入和呼末CO2浓度、吸入和呼末麻醉气体浓度、麻醉深度监测等。</w:t>
      </w:r>
    </w:p>
    <w:p w14:paraId="724CFA8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29.呼吸力学监测：压力波形、流速波形、容量波形，能够≥5道波形同屏显示。</w:t>
      </w:r>
    </w:p>
    <w:p w14:paraId="6F7B432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30.可选配压力-容积环、压力-流速环、流速-容积环，二氧化碳环图、顺应性环图，并提供参考环相关呼吸力学参数，波形环图同屏显示。</w:t>
      </w:r>
    </w:p>
    <w:p w14:paraId="366E31D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31.标配双向流量传感器监测，流量传感器采样管内置在回路中，具有防水处理装置。</w:t>
      </w:r>
    </w:p>
    <w:p w14:paraId="2DA40CA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32.呼吸回路的进气端和出气端可≥30°旋转，满足不同临床术种。</w:t>
      </w:r>
    </w:p>
    <w:p w14:paraId="1FEABCE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33.安全上升式风箱，便于观察泄漏，适用于成人、小儿和新生儿，用于各类病人时无需更换风箱。</w:t>
      </w:r>
    </w:p>
    <w:p w14:paraId="4C42733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34.集成式、一体化模块化回路，无需工具可徒手拆卸，回路与主机无管路连接，回路容积≤2.5L。</w:t>
      </w:r>
    </w:p>
    <w:p w14:paraId="119AAD7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35.一体化回路采用PPSU材料制作，回路整体可134℃高温高压消毒且传感器上有标识。</w:t>
      </w:r>
    </w:p>
    <w:p w14:paraId="4E7CD47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36.可选配有辅助新鲜气体出口ACGO，辅助气路开关与辅助气路盖一体化设计，气路盖采用旋转卡扣式设计，方便开启和关闭辅助气路，能外接Bain回路、T管回路等。</w:t>
      </w:r>
    </w:p>
    <w:p w14:paraId="5D50C36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37.智能化Bypass旁路功能，支持术中更换钠石灰，不影响麻醉机的运行，且无麻醉药泄漏，钠石灰罐具备在位提醒功能，保证麻醉安全。</w:t>
      </w:r>
    </w:p>
    <w:p w14:paraId="26B4F08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38.标配2个钠石灰罐，安装时能使用单手下拉操作，容量≥2L。</w:t>
      </w:r>
    </w:p>
    <w:p w14:paraId="472CC28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39.标配回路加热功能，不接受冷凝处理，消除水汽冷凝，增强病人呼吸舒适性，便于设备维护。</w:t>
      </w:r>
    </w:p>
    <w:p w14:paraId="00CB257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40.回路泄漏量不应超过50ml/min。</w:t>
      </w:r>
    </w:p>
    <w:p w14:paraId="2C9D81A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41.具备流量暂停功能，便于给临床吸痰，可选配一键冲洗麻醉气体。</w:t>
      </w:r>
    </w:p>
    <w:p w14:paraId="5242AA3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42.具备肺复张功能。</w:t>
      </w:r>
    </w:p>
    <w:p w14:paraId="194391C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43.具有体外循环模式。</w:t>
      </w:r>
    </w:p>
    <w:p w14:paraId="51CE50F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44.双罐位，标配一个七氟醚高标准蒸发罐，具有温度、压力、流量补偿功能。</w:t>
      </w:r>
    </w:p>
    <w:p w14:paraId="1A20F34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45.挥发罐容量大于300ml，具备安全互锁功能，具备转运T模式，转运无需排空麻药。</w:t>
      </w:r>
    </w:p>
    <w:p w14:paraId="129A9AC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46.具备30分钟趋势图、趋势表。</w:t>
      </w:r>
    </w:p>
    <w:p w14:paraId="4937AC3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47.具备BMI、基础代谢率计算。</w:t>
      </w:r>
    </w:p>
    <w:p w14:paraId="14221D8E">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14:paraId="52F2D61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1、运输、装卸、培训、安装调试：由中标人负责承担，最终通过使用科室、设备科及相关部门确认验收交付使用。国产设备交付，设备必须为6个月内生产的产品；进口设备交付，设备必须为一年内生产的产品。</w:t>
      </w:r>
    </w:p>
    <w:p w14:paraId="7A6A548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2、交货时间：按合同约定的日期交货。</w:t>
      </w:r>
    </w:p>
    <w:p w14:paraId="2C81AA6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3、交货地点：娄底市中心医院指定地点。</w:t>
      </w:r>
    </w:p>
    <w:p w14:paraId="72F50B4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付款方式：设备验收合格后，供应商将发票交到娄底市中心医院后按程序支付货款90%（按医院财务制度一般情况下4个月内支付、特殊情况下最多不超过6个月），甲方在设备验收合格满3年后支付10%余款给乙方。</w:t>
      </w:r>
    </w:p>
    <w:p w14:paraId="530B798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5、质保与售后：整机保修 3年，终身维修。验收时出具原厂售后质保承诺书，质保期内每年巡检一次，并提交巡检记录。质保期内出现故障，1小时响应，响应后24小时上门服务。</w:t>
      </w:r>
    </w:p>
    <w:p w14:paraId="34D4757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6、在投标文件中必须提供相关佐证资料(加盖投标人公章的技术参数、技术白皮书、说明书、彩页)，并在响应表中备注该条参数响应或正偏离的佐证资料所在页码。 </w:t>
      </w:r>
    </w:p>
    <w:p w14:paraId="46A704C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25ED71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040BE2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241C0F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56F2FD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A6CE9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DF147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09A42D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9C9DC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4A5603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DEAF0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0DF9AB90">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041A6B4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5CAFA46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14:paraId="00907E8C">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60F19BD6">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5709FAAB">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r>
        <w:rPr>
          <w:rFonts w:hint="eastAsia" w:ascii="宋体" w:hAnsi="宋体" w:eastAsia="宋体" w:cs="宋体"/>
          <w:color w:val="0000FF"/>
          <w:sz w:val="24"/>
          <w:szCs w:val="24"/>
          <w:highlight w:val="none"/>
          <w:lang w:val="en-US" w:eastAsia="zh-CN"/>
        </w:rPr>
        <w:t>杨吉军</w:t>
      </w:r>
    </w:p>
    <w:p w14:paraId="25DC388B">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7E55FE1C">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7587B9D8">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联系人：朱振宇</w:t>
      </w:r>
    </w:p>
    <w:p w14:paraId="5E0F197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联系电话：15673845559</w:t>
      </w:r>
    </w:p>
    <w:p w14:paraId="2A4959F3">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2D74CF37">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368A2935">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045221B8">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4538656C">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42060B0F">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0B50EFE4">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71C8730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医院公开挂网</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cs="宋体"/>
          <w:color w:val="000000" w:themeColor="text1"/>
          <w:sz w:val="24"/>
          <w:szCs w:val="24"/>
          <w:highlight w:val="none"/>
          <w:u w:val="single"/>
          <w:lang w:val="en-US" w:eastAsia="zh-CN"/>
          <w14:textFill>
            <w14:solidFill>
              <w14:schemeClr w14:val="tx1"/>
            </w14:solidFill>
          </w14:textFill>
        </w:rPr>
        <w:t>麻醉机</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，乙方为中标/中选供应商。根据《中华人民共和国民法典》《中华人民共和国政府采购法》等相关法律规定，甲乙双方在采购项目确定的基础上，就采购</w:t>
      </w:r>
      <w:r>
        <w:rPr>
          <w:rFonts w:hint="eastAsia" w:ascii="宋体" w:hAnsi="宋体" w:cs="宋体"/>
          <w:color w:val="000000" w:themeColor="text1"/>
          <w:sz w:val="24"/>
          <w:szCs w:val="24"/>
          <w:highlight w:val="none"/>
          <w:u w:val="single"/>
          <w:lang w:val="en-US" w:eastAsia="zh-CN"/>
          <w14:textFill>
            <w14:solidFill>
              <w14:schemeClr w14:val="tx1"/>
            </w14:solidFill>
          </w14:textFill>
        </w:rPr>
        <w:t>麻醉机</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4099739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23C9DDD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10"/>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1220"/>
        <w:gridCol w:w="1760"/>
        <w:gridCol w:w="1320"/>
        <w:gridCol w:w="940"/>
        <w:gridCol w:w="1654"/>
      </w:tblGrid>
      <w:tr w14:paraId="794C0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vAlign w:val="top"/>
          </w:tcPr>
          <w:p w14:paraId="204D0D0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220" w:type="dxa"/>
            <w:vAlign w:val="top"/>
          </w:tcPr>
          <w:p w14:paraId="6675797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760" w:type="dxa"/>
            <w:vAlign w:val="top"/>
          </w:tcPr>
          <w:p w14:paraId="3FE2304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vAlign w:val="top"/>
          </w:tcPr>
          <w:p w14:paraId="4A7BA1A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vAlign w:val="top"/>
          </w:tcPr>
          <w:p w14:paraId="2F1D7B92">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vAlign w:val="top"/>
          </w:tcPr>
          <w:p w14:paraId="27589E40">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71A7E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517" w:type="dxa"/>
            <w:vAlign w:val="top"/>
          </w:tcPr>
          <w:p w14:paraId="0E1BC944">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麻醉机</w:t>
            </w:r>
          </w:p>
        </w:tc>
        <w:tc>
          <w:tcPr>
            <w:tcW w:w="1220" w:type="dxa"/>
            <w:vAlign w:val="center"/>
          </w:tcPr>
          <w:p w14:paraId="48084DB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760" w:type="dxa"/>
            <w:vAlign w:val="top"/>
          </w:tcPr>
          <w:p w14:paraId="5079D362">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4A96CF5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vAlign w:val="top"/>
          </w:tcPr>
          <w:p w14:paraId="77CA654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2</w:t>
            </w:r>
          </w:p>
        </w:tc>
        <w:tc>
          <w:tcPr>
            <w:tcW w:w="1654" w:type="dxa"/>
            <w:vAlign w:val="top"/>
          </w:tcPr>
          <w:p w14:paraId="649387A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287E6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vAlign w:val="top"/>
          </w:tcPr>
          <w:p w14:paraId="34E8D36E">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0D17ECF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不因物价、市场波动变更，约定价格包括且不限于设计费、材料费、人工费、安装费、包装费、运输费、装卸费、调试费、接口费、检测费、检验费、税费、保险费、售后服务费、附随服务费等在内所有费用。 </w:t>
      </w:r>
    </w:p>
    <w:p w14:paraId="59AE944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1.3 </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无需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r>
        <w:rPr>
          <w:rFonts w:hint="eastAsia" w:ascii="宋体" w:hAnsi="宋体" w:cs="宋体"/>
          <w:color w:val="000000" w:themeColor="text1"/>
          <w:sz w:val="24"/>
          <w:szCs w:val="24"/>
          <w:highlight w:val="none"/>
          <w14:textFill>
            <w14:solidFill>
              <w14:schemeClr w14:val="tx1"/>
            </w14:solidFill>
          </w14:textFill>
        </w:rPr>
        <w:t>。</w:t>
      </w:r>
    </w:p>
    <w:p w14:paraId="4458D3D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43AB2F8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30</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14:paraId="5055B5D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7D73711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373CA1B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7E033A9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r>
        <w:rPr>
          <w:rFonts w:hint="eastAsia" w:ascii="宋体" w:hAnsi="宋体" w:eastAsia="宋体" w:cs="宋体"/>
          <w:color w:val="FF0000"/>
          <w:sz w:val="24"/>
          <w:szCs w:val="24"/>
          <w:highlight w:val="none"/>
          <w:lang w:val="en-US" w:eastAsia="zh-CN"/>
        </w:rPr>
        <w:t>如乙方应交付的设备属于国产</w:t>
      </w:r>
      <w:r>
        <w:rPr>
          <w:rFonts w:hint="eastAsia" w:ascii="宋体" w:hAnsi="宋体" w:cs="宋体"/>
          <w:color w:val="FF0000"/>
          <w:sz w:val="24"/>
          <w:szCs w:val="24"/>
          <w:highlight w:val="none"/>
          <w:lang w:val="en-US" w:eastAsia="zh-CN"/>
        </w:rPr>
        <w:t>设备，则应保证该设备为交付时起近</w:t>
      </w:r>
      <w:r>
        <w:rPr>
          <w:rFonts w:hint="eastAsia" w:ascii="宋体" w:hAnsi="宋体" w:cs="宋体"/>
          <w:color w:val="FF0000"/>
          <w:sz w:val="24"/>
          <w:szCs w:val="24"/>
          <w:highlight w:val="none"/>
          <w:lang w:eastAsia="zh-CN"/>
        </w:rPr>
        <w:t>6个月内生产的产品；</w:t>
      </w:r>
      <w:r>
        <w:rPr>
          <w:rFonts w:hint="eastAsia" w:ascii="宋体" w:hAnsi="宋体" w:cs="宋体"/>
          <w:color w:val="FF0000"/>
          <w:sz w:val="24"/>
          <w:szCs w:val="24"/>
          <w:highlight w:val="none"/>
          <w:lang w:val="en-US" w:eastAsia="zh-CN"/>
        </w:rPr>
        <w:t>如乙方</w:t>
      </w:r>
      <w:r>
        <w:rPr>
          <w:rFonts w:hint="eastAsia" w:ascii="宋体" w:hAnsi="宋体" w:eastAsia="宋体" w:cs="宋体"/>
          <w:color w:val="FF0000"/>
          <w:sz w:val="24"/>
          <w:szCs w:val="24"/>
          <w:highlight w:val="none"/>
          <w:lang w:val="en-US" w:eastAsia="zh-CN"/>
        </w:rPr>
        <w:t>应</w:t>
      </w:r>
      <w:r>
        <w:rPr>
          <w:rFonts w:hint="eastAsia" w:ascii="宋体" w:hAnsi="宋体" w:cs="宋体"/>
          <w:color w:val="FF0000"/>
          <w:sz w:val="24"/>
          <w:szCs w:val="24"/>
          <w:highlight w:val="none"/>
          <w:lang w:val="en-US" w:eastAsia="zh-CN"/>
        </w:rPr>
        <w:t>交付的设备属于</w:t>
      </w:r>
      <w:r>
        <w:rPr>
          <w:rFonts w:hint="eastAsia" w:ascii="宋体" w:hAnsi="宋体" w:eastAsia="宋体" w:cs="宋体"/>
          <w:color w:val="FF0000"/>
          <w:sz w:val="24"/>
          <w:szCs w:val="24"/>
          <w:highlight w:val="none"/>
          <w:lang w:val="en-US" w:eastAsia="zh-CN"/>
        </w:rPr>
        <w:t>进口设备</w:t>
      </w:r>
      <w:r>
        <w:rPr>
          <w:rFonts w:hint="eastAsia" w:ascii="宋体" w:hAnsi="宋体" w:cs="宋体"/>
          <w:color w:val="FF0000"/>
          <w:sz w:val="24"/>
          <w:szCs w:val="24"/>
          <w:highlight w:val="none"/>
          <w:lang w:val="en-US" w:eastAsia="zh-CN"/>
        </w:rPr>
        <w:t>，则应保证该设备</w:t>
      </w:r>
      <w:r>
        <w:rPr>
          <w:rFonts w:hint="eastAsia" w:ascii="宋体" w:hAnsi="宋体" w:cs="宋体"/>
          <w:color w:val="FF0000"/>
          <w:sz w:val="24"/>
          <w:szCs w:val="24"/>
          <w:highlight w:val="none"/>
          <w:lang w:eastAsia="zh-CN"/>
        </w:rPr>
        <w:t>为</w:t>
      </w:r>
      <w:r>
        <w:rPr>
          <w:rFonts w:hint="eastAsia" w:ascii="宋体" w:hAnsi="宋体" w:cs="宋体"/>
          <w:color w:val="FF0000"/>
          <w:sz w:val="24"/>
          <w:szCs w:val="24"/>
          <w:highlight w:val="none"/>
          <w:lang w:val="en-US" w:eastAsia="zh-CN"/>
        </w:rPr>
        <w:t>交付时起近一年</w:t>
      </w:r>
      <w:r>
        <w:rPr>
          <w:rFonts w:hint="eastAsia" w:ascii="宋体" w:hAnsi="宋体" w:cs="宋体"/>
          <w:color w:val="FF0000"/>
          <w:sz w:val="24"/>
          <w:szCs w:val="24"/>
          <w:highlight w:val="none"/>
          <w:lang w:eastAsia="zh-CN"/>
        </w:rPr>
        <w:t>内生产的产品</w:t>
      </w:r>
      <w:r>
        <w:rPr>
          <w:rFonts w:hint="eastAsia" w:ascii="宋体" w:hAnsi="宋体" w:eastAsia="宋体" w:cs="宋体"/>
          <w:color w:val="FF0000"/>
          <w:sz w:val="24"/>
          <w:szCs w:val="24"/>
          <w:highlight w:val="none"/>
          <w:lang w:val="en-US" w:eastAsia="zh-CN"/>
        </w:rPr>
        <w:t>。</w:t>
      </w:r>
    </w:p>
    <w:p w14:paraId="37FFFBE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14:paraId="341229C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14:paraId="7FBB3E7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0E1C4C8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15A3A41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14:paraId="2DF99C9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2EDDAEF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5BAF3D6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邓时敏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3BAD86F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1DF85AE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1957414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1507C649">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14:paraId="60154A9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p>
    <w:p w14:paraId="20D26FF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14:paraId="56635C8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14:paraId="18F5C98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062F91B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369ABF3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35A1161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14:paraId="7A612AB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379E6E3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41D7659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032F6DD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78629DA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14:paraId="31824AC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14:paraId="455D8F9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49C848F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0F07A63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7C148FB9">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280DC73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14E37B8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乙方应对保密信息采取有效手段严格保密，不得用于非本合同之目的或向第三方泄露。如政府部门、法院或其他有权部门要求乙方提供保密信息，乙方应当立即向甲方通报。</w:t>
      </w:r>
    </w:p>
    <w:p w14:paraId="72E98B1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1D46F3A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4EB36BC6">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3897F50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75EF2A2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294EAB1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7248283@qq.com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7A6D4D3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0FDB85E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5015FA5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7365EAF5">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08C4C0A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0723139E">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70450F3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70C98B9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14:paraId="6697525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46C40D9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222A28E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6BFF3104">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47F2A2A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76F0901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33D3772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2EB4DE5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无论甲方在任意时候（不限于本合同履行期间）发现存在违反本合同廉洁条款及供应商考核管理制度约定的行为，乙方均须向甲方支付一次性惩罚性违约金，</w:t>
      </w:r>
      <w:r>
        <w:rPr>
          <w:rFonts w:hint="eastAsia" w:ascii="宋体" w:hAnsi="宋体" w:eastAsia="宋体" w:cs="宋体"/>
          <w:b/>
          <w:bCs/>
          <w:color w:val="FF0000"/>
          <w:sz w:val="24"/>
          <w:szCs w:val="24"/>
          <w:highlight w:val="none"/>
          <w:u w:val="single"/>
          <w:lang w:val="en-US" w:eastAsia="zh-CN"/>
        </w:rPr>
        <w:t>该违约金金额按以下较高者确定：（1）本合同总费用的10%；（2）根据《娄底市中心医院医疗器械供应商考核管理制度》规定计算的廉政违约金金额。</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如乙方除需承担违反廉洁条款及供应商考核管理制度的违约责任外，同时存在其他违约行为，乙方仍须就其他违约行为承担相应违约责任。</w:t>
      </w:r>
    </w:p>
    <w:p w14:paraId="319ED685">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48BE3262">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2BFCD7F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0F77FF6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6C259544">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27F2AB8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FF0000"/>
          <w:sz w:val="24"/>
          <w:highlight w:val="none"/>
        </w:rPr>
        <w:t>1</w:t>
      </w:r>
      <w:r>
        <w:rPr>
          <w:rFonts w:hint="eastAsia" w:ascii="宋体" w:hAnsi="宋体" w:eastAsia="宋体" w:cs="宋体"/>
          <w:color w:val="FF0000"/>
          <w:sz w:val="24"/>
          <w:highlight w:val="none"/>
          <w:lang w:val="en-US" w:eastAsia="zh-CN"/>
        </w:rPr>
        <w:t>4</w:t>
      </w:r>
      <w:r>
        <w:rPr>
          <w:rFonts w:hint="eastAsia" w:ascii="宋体" w:hAnsi="宋体" w:eastAsia="宋体" w:cs="宋体"/>
          <w:color w:val="FF0000"/>
          <w:sz w:val="24"/>
          <w:highlight w:val="none"/>
        </w:rPr>
        <w:t>.</w:t>
      </w:r>
      <w:r>
        <w:rPr>
          <w:rFonts w:hint="eastAsia" w:ascii="宋体" w:hAnsi="宋体" w:eastAsia="宋体" w:cs="宋体"/>
          <w:color w:val="FF0000"/>
          <w:sz w:val="24"/>
          <w:highlight w:val="none"/>
          <w:lang w:val="en-US" w:eastAsia="zh-CN"/>
        </w:rPr>
        <w:t>1 甲方《娄底市中心医院医疗器械供应商考核管理制度》、</w:t>
      </w:r>
      <w:r>
        <w:rPr>
          <w:rFonts w:hint="eastAsia" w:ascii="宋体" w:hAnsi="宋体" w:eastAsia="宋体" w:cs="宋体"/>
          <w:color w:val="FF0000"/>
          <w:sz w:val="24"/>
          <w:highlight w:val="none"/>
          <w:lang w:eastAsia="zh-CN"/>
        </w:rPr>
        <w:t>乙方加盖公章的资质复印件、售后承诺等作为本合同附件。</w:t>
      </w:r>
    </w:p>
    <w:p w14:paraId="1D364D3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 xml:space="preserve">14.2 </w:t>
      </w:r>
      <w:r>
        <w:rPr>
          <w:rFonts w:hint="eastAsia" w:ascii="宋体" w:hAnsi="宋体" w:eastAsia="宋体" w:cs="宋体"/>
          <w:color w:val="000000" w:themeColor="text1"/>
          <w:sz w:val="24"/>
          <w:highlight w:val="none"/>
          <w14:textFill>
            <w14:solidFill>
              <w14:schemeClr w14:val="tx1"/>
            </w14:solidFill>
          </w14:textFill>
        </w:rPr>
        <w:t>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562F2CF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 xml:space="preserve">3 </w:t>
      </w:r>
      <w:r>
        <w:rPr>
          <w:rFonts w:hint="eastAsia" w:ascii="宋体" w:hAnsi="宋体" w:eastAsia="宋体" w:cs="宋体"/>
          <w:color w:val="000000" w:themeColor="text1"/>
          <w:sz w:val="24"/>
          <w:highlight w:val="none"/>
          <w14:textFill>
            <w14:solidFill>
              <w14:schemeClr w14:val="tx1"/>
            </w14:solidFill>
          </w14:textFill>
        </w:rPr>
        <w:t>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47CB3A15">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38E5755C">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4BEFF6D9">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9B1253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 xml:space="preserve">法定代表人（签字）：  </w:t>
      </w:r>
    </w:p>
    <w:p w14:paraId="396D742E">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1D8F6771">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49C53F94">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2605B77A">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2FE7C2D4">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422BC3F1">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00A29FF">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58987A09">
      <w:pPr>
        <w:spacing w:line="480" w:lineRule="exact"/>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p>
    <w:p w14:paraId="13CB7BA2">
      <w:pPr>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br w:type="page"/>
      </w:r>
    </w:p>
    <w:p w14:paraId="3508C1E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241CE3C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3076A3B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4092A6A2">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050DC92C">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23E2789">
      <w:pPr>
        <w:rPr>
          <w:rFonts w:hint="eastAsia" w:ascii="宋体" w:hAnsi="宋体" w:cs="宋体"/>
          <w:color w:val="auto"/>
        </w:rPr>
      </w:pPr>
    </w:p>
    <w:bookmarkEnd w:id="1"/>
    <w:p w14:paraId="1CBD06C8">
      <w:pPr>
        <w:rPr>
          <w:rFonts w:hint="eastAsia"/>
          <w:color w:val="auto"/>
        </w:rPr>
      </w:pPr>
    </w:p>
    <w:p w14:paraId="0D1AAE7E">
      <w:pPr>
        <w:jc w:val="center"/>
        <w:rPr>
          <w:b/>
          <w:color w:val="auto"/>
          <w:sz w:val="24"/>
        </w:rPr>
      </w:pPr>
      <w:r>
        <w:rPr>
          <w:b/>
          <w:color w:val="auto"/>
          <w:sz w:val="28"/>
          <w:szCs w:val="28"/>
        </w:rPr>
        <w:t>第一部分、开标一览表</w:t>
      </w:r>
    </w:p>
    <w:p w14:paraId="1EEBDB94">
      <w:pPr>
        <w:jc w:val="center"/>
        <w:rPr>
          <w:b/>
          <w:color w:val="auto"/>
          <w:sz w:val="24"/>
        </w:rPr>
      </w:pPr>
    </w:p>
    <w:p w14:paraId="7E13496E">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6EE9D265">
      <w:pPr>
        <w:pStyle w:val="17"/>
        <w:rPr>
          <w:color w:val="auto"/>
        </w:rPr>
      </w:pPr>
    </w:p>
    <w:p w14:paraId="619A3FB9">
      <w:pPr>
        <w:adjustRightInd w:val="0"/>
        <w:snapToGrid w:val="0"/>
        <w:spacing w:line="360" w:lineRule="auto"/>
        <w:jc w:val="center"/>
        <w:rPr>
          <w:rFonts w:hint="eastAsia" w:ascii="宋体" w:hAnsi="宋体" w:cs="宋体"/>
          <w:b/>
          <w:color w:val="auto"/>
          <w:sz w:val="28"/>
          <w:szCs w:val="28"/>
        </w:rPr>
      </w:pPr>
    </w:p>
    <w:p w14:paraId="53F4CDB5">
      <w:pPr>
        <w:adjustRightInd w:val="0"/>
        <w:snapToGrid w:val="0"/>
        <w:spacing w:line="360" w:lineRule="auto"/>
        <w:jc w:val="center"/>
        <w:rPr>
          <w:rFonts w:hint="eastAsia" w:ascii="宋体" w:hAnsi="宋体" w:cs="宋体"/>
          <w:b/>
          <w:color w:val="auto"/>
          <w:sz w:val="28"/>
          <w:szCs w:val="28"/>
        </w:rPr>
      </w:pPr>
    </w:p>
    <w:p w14:paraId="011010E4">
      <w:pPr>
        <w:adjustRightInd w:val="0"/>
        <w:snapToGrid w:val="0"/>
        <w:spacing w:line="360" w:lineRule="auto"/>
        <w:jc w:val="center"/>
        <w:rPr>
          <w:rFonts w:hint="eastAsia" w:ascii="宋体" w:hAnsi="宋体" w:cs="宋体"/>
          <w:b/>
          <w:color w:val="auto"/>
          <w:sz w:val="28"/>
          <w:szCs w:val="28"/>
        </w:rPr>
      </w:pPr>
    </w:p>
    <w:p w14:paraId="79160DB8">
      <w:pPr>
        <w:adjustRightInd w:val="0"/>
        <w:snapToGrid w:val="0"/>
        <w:spacing w:line="360" w:lineRule="auto"/>
        <w:jc w:val="center"/>
        <w:rPr>
          <w:rFonts w:hint="eastAsia" w:ascii="宋体" w:hAnsi="宋体" w:cs="宋体"/>
          <w:b/>
          <w:color w:val="auto"/>
          <w:sz w:val="28"/>
          <w:szCs w:val="28"/>
        </w:rPr>
      </w:pPr>
    </w:p>
    <w:p w14:paraId="4400F2F1">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602F2EFA">
      <w:pPr>
        <w:pStyle w:val="16"/>
        <w:rPr>
          <w:rFonts w:hint="eastAsia"/>
          <w:lang w:eastAsia="zh-CN"/>
        </w:rPr>
      </w:pPr>
    </w:p>
    <w:p w14:paraId="069AF88A">
      <w:pPr>
        <w:adjustRightInd w:val="0"/>
        <w:snapToGrid w:val="0"/>
        <w:spacing w:line="360" w:lineRule="auto"/>
        <w:jc w:val="center"/>
        <w:rPr>
          <w:rFonts w:hint="eastAsia" w:ascii="宋体" w:hAnsi="宋体" w:cs="宋体"/>
          <w:b/>
          <w:color w:val="auto"/>
          <w:sz w:val="24"/>
          <w:szCs w:val="20"/>
        </w:rPr>
      </w:pPr>
    </w:p>
    <w:p w14:paraId="4CB647FB">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5629EB4D">
      <w:pPr>
        <w:adjustRightInd w:val="0"/>
        <w:snapToGrid w:val="0"/>
        <w:spacing w:line="360" w:lineRule="auto"/>
        <w:rPr>
          <w:rFonts w:hint="eastAsia" w:ascii="宋体" w:hAnsi="宋体" w:cs="宋体"/>
          <w:b/>
          <w:color w:val="auto"/>
          <w:sz w:val="28"/>
          <w:szCs w:val="28"/>
        </w:rPr>
      </w:pPr>
    </w:p>
    <w:p w14:paraId="0DD83CC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C09BC4B">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65C723BA">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0916DBD9">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6DBFDD25">
      <w:pPr>
        <w:adjustRightInd w:val="0"/>
        <w:snapToGrid w:val="0"/>
        <w:spacing w:line="360" w:lineRule="auto"/>
        <w:ind w:firstLine="480" w:firstLineChars="200"/>
        <w:rPr>
          <w:rFonts w:hint="eastAsia" w:ascii="宋体" w:hAnsi="宋体" w:cs="宋体"/>
          <w:color w:val="auto"/>
          <w:sz w:val="24"/>
        </w:rPr>
      </w:pPr>
    </w:p>
    <w:tbl>
      <w:tblPr>
        <w:tblStyle w:val="10"/>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F3D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65FAF201">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547FE906">
      <w:pPr>
        <w:adjustRightInd w:val="0"/>
        <w:snapToGrid w:val="0"/>
        <w:spacing w:line="360" w:lineRule="auto"/>
        <w:rPr>
          <w:rFonts w:hint="eastAsia" w:ascii="宋体" w:hAnsi="宋体" w:cs="宋体"/>
          <w:color w:val="auto"/>
          <w:sz w:val="24"/>
        </w:rPr>
      </w:pPr>
    </w:p>
    <w:tbl>
      <w:tblPr>
        <w:tblStyle w:val="10"/>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A39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1DBC5970">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0CC1D5FE">
      <w:pPr>
        <w:adjustRightInd w:val="0"/>
        <w:snapToGrid w:val="0"/>
        <w:spacing w:line="360" w:lineRule="auto"/>
        <w:rPr>
          <w:rFonts w:hint="eastAsia" w:ascii="宋体" w:hAnsi="宋体" w:cs="宋体"/>
          <w:color w:val="auto"/>
          <w:sz w:val="24"/>
        </w:rPr>
      </w:pPr>
    </w:p>
    <w:p w14:paraId="4A416976">
      <w:pPr>
        <w:adjustRightInd w:val="0"/>
        <w:snapToGrid w:val="0"/>
        <w:spacing w:line="360" w:lineRule="auto"/>
        <w:rPr>
          <w:rFonts w:hint="eastAsia" w:ascii="宋体" w:hAnsi="宋体" w:cs="宋体"/>
          <w:color w:val="auto"/>
          <w:sz w:val="24"/>
        </w:rPr>
      </w:pPr>
    </w:p>
    <w:p w14:paraId="48D5494A">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6E54FF5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E594EA3">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40070DFE">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8852BC7">
      <w:pPr>
        <w:adjustRightInd w:val="0"/>
        <w:snapToGrid w:val="0"/>
        <w:spacing w:line="360" w:lineRule="auto"/>
        <w:rPr>
          <w:rFonts w:hint="eastAsia" w:ascii="宋体" w:hAnsi="宋体" w:cs="宋体"/>
          <w:b/>
          <w:color w:val="auto"/>
          <w:sz w:val="28"/>
          <w:szCs w:val="28"/>
        </w:rPr>
      </w:pPr>
    </w:p>
    <w:p w14:paraId="2BCEF149">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6A67604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068D0CFF">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27C4634A">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79E7D59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4CEFA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5D0752E4">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3E5920E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F0E9A6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23BA05FA">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27C57242">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0F619370">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51F51C13">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52A24E">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0AC4802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020DC2AF">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4115B870">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D495595">
      <w:pPr>
        <w:adjustRightInd w:val="0"/>
        <w:snapToGrid w:val="0"/>
        <w:spacing w:line="360" w:lineRule="auto"/>
        <w:jc w:val="center"/>
        <w:rPr>
          <w:rFonts w:hint="eastAsia" w:ascii="宋体" w:hAnsi="宋体" w:cs="宋体"/>
          <w:b/>
          <w:color w:val="auto"/>
          <w:sz w:val="24"/>
          <w:szCs w:val="20"/>
        </w:rPr>
      </w:pPr>
    </w:p>
    <w:p w14:paraId="13C35CA6">
      <w:pPr>
        <w:adjustRightInd w:val="0"/>
        <w:snapToGrid w:val="0"/>
        <w:spacing w:line="360" w:lineRule="auto"/>
        <w:rPr>
          <w:rFonts w:hint="eastAsia" w:ascii="宋体" w:hAnsi="宋体" w:cs="宋体"/>
          <w:b/>
          <w:color w:val="auto"/>
          <w:sz w:val="24"/>
          <w:szCs w:val="20"/>
        </w:rPr>
      </w:pPr>
    </w:p>
    <w:p w14:paraId="0913BEFE">
      <w:pPr>
        <w:adjustRightInd w:val="0"/>
        <w:snapToGrid w:val="0"/>
        <w:spacing w:line="360" w:lineRule="auto"/>
        <w:rPr>
          <w:rFonts w:hint="eastAsia" w:ascii="宋体" w:hAnsi="宋体" w:cs="宋体"/>
          <w:b/>
          <w:color w:val="auto"/>
          <w:sz w:val="24"/>
          <w:szCs w:val="20"/>
        </w:rPr>
      </w:pPr>
    </w:p>
    <w:p w14:paraId="189C25A2">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4F954E55">
      <w:pPr>
        <w:adjustRightInd w:val="0"/>
        <w:snapToGrid w:val="0"/>
        <w:spacing w:line="360" w:lineRule="auto"/>
        <w:jc w:val="center"/>
        <w:rPr>
          <w:rFonts w:hint="eastAsia" w:ascii="宋体" w:hAnsi="宋体" w:cs="宋体"/>
          <w:b/>
          <w:color w:val="auto"/>
          <w:sz w:val="24"/>
          <w:szCs w:val="20"/>
        </w:rPr>
      </w:pPr>
    </w:p>
    <w:p w14:paraId="3982638B">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061BCDB5">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61D8EA74">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3F2ADCE7">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187F7981">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246B4753">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0D78684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5571EDE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3D71FAB">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08FB1DCF">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46158D28">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45281946">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2EDA356">
      <w:pPr>
        <w:jc w:val="left"/>
        <w:rPr>
          <w:rFonts w:hint="eastAsia" w:ascii="宋体" w:hAnsi="宋体" w:eastAsia="宋体" w:cs="Times New Roman"/>
          <w:b w:val="0"/>
          <w:bCs w:val="0"/>
          <w:color w:val="auto"/>
          <w:kern w:val="2"/>
          <w:sz w:val="24"/>
          <w:szCs w:val="24"/>
          <w:lang w:val="en-US" w:eastAsia="zh-CN" w:bidi="ar-SA"/>
        </w:rPr>
      </w:pPr>
    </w:p>
    <w:p w14:paraId="0969E2AC">
      <w:pPr>
        <w:jc w:val="left"/>
        <w:rPr>
          <w:rFonts w:hint="eastAsia" w:ascii="宋体" w:hAnsi="宋体" w:eastAsia="宋体" w:cs="Times New Roman"/>
          <w:b w:val="0"/>
          <w:bCs w:val="0"/>
          <w:color w:val="auto"/>
          <w:kern w:val="2"/>
          <w:sz w:val="24"/>
          <w:szCs w:val="24"/>
          <w:lang w:val="en-US" w:eastAsia="zh-CN" w:bidi="ar-SA"/>
        </w:rPr>
      </w:pPr>
    </w:p>
    <w:p w14:paraId="1D3076D7">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75DA035D">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74DD467D">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86424819"/>
      <w:bookmarkStart w:id="3" w:name="_Toc476514128"/>
    </w:p>
    <w:p w14:paraId="43CAB480">
      <w:pPr>
        <w:pStyle w:val="16"/>
        <w:rPr>
          <w:rFonts w:hint="eastAsia"/>
          <w:lang w:eastAsia="zh-CN"/>
        </w:rPr>
      </w:pPr>
    </w:p>
    <w:p w14:paraId="55C1296F">
      <w:pPr>
        <w:spacing w:before="120" w:beforeLines="50" w:after="120" w:afterLines="50" w:line="276" w:lineRule="auto"/>
        <w:jc w:val="center"/>
        <w:rPr>
          <w:b/>
          <w:color w:val="auto"/>
          <w:sz w:val="24"/>
        </w:rPr>
      </w:pPr>
      <w:r>
        <w:rPr>
          <w:b/>
          <w:color w:val="auto"/>
          <w:sz w:val="24"/>
        </w:rPr>
        <w:t>采购需求响应/偏离表</w:t>
      </w:r>
    </w:p>
    <w:p w14:paraId="038EC2EB">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0"/>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562B1D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46FBF141">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7FCA7CF6">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000" w:type="pct"/>
            <w:noWrap w:val="0"/>
            <w:vAlign w:val="top"/>
          </w:tcPr>
          <w:p w14:paraId="253845A2">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962" w:type="pct"/>
            <w:noWrap w:val="0"/>
            <w:vAlign w:val="top"/>
          </w:tcPr>
          <w:p w14:paraId="2FA202EC">
            <w:pPr>
              <w:adjustRightInd w:val="0"/>
              <w:snapToGrid w:val="0"/>
              <w:spacing w:before="50" w:line="360" w:lineRule="auto"/>
              <w:jc w:val="center"/>
              <w:rPr>
                <w:color w:val="auto"/>
              </w:rPr>
            </w:pPr>
            <w:r>
              <w:rPr>
                <w:color w:val="auto"/>
              </w:rPr>
              <w:t>投标文件应答</w:t>
            </w:r>
          </w:p>
        </w:tc>
        <w:tc>
          <w:tcPr>
            <w:tcW w:w="905" w:type="pct"/>
            <w:noWrap w:val="0"/>
            <w:vAlign w:val="center"/>
          </w:tcPr>
          <w:p w14:paraId="76B74959">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662DB399">
            <w:pPr>
              <w:adjustRightInd w:val="0"/>
              <w:snapToGrid w:val="0"/>
              <w:spacing w:before="50" w:line="360" w:lineRule="auto"/>
              <w:ind w:left="-88" w:leftChars="-42"/>
              <w:jc w:val="center"/>
              <w:rPr>
                <w:color w:val="auto"/>
                <w:szCs w:val="21"/>
              </w:rPr>
            </w:pPr>
            <w:r>
              <w:rPr>
                <w:color w:val="auto"/>
                <w:szCs w:val="21"/>
              </w:rPr>
              <w:t>偏离说明</w:t>
            </w:r>
          </w:p>
        </w:tc>
      </w:tr>
      <w:tr w14:paraId="16C8A4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06C29C91">
            <w:pPr>
              <w:adjustRightInd w:val="0"/>
              <w:snapToGrid w:val="0"/>
              <w:spacing w:before="50" w:line="360" w:lineRule="auto"/>
              <w:ind w:left="-88" w:leftChars="-42"/>
              <w:jc w:val="center"/>
              <w:rPr>
                <w:color w:val="auto"/>
                <w:szCs w:val="21"/>
              </w:rPr>
            </w:pPr>
          </w:p>
        </w:tc>
        <w:tc>
          <w:tcPr>
            <w:tcW w:w="1123" w:type="pct"/>
            <w:noWrap w:val="0"/>
            <w:vAlign w:val="center"/>
          </w:tcPr>
          <w:p w14:paraId="51DC3F32">
            <w:pPr>
              <w:adjustRightInd w:val="0"/>
              <w:snapToGrid w:val="0"/>
              <w:spacing w:before="50" w:line="360" w:lineRule="auto"/>
              <w:ind w:left="-88" w:leftChars="-42"/>
              <w:jc w:val="center"/>
              <w:rPr>
                <w:color w:val="auto"/>
                <w:szCs w:val="21"/>
              </w:rPr>
            </w:pPr>
          </w:p>
        </w:tc>
        <w:tc>
          <w:tcPr>
            <w:tcW w:w="1000" w:type="pct"/>
            <w:noWrap w:val="0"/>
            <w:vAlign w:val="center"/>
          </w:tcPr>
          <w:p w14:paraId="1EBAE3AB">
            <w:pPr>
              <w:adjustRightInd w:val="0"/>
              <w:snapToGrid w:val="0"/>
              <w:spacing w:before="50" w:line="360" w:lineRule="auto"/>
              <w:ind w:left="-88" w:leftChars="-42"/>
              <w:jc w:val="center"/>
              <w:rPr>
                <w:color w:val="auto"/>
                <w:szCs w:val="21"/>
              </w:rPr>
            </w:pPr>
          </w:p>
        </w:tc>
        <w:tc>
          <w:tcPr>
            <w:tcW w:w="962" w:type="pct"/>
            <w:noWrap w:val="0"/>
            <w:vAlign w:val="center"/>
          </w:tcPr>
          <w:p w14:paraId="6B23B89E">
            <w:pPr>
              <w:adjustRightInd w:val="0"/>
              <w:snapToGrid w:val="0"/>
              <w:spacing w:before="50" w:line="360" w:lineRule="auto"/>
              <w:ind w:left="-88" w:leftChars="-42"/>
              <w:jc w:val="center"/>
              <w:rPr>
                <w:color w:val="auto"/>
                <w:szCs w:val="21"/>
              </w:rPr>
            </w:pPr>
          </w:p>
        </w:tc>
        <w:tc>
          <w:tcPr>
            <w:tcW w:w="905" w:type="pct"/>
            <w:noWrap w:val="0"/>
            <w:vAlign w:val="center"/>
          </w:tcPr>
          <w:p w14:paraId="169BBCCC">
            <w:pPr>
              <w:adjustRightInd w:val="0"/>
              <w:snapToGrid w:val="0"/>
              <w:spacing w:before="50" w:line="360" w:lineRule="auto"/>
              <w:ind w:left="-88" w:leftChars="-42"/>
              <w:jc w:val="center"/>
              <w:rPr>
                <w:color w:val="auto"/>
                <w:szCs w:val="21"/>
              </w:rPr>
            </w:pPr>
          </w:p>
        </w:tc>
        <w:tc>
          <w:tcPr>
            <w:tcW w:w="634" w:type="pct"/>
            <w:noWrap w:val="0"/>
            <w:vAlign w:val="center"/>
          </w:tcPr>
          <w:p w14:paraId="788F8009">
            <w:pPr>
              <w:adjustRightInd w:val="0"/>
              <w:snapToGrid w:val="0"/>
              <w:spacing w:before="50" w:line="360" w:lineRule="auto"/>
              <w:ind w:left="-88" w:leftChars="-42"/>
              <w:jc w:val="center"/>
              <w:rPr>
                <w:color w:val="auto"/>
                <w:szCs w:val="21"/>
              </w:rPr>
            </w:pPr>
          </w:p>
        </w:tc>
      </w:tr>
      <w:tr w14:paraId="4E5123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27A5B36E">
            <w:pPr>
              <w:adjustRightInd w:val="0"/>
              <w:snapToGrid w:val="0"/>
              <w:spacing w:before="50" w:line="360" w:lineRule="auto"/>
              <w:ind w:left="-88" w:leftChars="-42"/>
              <w:jc w:val="center"/>
              <w:rPr>
                <w:color w:val="auto"/>
                <w:szCs w:val="21"/>
              </w:rPr>
            </w:pPr>
          </w:p>
        </w:tc>
        <w:tc>
          <w:tcPr>
            <w:tcW w:w="1123" w:type="pct"/>
            <w:noWrap w:val="0"/>
            <w:vAlign w:val="center"/>
          </w:tcPr>
          <w:p w14:paraId="34E0801C">
            <w:pPr>
              <w:adjustRightInd w:val="0"/>
              <w:snapToGrid w:val="0"/>
              <w:spacing w:before="50" w:line="360" w:lineRule="auto"/>
              <w:ind w:left="-88" w:leftChars="-42"/>
              <w:jc w:val="center"/>
              <w:rPr>
                <w:color w:val="auto"/>
                <w:szCs w:val="21"/>
              </w:rPr>
            </w:pPr>
          </w:p>
        </w:tc>
        <w:tc>
          <w:tcPr>
            <w:tcW w:w="1000" w:type="pct"/>
            <w:noWrap w:val="0"/>
            <w:vAlign w:val="center"/>
          </w:tcPr>
          <w:p w14:paraId="14CA9B06">
            <w:pPr>
              <w:adjustRightInd w:val="0"/>
              <w:snapToGrid w:val="0"/>
              <w:spacing w:before="50" w:line="360" w:lineRule="auto"/>
              <w:ind w:left="-88" w:leftChars="-42"/>
              <w:jc w:val="center"/>
              <w:rPr>
                <w:color w:val="auto"/>
                <w:szCs w:val="21"/>
              </w:rPr>
            </w:pPr>
          </w:p>
        </w:tc>
        <w:tc>
          <w:tcPr>
            <w:tcW w:w="962" w:type="pct"/>
            <w:noWrap w:val="0"/>
            <w:vAlign w:val="center"/>
          </w:tcPr>
          <w:p w14:paraId="00F4A073">
            <w:pPr>
              <w:adjustRightInd w:val="0"/>
              <w:snapToGrid w:val="0"/>
              <w:spacing w:before="50" w:line="360" w:lineRule="auto"/>
              <w:ind w:left="-88" w:leftChars="-42"/>
              <w:jc w:val="center"/>
              <w:rPr>
                <w:color w:val="auto"/>
                <w:szCs w:val="21"/>
              </w:rPr>
            </w:pPr>
          </w:p>
        </w:tc>
        <w:tc>
          <w:tcPr>
            <w:tcW w:w="905" w:type="pct"/>
            <w:noWrap w:val="0"/>
            <w:vAlign w:val="center"/>
          </w:tcPr>
          <w:p w14:paraId="6370D7D1">
            <w:pPr>
              <w:adjustRightInd w:val="0"/>
              <w:snapToGrid w:val="0"/>
              <w:spacing w:before="50" w:line="360" w:lineRule="auto"/>
              <w:ind w:left="-88" w:leftChars="-42"/>
              <w:jc w:val="center"/>
              <w:rPr>
                <w:color w:val="auto"/>
                <w:szCs w:val="21"/>
              </w:rPr>
            </w:pPr>
          </w:p>
        </w:tc>
        <w:tc>
          <w:tcPr>
            <w:tcW w:w="634" w:type="pct"/>
            <w:noWrap w:val="0"/>
            <w:vAlign w:val="center"/>
          </w:tcPr>
          <w:p w14:paraId="686B08F9">
            <w:pPr>
              <w:adjustRightInd w:val="0"/>
              <w:snapToGrid w:val="0"/>
              <w:spacing w:before="50" w:line="360" w:lineRule="auto"/>
              <w:ind w:left="-88" w:leftChars="-42"/>
              <w:jc w:val="center"/>
              <w:rPr>
                <w:color w:val="auto"/>
                <w:szCs w:val="21"/>
              </w:rPr>
            </w:pPr>
          </w:p>
        </w:tc>
      </w:tr>
      <w:tr w14:paraId="587789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EBFCA4A">
            <w:pPr>
              <w:adjustRightInd w:val="0"/>
              <w:snapToGrid w:val="0"/>
              <w:spacing w:before="50" w:line="360" w:lineRule="auto"/>
              <w:ind w:left="-88" w:leftChars="-42"/>
              <w:jc w:val="center"/>
              <w:rPr>
                <w:color w:val="auto"/>
                <w:szCs w:val="21"/>
              </w:rPr>
            </w:pPr>
          </w:p>
        </w:tc>
        <w:tc>
          <w:tcPr>
            <w:tcW w:w="1123" w:type="pct"/>
            <w:noWrap w:val="0"/>
            <w:vAlign w:val="center"/>
          </w:tcPr>
          <w:p w14:paraId="5AF639AE">
            <w:pPr>
              <w:adjustRightInd w:val="0"/>
              <w:snapToGrid w:val="0"/>
              <w:spacing w:before="50" w:line="360" w:lineRule="auto"/>
              <w:ind w:left="-88" w:leftChars="-42"/>
              <w:jc w:val="center"/>
              <w:rPr>
                <w:color w:val="auto"/>
                <w:szCs w:val="21"/>
              </w:rPr>
            </w:pPr>
          </w:p>
        </w:tc>
        <w:tc>
          <w:tcPr>
            <w:tcW w:w="1000" w:type="pct"/>
            <w:noWrap w:val="0"/>
            <w:vAlign w:val="center"/>
          </w:tcPr>
          <w:p w14:paraId="4D3D97BB">
            <w:pPr>
              <w:adjustRightInd w:val="0"/>
              <w:snapToGrid w:val="0"/>
              <w:spacing w:before="50" w:line="360" w:lineRule="auto"/>
              <w:ind w:left="-88" w:leftChars="-42"/>
              <w:jc w:val="center"/>
              <w:rPr>
                <w:color w:val="auto"/>
                <w:szCs w:val="21"/>
              </w:rPr>
            </w:pPr>
          </w:p>
        </w:tc>
        <w:tc>
          <w:tcPr>
            <w:tcW w:w="962" w:type="pct"/>
            <w:noWrap w:val="0"/>
            <w:vAlign w:val="center"/>
          </w:tcPr>
          <w:p w14:paraId="3B1F36DB">
            <w:pPr>
              <w:adjustRightInd w:val="0"/>
              <w:snapToGrid w:val="0"/>
              <w:spacing w:before="50" w:line="360" w:lineRule="auto"/>
              <w:ind w:left="-88" w:leftChars="-42"/>
              <w:jc w:val="center"/>
              <w:rPr>
                <w:color w:val="auto"/>
                <w:szCs w:val="21"/>
              </w:rPr>
            </w:pPr>
          </w:p>
        </w:tc>
        <w:tc>
          <w:tcPr>
            <w:tcW w:w="905" w:type="pct"/>
            <w:noWrap w:val="0"/>
            <w:vAlign w:val="center"/>
          </w:tcPr>
          <w:p w14:paraId="49C5B28A">
            <w:pPr>
              <w:adjustRightInd w:val="0"/>
              <w:snapToGrid w:val="0"/>
              <w:spacing w:before="50" w:line="360" w:lineRule="auto"/>
              <w:ind w:left="-88" w:leftChars="-42"/>
              <w:jc w:val="center"/>
              <w:rPr>
                <w:color w:val="auto"/>
                <w:szCs w:val="21"/>
              </w:rPr>
            </w:pPr>
          </w:p>
        </w:tc>
        <w:tc>
          <w:tcPr>
            <w:tcW w:w="634" w:type="pct"/>
            <w:noWrap w:val="0"/>
            <w:vAlign w:val="center"/>
          </w:tcPr>
          <w:p w14:paraId="7A8757A7">
            <w:pPr>
              <w:adjustRightInd w:val="0"/>
              <w:snapToGrid w:val="0"/>
              <w:spacing w:before="50" w:line="360" w:lineRule="auto"/>
              <w:ind w:left="-88" w:leftChars="-42"/>
              <w:jc w:val="center"/>
              <w:rPr>
                <w:color w:val="auto"/>
                <w:szCs w:val="21"/>
              </w:rPr>
            </w:pPr>
          </w:p>
        </w:tc>
      </w:tr>
      <w:tr w14:paraId="1F7DCC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0212869A">
            <w:pPr>
              <w:rPr>
                <w:b/>
                <w:color w:val="auto"/>
              </w:rPr>
            </w:pPr>
          </w:p>
        </w:tc>
      </w:tr>
    </w:tbl>
    <w:p w14:paraId="634413FD">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14:paraId="38E7B0C5">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2ADED0DF">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1DA1BBCC">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1E9CA764">
      <w:pPr>
        <w:pStyle w:val="17"/>
        <w:rPr>
          <w:color w:val="auto"/>
        </w:rPr>
      </w:pPr>
    </w:p>
    <w:p w14:paraId="43E00E01">
      <w:pPr>
        <w:pStyle w:val="16"/>
        <w:rPr>
          <w:rFonts w:hint="eastAsia"/>
          <w:lang w:eastAsia="zh-CN"/>
        </w:rPr>
      </w:pPr>
    </w:p>
    <w:p w14:paraId="53FA0AAC"/>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Arial Unicode MS"/>
    <w:panose1 w:val="02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FB56B">
    <w:pPr>
      <w:pStyle w:val="6"/>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B701D5">
                          <w:pPr>
                            <w:pStyle w:val="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0B701D5">
                    <w:pPr>
                      <w:pStyle w:val="6"/>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44838E22">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F6C8">
    <w:pPr>
      <w:pStyle w:val="6"/>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0D7D7">
                          <w:pPr>
                            <w:pStyle w:val="6"/>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00D7D7">
                    <w:pPr>
                      <w:pStyle w:val="6"/>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7736047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B0877">
    <w:pPr>
      <w:pStyle w:val="7"/>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2390242"/>
    <w:rsid w:val="03E43FAE"/>
    <w:rsid w:val="04653F41"/>
    <w:rsid w:val="04B72FC8"/>
    <w:rsid w:val="04F57A38"/>
    <w:rsid w:val="050719CA"/>
    <w:rsid w:val="06934BAA"/>
    <w:rsid w:val="06E91EC4"/>
    <w:rsid w:val="083C03DA"/>
    <w:rsid w:val="086F75C9"/>
    <w:rsid w:val="09C0303A"/>
    <w:rsid w:val="0A3F4F3C"/>
    <w:rsid w:val="0A4D7BE2"/>
    <w:rsid w:val="0A8A74D4"/>
    <w:rsid w:val="0E331420"/>
    <w:rsid w:val="0EDD1643"/>
    <w:rsid w:val="0FB9029C"/>
    <w:rsid w:val="10897B23"/>
    <w:rsid w:val="10914EF9"/>
    <w:rsid w:val="10B8663C"/>
    <w:rsid w:val="12080B62"/>
    <w:rsid w:val="12994AC5"/>
    <w:rsid w:val="129F447F"/>
    <w:rsid w:val="12C86253"/>
    <w:rsid w:val="15060AC8"/>
    <w:rsid w:val="15125EAE"/>
    <w:rsid w:val="15675A4C"/>
    <w:rsid w:val="17F91BB8"/>
    <w:rsid w:val="193E7D91"/>
    <w:rsid w:val="1943608F"/>
    <w:rsid w:val="19E91315"/>
    <w:rsid w:val="1AF56B46"/>
    <w:rsid w:val="1DD7486D"/>
    <w:rsid w:val="1E79119D"/>
    <w:rsid w:val="1F334F58"/>
    <w:rsid w:val="1F796B24"/>
    <w:rsid w:val="1FC602A8"/>
    <w:rsid w:val="1FE73549"/>
    <w:rsid w:val="2038045E"/>
    <w:rsid w:val="20AF0900"/>
    <w:rsid w:val="20B41DA7"/>
    <w:rsid w:val="21C61C7A"/>
    <w:rsid w:val="23F374DB"/>
    <w:rsid w:val="24881A32"/>
    <w:rsid w:val="25266F96"/>
    <w:rsid w:val="272B6E6C"/>
    <w:rsid w:val="27CF2BB7"/>
    <w:rsid w:val="28E81B29"/>
    <w:rsid w:val="28FD390A"/>
    <w:rsid w:val="29B45A41"/>
    <w:rsid w:val="2A174DA9"/>
    <w:rsid w:val="2AB010A8"/>
    <w:rsid w:val="2AC66F99"/>
    <w:rsid w:val="2C0A2E19"/>
    <w:rsid w:val="2C7642D0"/>
    <w:rsid w:val="2CC97A35"/>
    <w:rsid w:val="2DD77C64"/>
    <w:rsid w:val="2DDA1E78"/>
    <w:rsid w:val="2DE00B8C"/>
    <w:rsid w:val="2EAC037F"/>
    <w:rsid w:val="2EB67A5C"/>
    <w:rsid w:val="302741D2"/>
    <w:rsid w:val="308B184D"/>
    <w:rsid w:val="309C1E01"/>
    <w:rsid w:val="30BB11DD"/>
    <w:rsid w:val="31F17CD1"/>
    <w:rsid w:val="324F4D43"/>
    <w:rsid w:val="33384C93"/>
    <w:rsid w:val="340F06E9"/>
    <w:rsid w:val="34C12F54"/>
    <w:rsid w:val="366241E2"/>
    <w:rsid w:val="36B66AAC"/>
    <w:rsid w:val="36E47928"/>
    <w:rsid w:val="372F7378"/>
    <w:rsid w:val="37BA0809"/>
    <w:rsid w:val="397348CD"/>
    <w:rsid w:val="3A8E0AB7"/>
    <w:rsid w:val="3A994AB7"/>
    <w:rsid w:val="3B3B544D"/>
    <w:rsid w:val="3B654F2B"/>
    <w:rsid w:val="3BB72BAE"/>
    <w:rsid w:val="3BFC7D2B"/>
    <w:rsid w:val="3C7C799C"/>
    <w:rsid w:val="3C8A61A4"/>
    <w:rsid w:val="3D5E17FF"/>
    <w:rsid w:val="3DFD1951"/>
    <w:rsid w:val="3E1F0DA4"/>
    <w:rsid w:val="3E584E51"/>
    <w:rsid w:val="3EBE1ADE"/>
    <w:rsid w:val="403B4B34"/>
    <w:rsid w:val="4140452A"/>
    <w:rsid w:val="414D7889"/>
    <w:rsid w:val="41BB0BAE"/>
    <w:rsid w:val="425629F5"/>
    <w:rsid w:val="4284152B"/>
    <w:rsid w:val="429A4992"/>
    <w:rsid w:val="435B161D"/>
    <w:rsid w:val="43B25DAC"/>
    <w:rsid w:val="44771DFD"/>
    <w:rsid w:val="45D569C3"/>
    <w:rsid w:val="479B74B7"/>
    <w:rsid w:val="48735221"/>
    <w:rsid w:val="49E92B05"/>
    <w:rsid w:val="4A354E62"/>
    <w:rsid w:val="4AEE1A11"/>
    <w:rsid w:val="4B7F39F4"/>
    <w:rsid w:val="4BAE646F"/>
    <w:rsid w:val="4CAC1559"/>
    <w:rsid w:val="4D754257"/>
    <w:rsid w:val="4DCD6AB3"/>
    <w:rsid w:val="4EE7662F"/>
    <w:rsid w:val="50216DCD"/>
    <w:rsid w:val="50540C20"/>
    <w:rsid w:val="506258C6"/>
    <w:rsid w:val="51997E92"/>
    <w:rsid w:val="51AC28BD"/>
    <w:rsid w:val="52183ACC"/>
    <w:rsid w:val="53B55872"/>
    <w:rsid w:val="544055F2"/>
    <w:rsid w:val="54AD4386"/>
    <w:rsid w:val="55D8243C"/>
    <w:rsid w:val="581A7C72"/>
    <w:rsid w:val="583A4BD7"/>
    <w:rsid w:val="59C74B1F"/>
    <w:rsid w:val="5A886F59"/>
    <w:rsid w:val="611B6B1B"/>
    <w:rsid w:val="62C222C2"/>
    <w:rsid w:val="632D7C40"/>
    <w:rsid w:val="64133D6A"/>
    <w:rsid w:val="678E4F5D"/>
    <w:rsid w:val="67F3562A"/>
    <w:rsid w:val="680E122C"/>
    <w:rsid w:val="6A4E1D63"/>
    <w:rsid w:val="6C486FE4"/>
    <w:rsid w:val="6CA409DF"/>
    <w:rsid w:val="6DE375E4"/>
    <w:rsid w:val="6E8E5287"/>
    <w:rsid w:val="6FAC3B48"/>
    <w:rsid w:val="6FAD463B"/>
    <w:rsid w:val="6FBE332C"/>
    <w:rsid w:val="71554367"/>
    <w:rsid w:val="71584067"/>
    <w:rsid w:val="71F26E91"/>
    <w:rsid w:val="735201FF"/>
    <w:rsid w:val="737B50A4"/>
    <w:rsid w:val="73F40E72"/>
    <w:rsid w:val="74566F5C"/>
    <w:rsid w:val="750117A8"/>
    <w:rsid w:val="755B2270"/>
    <w:rsid w:val="75E27514"/>
    <w:rsid w:val="76920D75"/>
    <w:rsid w:val="76C47877"/>
    <w:rsid w:val="77423DFF"/>
    <w:rsid w:val="783B5EA9"/>
    <w:rsid w:val="79EB699D"/>
    <w:rsid w:val="7B0620DE"/>
    <w:rsid w:val="7BBF44BB"/>
    <w:rsid w:val="7BF15CE4"/>
    <w:rsid w:val="7C3A27E5"/>
    <w:rsid w:val="7D9727DD"/>
    <w:rsid w:val="7EFB4F6E"/>
    <w:rsid w:val="7F164138"/>
    <w:rsid w:val="7F1A5E95"/>
    <w:rsid w:val="7FFB0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2">
    <w:name w:val="Default Paragraph Font"/>
    <w:autoRedefine/>
    <w:semiHidden/>
    <w:qFormat/>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styleId="4">
    <w:name w:val="Body Text Indent"/>
    <w:basedOn w:val="1"/>
    <w:autoRedefine/>
    <w:qFormat/>
    <w:uiPriority w:val="99"/>
    <w:pPr>
      <w:spacing w:line="400" w:lineRule="exact"/>
      <w:ind w:left="630"/>
    </w:pPr>
    <w:rPr>
      <w:rFonts w:ascii="楷体_GB2312"/>
      <w:sz w:val="30"/>
      <w:szCs w:val="30"/>
    </w:rPr>
  </w:style>
  <w:style w:type="paragraph" w:styleId="5">
    <w:name w:val="Date"/>
    <w:basedOn w:val="1"/>
    <w:next w:val="1"/>
    <w:qFormat/>
    <w:uiPriority w:val="0"/>
    <w:rPr>
      <w:color w:val="000000"/>
      <w:kern w:val="0"/>
      <w:sz w:val="30"/>
    </w:rPr>
  </w:style>
  <w:style w:type="paragraph" w:styleId="6">
    <w:name w:val="footer"/>
    <w:basedOn w:val="1"/>
    <w:autoRedefine/>
    <w:qFormat/>
    <w:uiPriority w:val="0"/>
    <w:pPr>
      <w:tabs>
        <w:tab w:val="center" w:pos="4153"/>
        <w:tab w:val="right" w:pos="8306"/>
      </w:tabs>
      <w:snapToGrid w:val="0"/>
      <w:jc w:val="left"/>
    </w:pPr>
    <w:rPr>
      <w:kern w:val="0"/>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autoRedefine/>
    <w:qFormat/>
    <w:uiPriority w:val="0"/>
    <w:rPr>
      <w:sz w:val="24"/>
    </w:rPr>
  </w:style>
  <w:style w:type="paragraph" w:styleId="9">
    <w:name w:val="Body Text First Indent 2"/>
    <w:basedOn w:val="4"/>
    <w:autoRedefine/>
    <w:qFormat/>
    <w:uiPriority w:val="0"/>
    <w:pPr>
      <w:overflowPunct w:val="0"/>
      <w:adjustRightInd w:val="0"/>
      <w:spacing w:line="500" w:lineRule="exact"/>
      <w:ind w:firstLine="420" w:firstLineChars="200"/>
      <w:textAlignment w:val="baseline"/>
    </w:pPr>
    <w:rPr>
      <w:rFonts w:eastAsia="仿宋_GB2312"/>
      <w:kern w:val="28"/>
      <w:sz w:val="28"/>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4">
    <w:name w:val="Default"/>
    <w:next w:val="15"/>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5">
    <w:name w:val="大标题"/>
    <w:basedOn w:val="1"/>
    <w:next w:val="9"/>
    <w:autoRedefine/>
    <w:qFormat/>
    <w:uiPriority w:val="0"/>
    <w:pPr>
      <w:jc w:val="center"/>
    </w:pPr>
    <w:rPr>
      <w:rFonts w:ascii="Arial" w:hAnsi="Arial" w:eastAsia="宋体"/>
      <w:b/>
      <w:sz w:val="28"/>
      <w:szCs w:val="24"/>
    </w:rPr>
  </w:style>
  <w:style w:type="paragraph" w:customStyle="1" w:styleId="16">
    <w:name w:val="列出段落1"/>
    <w:basedOn w:val="1"/>
    <w:autoRedefine/>
    <w:qFormat/>
    <w:uiPriority w:val="99"/>
    <w:pPr>
      <w:ind w:firstLine="420" w:firstLineChars="200"/>
    </w:pPr>
  </w:style>
  <w:style w:type="paragraph" w:customStyle="1" w:styleId="17">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8">
    <w:name w:val="List Paragraph"/>
    <w:basedOn w:val="1"/>
    <w:autoRedefine/>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9098</Words>
  <Characters>9763</Characters>
  <Lines>0</Lines>
  <Paragraphs>0</Paragraphs>
  <TotalTime>2</TotalTime>
  <ScaleCrop>false</ScaleCrop>
  <LinksUpToDate>false</LinksUpToDate>
  <CharactersWithSpaces>10738</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张思远</cp:lastModifiedBy>
  <dcterms:modified xsi:type="dcterms:W3CDTF">2025-08-26T00:37:03Z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3505A2AB25E048A4A9B0E6A6741CA1BA_11</vt:lpwstr>
  </property>
  <property fmtid="{D5CDD505-2E9C-101B-9397-08002B2CF9AE}" pid="4" name="KSOTemplateDocerSaveRecord">
    <vt:lpwstr>eyJoZGlkIjoiOWU3YmMxNGQ0NDE0NTRiYjQ3MWFkZjk1MWM2MTc2NWEiLCJ1c2VySWQiOiI0NDIzNjcyODQifQ==</vt:lpwstr>
  </property>
</Properties>
</file>