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ascii="Arial" w:hAnsi="Arial" w:eastAsia="方正小标宋简体" w:cs="Arial"/>
          <w:color w:val="auto"/>
          <w:sz w:val="72"/>
          <w:szCs w:val="72"/>
        </w:rPr>
      </w:pPr>
      <w:bookmarkStart w:id="0" w:name="_Toc16523570"/>
    </w:p>
    <w:p w14:paraId="75F3B684">
      <w:pPr>
        <w:pStyle w:val="6"/>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广州医科大学附属第一医院娄底医院</w:t>
      </w:r>
    </w:p>
    <w:p w14:paraId="65C368DD">
      <w:pPr>
        <w:pStyle w:val="6"/>
        <w:snapToGrid w:val="0"/>
        <w:jc w:val="center"/>
        <w:rPr>
          <w:rFonts w:ascii="Arial" w:hAnsi="Arial" w:eastAsia="方正小标宋简体" w:cs="Arial"/>
          <w:color w:val="auto"/>
          <w:sz w:val="72"/>
          <w:szCs w:val="72"/>
        </w:rPr>
      </w:pPr>
    </w:p>
    <w:p w14:paraId="11616A47">
      <w:pPr>
        <w:pStyle w:val="6"/>
        <w:snapToGrid w:val="0"/>
        <w:jc w:val="center"/>
        <w:rPr>
          <w:rFonts w:ascii="Arial" w:hAnsi="Arial" w:eastAsia="方正小标宋简体" w:cs="Arial"/>
          <w:color w:val="auto"/>
          <w:sz w:val="72"/>
          <w:szCs w:val="72"/>
        </w:rPr>
      </w:pPr>
    </w:p>
    <w:p w14:paraId="39F8D380">
      <w:pPr>
        <w:pStyle w:val="6"/>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rPr>
        <w:t>采购</w:t>
      </w:r>
      <w:r>
        <w:rPr>
          <w:rFonts w:ascii="Arial" w:hAnsi="Arial" w:eastAsia="方正小标宋简体" w:cs="Arial"/>
          <w:color w:val="auto"/>
          <w:sz w:val="72"/>
          <w:szCs w:val="72"/>
        </w:rPr>
        <w:t>文件</w:t>
      </w:r>
    </w:p>
    <w:p w14:paraId="37F791A7">
      <w:pPr>
        <w:pStyle w:val="6"/>
        <w:snapToGrid w:val="0"/>
        <w:jc w:val="center"/>
        <w:rPr>
          <w:rFonts w:ascii="Arial" w:hAnsi="Arial" w:cs="Arial"/>
          <w:color w:val="auto"/>
          <w:sz w:val="32"/>
          <w:szCs w:val="32"/>
        </w:rPr>
      </w:pPr>
    </w:p>
    <w:p w14:paraId="409EB72F">
      <w:pPr>
        <w:pStyle w:val="23"/>
        <w:rPr>
          <w:rFonts w:cs="Arial"/>
          <w:sz w:val="32"/>
          <w:szCs w:val="32"/>
        </w:rPr>
      </w:pPr>
    </w:p>
    <w:p w14:paraId="668BDAFE">
      <w:pPr>
        <w:pStyle w:val="15"/>
        <w:ind w:firstLine="640"/>
        <w:rPr>
          <w:rFonts w:ascii="Arial" w:hAnsi="Arial" w:cs="Arial"/>
          <w:sz w:val="32"/>
          <w:szCs w:val="32"/>
        </w:rPr>
      </w:pPr>
    </w:p>
    <w:p w14:paraId="30B28264">
      <w:pPr>
        <w:pStyle w:val="15"/>
        <w:ind w:firstLine="640"/>
        <w:rPr>
          <w:rFonts w:ascii="Arial" w:hAnsi="Arial" w:cs="Arial"/>
          <w:sz w:val="32"/>
          <w:szCs w:val="32"/>
        </w:rPr>
      </w:pPr>
    </w:p>
    <w:p w14:paraId="45C922C2">
      <w:pPr>
        <w:pStyle w:val="15"/>
        <w:ind w:firstLine="640"/>
        <w:rPr>
          <w:rFonts w:ascii="Arial" w:hAnsi="Arial" w:cs="Arial"/>
          <w:sz w:val="32"/>
          <w:szCs w:val="32"/>
        </w:rPr>
      </w:pPr>
    </w:p>
    <w:p w14:paraId="0233B328">
      <w:pPr>
        <w:pStyle w:val="15"/>
        <w:ind w:firstLine="640"/>
        <w:rPr>
          <w:rFonts w:ascii="Arial" w:hAnsi="Arial" w:cs="Arial"/>
          <w:sz w:val="32"/>
          <w:szCs w:val="32"/>
        </w:rPr>
      </w:pPr>
    </w:p>
    <w:p w14:paraId="65E4BC6C">
      <w:pPr>
        <w:pStyle w:val="15"/>
        <w:ind w:firstLine="640"/>
        <w:rPr>
          <w:rFonts w:ascii="Arial" w:hAnsi="Arial" w:cs="Arial"/>
          <w:sz w:val="32"/>
          <w:szCs w:val="32"/>
        </w:rPr>
      </w:pPr>
    </w:p>
    <w:p w14:paraId="7577245D">
      <w:pPr>
        <w:pStyle w:val="15"/>
        <w:ind w:firstLine="640"/>
        <w:rPr>
          <w:rFonts w:ascii="Arial" w:hAnsi="Arial" w:cs="Arial"/>
          <w:sz w:val="32"/>
          <w:szCs w:val="32"/>
        </w:rPr>
      </w:pPr>
    </w:p>
    <w:p w14:paraId="5337F494">
      <w:pPr>
        <w:pStyle w:val="15"/>
        <w:ind w:firstLine="640"/>
        <w:rPr>
          <w:rFonts w:ascii="Arial" w:hAnsi="Arial" w:cs="Arial"/>
          <w:sz w:val="32"/>
          <w:szCs w:val="32"/>
        </w:rPr>
      </w:pPr>
    </w:p>
    <w:p w14:paraId="0A4AE94E">
      <w:pPr>
        <w:pStyle w:val="6"/>
        <w:snapToGrid w:val="0"/>
        <w:jc w:val="center"/>
        <w:rPr>
          <w:rFonts w:ascii="Arial" w:hAnsi="Arial" w:cs="Arial"/>
          <w:color w:val="auto"/>
          <w:sz w:val="32"/>
          <w:szCs w:val="32"/>
        </w:rPr>
      </w:pPr>
    </w:p>
    <w:p w14:paraId="13C7226F">
      <w:pPr>
        <w:pStyle w:val="6"/>
        <w:snapToGrid w:val="0"/>
        <w:jc w:val="center"/>
        <w:rPr>
          <w:rFonts w:ascii="Arial" w:hAnsi="Arial" w:cs="Arial"/>
          <w:color w:val="auto"/>
          <w:sz w:val="32"/>
          <w:szCs w:val="32"/>
        </w:rPr>
      </w:pPr>
    </w:p>
    <w:p w14:paraId="0E6A0AE3">
      <w:pPr>
        <w:spacing w:line="360" w:lineRule="auto"/>
        <w:rPr>
          <w:bCs/>
          <w:sz w:val="32"/>
          <w:szCs w:val="32"/>
        </w:rPr>
      </w:pPr>
    </w:p>
    <w:p w14:paraId="221DD583">
      <w:pPr>
        <w:pStyle w:val="2"/>
        <w:keepNext w:val="0"/>
        <w:keepLines w:val="0"/>
        <w:widowControl/>
        <w:spacing w:before="120" w:after="0" w:line="27" w:lineRule="atLeast"/>
        <w:jc w:val="center"/>
        <w:rPr>
          <w:rFonts w:hint="eastAsia" w:eastAsia="宋体"/>
          <w:bCs/>
          <w:sz w:val="32"/>
          <w:szCs w:val="32"/>
          <w:lang w:eastAsia="zh-CN"/>
        </w:rPr>
      </w:pPr>
      <w:r>
        <w:rPr>
          <w:rFonts w:hint="eastAsia"/>
          <w:bCs/>
          <w:sz w:val="32"/>
          <w:szCs w:val="32"/>
        </w:rPr>
        <w:t>项目名称：</w:t>
      </w:r>
      <w:r>
        <w:rPr>
          <w:rFonts w:hint="eastAsia"/>
          <w:bCs/>
          <w:sz w:val="32"/>
          <w:szCs w:val="32"/>
          <w:lang w:eastAsia="zh-CN"/>
        </w:rPr>
        <w:t>广州医科大学附属第一医院娄底医院两院区便民接驳车辆租赁服务项目</w:t>
      </w:r>
    </w:p>
    <w:p w14:paraId="2646632F">
      <w:pPr>
        <w:jc w:val="center"/>
        <w:rPr>
          <w:b/>
          <w:bCs/>
          <w:kern w:val="44"/>
          <w:sz w:val="32"/>
          <w:szCs w:val="32"/>
        </w:rPr>
      </w:pPr>
      <w:r>
        <w:rPr>
          <w:rFonts w:hint="eastAsia"/>
          <w:b/>
          <w:bCs/>
          <w:kern w:val="44"/>
          <w:sz w:val="32"/>
          <w:szCs w:val="32"/>
        </w:rPr>
        <w:t>（医院公开挂网）</w:t>
      </w:r>
    </w:p>
    <w:p w14:paraId="2B704EEC">
      <w:pPr>
        <w:spacing w:line="320" w:lineRule="exact"/>
        <w:jc w:val="left"/>
        <w:rPr>
          <w:sz w:val="24"/>
        </w:rPr>
      </w:pPr>
    </w:p>
    <w:p w14:paraId="0354F586">
      <w:pPr>
        <w:spacing w:line="320" w:lineRule="exact"/>
        <w:ind w:firstLine="3520" w:firstLineChars="1100"/>
        <w:rPr>
          <w:rFonts w:hint="eastAsia" w:ascii="宋体" w:hAnsi="宋体" w:cs="宋体"/>
          <w:bCs/>
          <w:sz w:val="32"/>
          <w:szCs w:val="32"/>
        </w:rPr>
      </w:pPr>
      <w:r>
        <w:rPr>
          <w:rFonts w:hint="eastAsia" w:ascii="宋体" w:hAnsi="宋体" w:cs="宋体"/>
          <w:bCs/>
          <w:sz w:val="32"/>
          <w:szCs w:val="32"/>
        </w:rPr>
        <w:t>二〇二六年八月</w:t>
      </w:r>
    </w:p>
    <w:p w14:paraId="43FCB49C">
      <w:pPr>
        <w:rPr>
          <w:rFonts w:hint="eastAsia" w:ascii="宋体" w:hAnsi="宋体" w:cs="宋体"/>
          <w:sz w:val="44"/>
          <w:szCs w:val="44"/>
        </w:rPr>
      </w:pPr>
      <w:r>
        <w:rPr>
          <w:rFonts w:hint="eastAsia" w:ascii="宋体" w:hAnsi="宋体" w:cs="宋体"/>
          <w:sz w:val="44"/>
          <w:szCs w:val="44"/>
        </w:rPr>
        <w:br w:type="page"/>
      </w:r>
    </w:p>
    <w:p w14:paraId="02230438">
      <w:pPr>
        <w:pStyle w:val="2"/>
        <w:spacing w:line="240" w:lineRule="auto"/>
        <w:jc w:val="center"/>
        <w:rPr>
          <w:szCs w:val="44"/>
        </w:rPr>
      </w:pPr>
      <w:r>
        <w:rPr>
          <w:rFonts w:hint="eastAsia" w:ascii="宋体" w:hAnsi="宋体" w:cs="宋体"/>
          <w:szCs w:val="44"/>
        </w:rPr>
        <w:t>第一章 投标邀请</w:t>
      </w:r>
    </w:p>
    <w:p w14:paraId="049FCDF5">
      <w:pPr>
        <w:pStyle w:val="6"/>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u w:val="single"/>
          <w:lang w:eastAsia="zh-CN"/>
        </w:rPr>
        <w:t>广州医科大学附属第一医院娄底医院两院区便民接驳车辆租赁服务项目</w:t>
      </w:r>
      <w:r>
        <w:rPr>
          <w:rFonts w:hint="eastAsia" w:asciiTheme="minorEastAsia" w:hAnsiTheme="minorEastAsia" w:eastAsiaTheme="minorEastAsia" w:cstheme="minorEastAsia"/>
          <w:bCs/>
          <w:color w:val="auto"/>
        </w:rPr>
        <w:t>进行医院公开挂网，将事项公告如下：</w:t>
      </w:r>
    </w:p>
    <w:p w14:paraId="33F26BBC">
      <w:pPr>
        <w:pStyle w:val="6"/>
        <w:tabs>
          <w:tab w:val="left" w:pos="312"/>
        </w:tabs>
        <w:snapToGrid w:val="0"/>
        <w:spacing w:line="48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一、项目信息</w:t>
      </w:r>
    </w:p>
    <w:p w14:paraId="20A851AA">
      <w:pPr>
        <w:pStyle w:val="6"/>
        <w:tabs>
          <w:tab w:val="left" w:pos="312"/>
        </w:tabs>
        <w:snapToGrid w:val="0"/>
        <w:spacing w:line="480" w:lineRule="auto"/>
        <w:ind w:firstLine="480" w:firstLineChars="200"/>
        <w:rPr>
          <w:rFonts w:hint="eastAsia" w:asciiTheme="minorEastAsia" w:hAnsiTheme="minorEastAsia" w:eastAsiaTheme="minorEastAsia" w:cstheme="minorEastAsia"/>
          <w:bCs/>
          <w:color w:val="auto"/>
          <w:lang w:eastAsia="zh-CN"/>
        </w:rPr>
      </w:pPr>
      <w:r>
        <w:rPr>
          <w:rFonts w:hint="eastAsia" w:asciiTheme="minorEastAsia" w:hAnsiTheme="minorEastAsia" w:eastAsiaTheme="minorEastAsia" w:cstheme="minorEastAsia"/>
          <w:bCs/>
          <w:color w:val="auto"/>
        </w:rPr>
        <w:t>项目名称：</w:t>
      </w:r>
      <w:r>
        <w:rPr>
          <w:rFonts w:hint="eastAsia" w:asciiTheme="minorEastAsia" w:hAnsiTheme="minorEastAsia" w:eastAsiaTheme="minorEastAsia" w:cstheme="minorEastAsia"/>
          <w:bCs/>
          <w:color w:val="auto"/>
          <w:u w:val="single"/>
          <w:lang w:eastAsia="zh-CN"/>
        </w:rPr>
        <w:t>广州医科大学附属第一医院娄底医院两院区便民接驳车辆租赁服务项目</w:t>
      </w:r>
    </w:p>
    <w:p w14:paraId="0CDBF21C">
      <w:pPr>
        <w:pStyle w:val="6"/>
        <w:numPr>
          <w:ilvl w:val="0"/>
          <w:numId w:val="1"/>
        </w:numPr>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采购方式</w:t>
      </w:r>
    </w:p>
    <w:p w14:paraId="7C7C445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1、医院公开挂网，最低评标价法，在满足所有参数的条件下，报价最低者中标，如有多个并列最低价，则由并列最低价投标人再次报价，直至出现最低报价为止。</w:t>
      </w:r>
    </w:p>
    <w:bookmarkEnd w:id="0"/>
    <w:p w14:paraId="0ACEB349">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三、投标人资格要求</w:t>
      </w:r>
    </w:p>
    <w:p w14:paraId="55893B32">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1、投标人的基本资格条件：投标人必须是在中华人民共和国境内注册登记的法人、其他组织或者自然人，且应当符合《政府采购法》第二十二条第一款的规定；</w:t>
      </w:r>
    </w:p>
    <w:p w14:paraId="1F42DD7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2、参加政府采购活动近3年内，在经营活动中没有重大违法记录；</w:t>
      </w:r>
    </w:p>
    <w:p w14:paraId="0ACB140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3、投标人未列入经营异常名录和未列入严重违法失信企业名单（黑名单），投标人企业法人代表未被列入失信被执行人名单；</w:t>
      </w:r>
    </w:p>
    <w:p w14:paraId="21C808E0">
      <w:pPr>
        <w:pStyle w:val="6"/>
        <w:tabs>
          <w:tab w:val="left" w:pos="312"/>
        </w:tabs>
        <w:snapToGrid w:val="0"/>
        <w:spacing w:line="360" w:lineRule="auto"/>
        <w:ind w:firstLine="720" w:firstLineChars="3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投标人在“信用中国”（www.creditchina.gov.cn）、中国政府采购网（www.ccgp.gov.cn）等网站，未被列入“失信被执行人”、“重大税收违法案件当事人名单”、“政府采购严重违法失信行为记录名单”；</w:t>
      </w:r>
    </w:p>
    <w:p w14:paraId="15D09420">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4、本项目不接受联合体投标，不得分包、转包；</w:t>
      </w:r>
    </w:p>
    <w:p w14:paraId="12B2191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5、单位负责人为同一人或者存在直接控股、管理关系的不同投标人，不得参加本次采购活动；</w:t>
      </w:r>
    </w:p>
    <w:p w14:paraId="623B8589">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四、投标截止时间、开标时间及地点：</w:t>
      </w:r>
    </w:p>
    <w:p w14:paraId="6C1BC762">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1、投标截止时间、开标时间：详见医院官网公开挂网表</w:t>
      </w:r>
    </w:p>
    <w:p w14:paraId="27C4F677">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2、开标地点;娄底市中心医院</w:t>
      </w:r>
    </w:p>
    <w:p w14:paraId="67F7E3C9">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五、采购人地址和联系方法：</w:t>
      </w:r>
    </w:p>
    <w:p w14:paraId="2BA1D7AB">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1、采购人名称：娄底市中心医院</w:t>
      </w:r>
    </w:p>
    <w:p w14:paraId="31DB0AF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2、联系人及联系方式：张思远 15115875288</w:t>
      </w:r>
    </w:p>
    <w:p w14:paraId="5023AEF5">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3、采购人地址：娄底市长青中街51号</w:t>
      </w:r>
    </w:p>
    <w:p w14:paraId="0ADD55F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六、投标须知</w:t>
      </w:r>
    </w:p>
    <w:p w14:paraId="6DD88B5A">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1、否决投标的情形：</w:t>
      </w:r>
    </w:p>
    <w:p w14:paraId="4EF3F462">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1.1、投标人以他人名义投标、串通投标、以行贿手段谋取中标的；</w:t>
      </w:r>
    </w:p>
    <w:p w14:paraId="6CA551A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1.2、资格评审时，投标人资格条件不符合国家有关规定或者文件要求的，或者拒不按照要求对投标文件进行澄清、说明或补正，或者其说明补正无法证明其为合格投标人的；</w:t>
      </w:r>
    </w:p>
    <w:p w14:paraId="2BB116B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1.3、评标委员会认定投标人以低于成本报价竞标的；</w:t>
      </w:r>
    </w:p>
    <w:p w14:paraId="0D3123B4">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1.4、投标人未按照要求出席开标会的；</w:t>
      </w:r>
    </w:p>
    <w:p w14:paraId="79343047">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1.5、投标报价有错误的，评标委员会将要求投标人作出书面澄清说明和确认，投标人拒不作出澄清说明和确认的；</w:t>
      </w:r>
    </w:p>
    <w:p w14:paraId="1C567C2F">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2、有下列情形之一的，采购人将重新挂网采购：</w:t>
      </w:r>
    </w:p>
    <w:p w14:paraId="42006801">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2.1、投标截止时间止，投标人少于3家的；</w:t>
      </w:r>
    </w:p>
    <w:p w14:paraId="0F261BB7">
      <w:pPr>
        <w:pStyle w:val="6"/>
        <w:tabs>
          <w:tab w:val="left" w:pos="312"/>
        </w:tabs>
        <w:snapToGrid w:val="0"/>
        <w:spacing w:line="360" w:lineRule="auto"/>
        <w:ind w:firstLine="480" w:firstLineChars="200"/>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Cs/>
          <w:color w:val="auto"/>
        </w:rPr>
        <w:t>2.2、经评标委员会评审后，有效投标人少于3家的。</w:t>
      </w:r>
    </w:p>
    <w:p w14:paraId="6D411BA9">
      <w:pPr>
        <w:pStyle w:val="23"/>
      </w:pPr>
    </w:p>
    <w:p w14:paraId="7E250597">
      <w:pPr>
        <w:pStyle w:val="23"/>
        <w:jc w:val="both"/>
      </w:pPr>
    </w:p>
    <w:p w14:paraId="22CD3DC2">
      <w:pPr>
        <w:pStyle w:val="6"/>
        <w:tabs>
          <w:tab w:val="left" w:pos="312"/>
        </w:tabs>
        <w:snapToGrid w:val="0"/>
        <w:spacing w:line="480" w:lineRule="auto"/>
        <w:jc w:val="center"/>
        <w:rPr>
          <w:rFonts w:hint="eastAsia" w:ascii="宋体" w:hAnsi="宋体" w:cs="宋体"/>
          <w:b/>
          <w:bCs/>
          <w:color w:val="auto"/>
          <w:sz w:val="44"/>
          <w:szCs w:val="44"/>
        </w:rPr>
      </w:pPr>
    </w:p>
    <w:p w14:paraId="715EDAE9">
      <w:pPr>
        <w:pStyle w:val="6"/>
        <w:tabs>
          <w:tab w:val="left" w:pos="312"/>
        </w:tabs>
        <w:snapToGrid w:val="0"/>
        <w:spacing w:line="480" w:lineRule="auto"/>
        <w:jc w:val="center"/>
        <w:rPr>
          <w:rFonts w:hint="eastAsia" w:ascii="宋体" w:hAnsi="宋体" w:cs="宋体"/>
          <w:b/>
          <w:bCs/>
          <w:color w:val="auto"/>
          <w:sz w:val="44"/>
          <w:szCs w:val="44"/>
        </w:rPr>
      </w:pPr>
    </w:p>
    <w:p w14:paraId="0F41F978">
      <w:pPr>
        <w:pStyle w:val="23"/>
        <w:rPr>
          <w:rFonts w:hint="eastAsia" w:ascii="宋体" w:hAnsi="宋体" w:cs="宋体"/>
          <w:bCs/>
          <w:sz w:val="44"/>
          <w:szCs w:val="44"/>
        </w:rPr>
      </w:pPr>
    </w:p>
    <w:p w14:paraId="6DFDBEAA">
      <w:pPr>
        <w:pStyle w:val="15"/>
        <w:ind w:firstLine="883"/>
        <w:rPr>
          <w:rFonts w:hint="eastAsia" w:ascii="宋体" w:hAnsi="宋体" w:cs="宋体"/>
          <w:b/>
          <w:bCs/>
          <w:sz w:val="44"/>
          <w:szCs w:val="44"/>
        </w:rPr>
      </w:pPr>
    </w:p>
    <w:p w14:paraId="30F94F1D">
      <w:pPr>
        <w:rPr>
          <w:rFonts w:hint="eastAsia" w:ascii="宋体" w:hAnsi="宋体" w:cs="宋体"/>
          <w:b/>
          <w:bCs/>
          <w:sz w:val="44"/>
          <w:szCs w:val="44"/>
        </w:rPr>
      </w:pPr>
    </w:p>
    <w:p w14:paraId="102811BE">
      <w:pPr>
        <w:pStyle w:val="22"/>
      </w:pPr>
    </w:p>
    <w:p w14:paraId="04DC7BC4">
      <w:pPr>
        <w:pStyle w:val="2"/>
        <w:rPr>
          <w:rFonts w:hint="eastAsia" w:ascii="宋体" w:hAnsi="宋体" w:cs="宋体"/>
          <w:bCs/>
          <w:szCs w:val="44"/>
        </w:rPr>
      </w:pPr>
    </w:p>
    <w:p w14:paraId="127EFE5C">
      <w:pPr>
        <w:rPr>
          <w:rFonts w:hint="eastAsia" w:ascii="宋体" w:hAnsi="宋体" w:cs="宋体"/>
          <w:b/>
          <w:bCs/>
          <w:sz w:val="44"/>
          <w:szCs w:val="44"/>
        </w:rPr>
      </w:pPr>
    </w:p>
    <w:p w14:paraId="05DE6F3A"/>
    <w:p w14:paraId="28624900">
      <w:pPr>
        <w:pStyle w:val="6"/>
        <w:tabs>
          <w:tab w:val="left" w:pos="312"/>
        </w:tabs>
        <w:snapToGrid w:val="0"/>
        <w:spacing w:line="480" w:lineRule="auto"/>
        <w:jc w:val="center"/>
        <w:rPr>
          <w:rFonts w:hint="eastAsia" w:ascii="宋体" w:hAnsi="宋体" w:cs="宋体"/>
          <w:b/>
          <w:bCs/>
          <w:color w:val="auto"/>
          <w:sz w:val="44"/>
          <w:szCs w:val="44"/>
        </w:rPr>
      </w:pPr>
      <w:r>
        <w:rPr>
          <w:rFonts w:hint="eastAsia" w:ascii="宋体" w:hAnsi="宋体" w:cs="宋体"/>
          <w:b/>
          <w:bCs/>
          <w:color w:val="auto"/>
          <w:sz w:val="44"/>
          <w:szCs w:val="44"/>
        </w:rPr>
        <w:t>第二章采购需求</w:t>
      </w:r>
    </w:p>
    <w:p w14:paraId="736FC095">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1.采购项目</w:t>
      </w:r>
    </w:p>
    <w:tbl>
      <w:tblPr>
        <w:tblStyle w:val="16"/>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9E0CB90">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04A50A28">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项目名称</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137C3FB8">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服务</w:t>
            </w:r>
            <w:r>
              <w:rPr>
                <w:rFonts w:hint="eastAsia" w:asciiTheme="minorEastAsia" w:hAnsiTheme="minorEastAsia" w:eastAsiaTheme="minorEastAsia" w:cstheme="minorEastAsia"/>
                <w:lang w:val="en-US" w:eastAsia="zh-CN"/>
              </w:rPr>
              <w:t>年限</w:t>
            </w:r>
          </w:p>
        </w:tc>
        <w:tc>
          <w:tcPr>
            <w:tcW w:w="2310" w:type="dxa"/>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6D78E54A">
            <w:pPr>
              <w:pStyle w:val="14"/>
              <w:spacing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预算总价（万元）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4508FB3E">
            <w:pPr>
              <w:spacing w:line="360"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370"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517944EF">
            <w:pPr>
              <w:widowControl/>
              <w:jc w:val="center"/>
              <w:textAlignment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广州医科大学附属第一医院娄底医院两院区便民接驳车辆租赁服务项目</w:t>
            </w:r>
          </w:p>
        </w:tc>
        <w:tc>
          <w:tcPr>
            <w:tcW w:w="1665" w:type="dxa"/>
            <w:tcBorders>
              <w:top w:val="single" w:color="000000" w:sz="6" w:space="0"/>
              <w:left w:val="single" w:color="000000" w:sz="6" w:space="0"/>
              <w:bottom w:val="single" w:color="000000" w:sz="6" w:space="0"/>
              <w:right w:val="single" w:color="000000" w:sz="6" w:space="0"/>
            </w:tcBorders>
            <w:tcMar>
              <w:top w:w="75" w:type="dxa"/>
              <w:left w:w="150" w:type="dxa"/>
              <w:bottom w:w="75" w:type="dxa"/>
              <w:right w:w="150" w:type="dxa"/>
            </w:tcMar>
            <w:vAlign w:val="center"/>
          </w:tcPr>
          <w:p w14:paraId="73D71701">
            <w:pPr>
              <w:spacing w:line="360"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年</w:t>
            </w:r>
          </w:p>
        </w:tc>
        <w:tc>
          <w:tcPr>
            <w:tcW w:w="2310" w:type="dxa"/>
            <w:tcBorders>
              <w:top w:val="single" w:color="000000" w:sz="6" w:space="0"/>
              <w:left w:val="single" w:color="000000" w:sz="6" w:space="0"/>
              <w:bottom w:val="single" w:color="000000" w:sz="6" w:space="0"/>
              <w:right w:val="single" w:color="auto" w:sz="4" w:space="0"/>
            </w:tcBorders>
            <w:tcMar>
              <w:top w:w="75" w:type="dxa"/>
              <w:left w:w="150" w:type="dxa"/>
              <w:bottom w:w="75" w:type="dxa"/>
              <w:right w:w="150" w:type="dxa"/>
            </w:tcMar>
            <w:vAlign w:val="center"/>
          </w:tcPr>
          <w:p w14:paraId="19EAF0A7">
            <w:pPr>
              <w:spacing w:line="360" w:lineRule="auto"/>
              <w:jc w:val="center"/>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51.1</w:t>
            </w:r>
          </w:p>
        </w:tc>
      </w:tr>
    </w:tbl>
    <w:p w14:paraId="737A1F41">
      <w:pPr>
        <w:spacing w:line="360" w:lineRule="auto"/>
        <w:rPr>
          <w:rFonts w:hint="eastAsia" w:asciiTheme="minorEastAsia" w:hAnsiTheme="minorEastAsia" w:eastAsiaTheme="minorEastAsia" w:cstheme="minorEastAsia"/>
          <w:bCs/>
          <w:kern w:val="0"/>
          <w:sz w:val="24"/>
        </w:rPr>
      </w:pPr>
    </w:p>
    <w:p w14:paraId="78C7E4B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3、服务地点：娄底市中心医院、广州医科大学附属第一医院娄底医院（以下简称娄底医院）</w:t>
      </w:r>
    </w:p>
    <w:p w14:paraId="33C78225">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二、项目内容及要求（以下内容必须全部响应，否则视为无效投标）</w:t>
      </w:r>
    </w:p>
    <w:p w14:paraId="448EB9E8">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（一）、服务内容</w:t>
      </w:r>
    </w:p>
    <w:p w14:paraId="7316C147">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本项目为一体化全包租赁接驳服务，由中标服务商全权提供合规接驳车辆、持证专职驾驶员、车辆日常维保、全车保险购置、故障应急替换、日常运营配套保障等全部服务内容，全程保障两院区便民接驳工作有序开展。</w:t>
      </w:r>
    </w:p>
    <w:p w14:paraId="75E98827">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运营班次及中途停靠点按娄底医院规定时间及点位执行，日常按固定班次往返接驳，服务商需无条件服从采购人班次调整。</w:t>
      </w:r>
    </w:p>
    <w:p w14:paraId="017320F2">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rPr>
          <w:rFonts w:hint="eastAsia" w:ascii="仿宋" w:hAnsi="仿宋" w:eastAsia="仿宋" w:cs="仿宋"/>
          <w:b/>
          <w:bCs w:val="0"/>
          <w:color w:val="auto"/>
          <w:sz w:val="28"/>
          <w:szCs w:val="28"/>
          <w:lang w:val="en-US" w:eastAsia="zh-CN"/>
        </w:rPr>
      </w:pPr>
      <w:r>
        <w:rPr>
          <w:rFonts w:hint="eastAsia" w:asciiTheme="minorEastAsia" w:hAnsiTheme="minorEastAsia" w:eastAsiaTheme="minorEastAsia" w:cstheme="minorEastAsia"/>
          <w:b/>
          <w:bCs w:val="0"/>
          <w:kern w:val="0"/>
          <w:sz w:val="24"/>
          <w:lang w:val="en-US" w:eastAsia="zh-CN"/>
        </w:rPr>
        <w:t>（二）、采购数量及预算限价</w:t>
      </w:r>
    </w:p>
    <w:p w14:paraId="51B1E33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同时提供接驳服务车辆的数量2台；每车每日单价限价：700元/天/台；单台年度总预算限价：255000元/台/年，项目总预算：511000.00元/2台，项目总价包干，无额外增补费用。</w:t>
      </w:r>
    </w:p>
    <w:p w14:paraId="27C29A3C">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本项目为全包每日每车单价报价，所有费用包干，采购人无任何追加费用。包含但不限于：</w:t>
      </w:r>
    </w:p>
    <w:p w14:paraId="35ADB808">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1.车辆租赁费、车辆折旧损耗；</w:t>
      </w:r>
    </w:p>
    <w:p w14:paraId="6DA5552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2.驾驶员工资、社保、福利、培训费；</w:t>
      </w:r>
    </w:p>
    <w:p w14:paraId="0A9D19D2">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3.全部保险费、年检费、维保配件费；</w:t>
      </w:r>
    </w:p>
    <w:p w14:paraId="1BC04DAE">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4.故障替换车使用费、应急保障费；</w:t>
      </w:r>
    </w:p>
    <w:p w14:paraId="457D1334">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5.管理成本、税费、事故赔偿金；</w:t>
      </w:r>
    </w:p>
    <w:p w14:paraId="6B563516">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（三）、车辆技术及配置要求</w:t>
      </w:r>
    </w:p>
    <w:p w14:paraId="5BA1160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1.车辆类型：客车。</w:t>
      </w:r>
    </w:p>
    <w:p w14:paraId="0559B50F">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2.车长空间要求：车长&gt;8米，可上轮椅，特殊情况下能上担架，除固定座椅外，能根据实际需求增加载客量。</w:t>
      </w:r>
    </w:p>
    <w:p w14:paraId="2172CC02">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3.车辆状态：车况完好、无重大事故、无营运安全隐患。</w:t>
      </w:r>
    </w:p>
    <w:p w14:paraId="378C9D2C">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4.核心配置：冷暖空调、监控记录仪、GPS定位、合规座椅、安全逃生设施齐全。</w:t>
      </w:r>
    </w:p>
    <w:p w14:paraId="7082F8A8">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5.续航能力：满足日常线路全天运营里程需求，冬季、高温天气运营稳定。</w:t>
      </w:r>
    </w:p>
    <w:p w14:paraId="3EC125A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6.外观要求：车身整洁、漆面完好，能按采购人的要求统一张贴标识。</w:t>
      </w:r>
    </w:p>
    <w:p w14:paraId="2D0D29C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7.车内卫生要求：保持车内窗帘、座位、车辆地板整洁、无灰尘、无异味。</w:t>
      </w:r>
    </w:p>
    <w:p w14:paraId="61ECA9BF">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8.备用车辆：服务商须配备应急备用车辆，车辆故障、年检、维保期间无条件替换，不得停运缺班。</w:t>
      </w:r>
    </w:p>
    <w:p w14:paraId="293BE6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（四）、人员服务要求</w:t>
      </w:r>
    </w:p>
    <w:p w14:paraId="3B7B7C6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1.每车配备持证专职驾驶员，驾驶员须持有A1/A3有效驾驶证，具备丰富客运驾驶经验，准驾车型与营运车辆完全匹配，持证上岗、证件可查可验。（提供佐证材料）</w:t>
      </w:r>
    </w:p>
    <w:p w14:paraId="7BE416AE">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2.所有派驻驾驶员无重大及以上交通事故记录、无酒驾、毒驾、超速超载等严重交通违法记录，无违法失信、治安处罚、刑事处罚记录，政审及信用状况良好，适合医院服务场景。（提供承诺函）</w:t>
      </w:r>
    </w:p>
    <w:p w14:paraId="4D66241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3.驾驶员上岗期间统一穿着公司标准制服，仪容整洁，言行文明，服务规范，严格按照既定班次准点发车、准点到站，不迟到、不早退、不擅自脱岗、串岗，全程服从医院后勤及调度人员统一管理和调度安排。</w:t>
      </w:r>
    </w:p>
    <w:p w14:paraId="2B505FE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4.中标服务商全权负责所有派驻驾驶员的薪酬发放、社保缴纳、岗前及常态化安全培训、日常考勤、服务考核、人员更换等全部管理工作，承担全部用工责任及风险。</w:t>
      </w:r>
    </w:p>
    <w:p w14:paraId="21BFFD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（五）、保险与安全要求</w:t>
      </w:r>
    </w:p>
    <w:p w14:paraId="6CD64EFD">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1.每台车必须足额购买：交强险、商业第三者责任险（保额不低于100万元）、承运人责任险（每座保额不低于30万元）。</w:t>
      </w:r>
    </w:p>
    <w:p w14:paraId="141DBCE9">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2.保险有效期覆盖整个服务周期，到期提前续保。</w:t>
      </w:r>
    </w:p>
    <w:p w14:paraId="3EDBD9C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3.运营服务期内，如发生车辆事故、交通事故等情形，由此产生的赔偿、处置等全部相关事宜及费用均由中标服务商自行承担，采购人不承担任何费用，亦不承担连带责任。接驳过程中，若病患在车辆内发生自身疾病引发的突发意外，且该意外并非中标服务商服务行为、车辆设施、操作不当等中标服务商原因造成的，中标服务商无需就此承担相应责任。</w:t>
      </w:r>
    </w:p>
    <w:p w14:paraId="7F8D00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（六）、日常班次运营标准、考核标准、缺班扣罚及违约要求</w:t>
      </w:r>
    </w:p>
    <w:p w14:paraId="4B4DCA37">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1.行驶路线与停靠规范：固定往返两院区，严格按照采购人指定停靠点位上下客，除极端不可抗力、官方交通管制外，不得擅自变更行驶路线、缩短里程、中途甩客、擅自停运。</w:t>
      </w:r>
    </w:p>
    <w:p w14:paraId="4D0D243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2.班次标准：车辆每日足额完成不低于6趟往返班次（12个单边），严格按照采购人发布的《便民接驳服务发车时间表》准点运营，无条件服从采购人班次、发车时间调整。</w:t>
      </w:r>
    </w:p>
    <w:p w14:paraId="04D2526D">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3.打卡报备机制：每班次发车须使用水印相机在指定点位拍照打卡，并在采购人指定工作群报备留存，实现班次全程可追溯、可核查。</w:t>
      </w:r>
    </w:p>
    <w:p w14:paraId="77706C7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4.采购人调度权：车辆及驾驶员全程服从采购人门禁管理、院区限速、行车规范、日常监督考核；采购人负责统筹调度，可常态化发布发车时刻表及应急接驳指令，应急发车时间原则上不晚于当日18:15。</w:t>
      </w:r>
    </w:p>
    <w:p w14:paraId="75C2D428">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5.单次缺班扣罚：因中标服务商车辆故障、运维疏漏、驾驶员管理不当等自身原因造成班次缺失的，每缺一趟扣除服务费200元；单日缺班3趟及以上，全额扣除当日租赁费用。</w:t>
      </w:r>
    </w:p>
    <w:p w14:paraId="4BFB2CC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6.月度违约处罚：中标服务商原因导致月度累计缺班、少班次达5次及以上的，采购人扣除当月10%租金并责令限期整改。</w:t>
      </w:r>
    </w:p>
    <w:p w14:paraId="75BE8B49">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7.合同解除条款：中标服务商出现无正当理由累计停运、拒服务、擅自撤场、月度问题连续两月整改无效、私自转包、重大安全事故、车况严重不符拒不更换等根本违约情形，采购人有权单方解除合同，并追索全部损失及违约金。</w:t>
      </w:r>
    </w:p>
    <w:p w14:paraId="736BF9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（七）、维保、检修与应急故障</w:t>
      </w:r>
    </w:p>
    <w:p w14:paraId="2B7CE5B4">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1.中标服务商承担车辆服务周期内全部日常维修、保养、年检、耗材更换、故障抢修、配件更换等所有费用，采购人无需承担任何维保相关支出。</w:t>
      </w:r>
    </w:p>
    <w:p w14:paraId="200B4559">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2.中标服务商须建立完善的车辆运营台账体系，包含每日出车检查、收车复检台账、日常维保台账、季度体检台账、故障处置台账等，台账记录真实完整、可追溯，随时接受采购人及行业主管部门检查。</w:t>
      </w:r>
    </w:p>
    <w:p w14:paraId="51F2EC80">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3.车辆突发故障、设备异常时，中标服务商须30分钟内响应，1小时内完成车辆替换或故障修复，坚决保障接驳线路不停运、班次不空缺、转诊服务不中断。</w:t>
      </w:r>
    </w:p>
    <w:p w14:paraId="406BE7EA">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eastAsia"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4.中标服务商须开展常态化车辆安全排查，每月日常巡检、每季度开展全面车辆安全体检，及时排查整改安全隐患，建立完整安全管理台账，杜绝带病营运。</w:t>
      </w:r>
    </w:p>
    <w:p w14:paraId="3C22CE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Theme="minorEastAsia" w:hAnsiTheme="minorEastAsia" w:eastAsiaTheme="minorEastAsia" w:cstheme="minorEastAsia"/>
          <w:b/>
          <w:bCs w:val="0"/>
          <w:kern w:val="0"/>
          <w:sz w:val="24"/>
          <w:lang w:val="en-US" w:eastAsia="zh-CN"/>
        </w:rPr>
      </w:pPr>
      <w:r>
        <w:rPr>
          <w:rFonts w:hint="eastAsia" w:asciiTheme="minorEastAsia" w:hAnsiTheme="minorEastAsia" w:eastAsiaTheme="minorEastAsia" w:cstheme="minorEastAsia"/>
          <w:b/>
          <w:bCs w:val="0"/>
          <w:kern w:val="0"/>
          <w:sz w:val="24"/>
          <w:lang w:val="en-US" w:eastAsia="zh-CN"/>
        </w:rPr>
        <w:t>（八）、投标人要求</w:t>
      </w:r>
    </w:p>
    <w:p w14:paraId="1687B405">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default" w:asciiTheme="minorEastAsia" w:hAnsiTheme="minorEastAsia" w:eastAsiaTheme="minorEastAsia" w:cstheme="minorEastAsia"/>
          <w:bCs/>
          <w:kern w:val="0"/>
          <w:sz w:val="24"/>
          <w:lang w:val="en-US" w:eastAsia="zh-CN"/>
        </w:rPr>
        <w:t>1.具有合法营业执照，经营范围含汽车租赁或客运服务；</w:t>
      </w:r>
    </w:p>
    <w:p w14:paraId="576CB8AB">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default" w:asciiTheme="minorEastAsia" w:hAnsiTheme="minorEastAsia" w:eastAsiaTheme="minorEastAsia" w:cstheme="minorEastAsia"/>
          <w:bCs/>
          <w:kern w:val="0"/>
          <w:sz w:val="24"/>
          <w:lang w:val="en-US" w:eastAsia="zh-CN"/>
        </w:rPr>
        <w:t>2.具备有效的客运运输资质；</w:t>
      </w:r>
    </w:p>
    <w:p w14:paraId="34A6B391">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default" w:asciiTheme="minorEastAsia" w:hAnsiTheme="minorEastAsia" w:eastAsiaTheme="minorEastAsia" w:cstheme="minorEastAsia"/>
          <w:bCs/>
          <w:kern w:val="0"/>
          <w:sz w:val="24"/>
          <w:lang w:val="en-US" w:eastAsia="zh-CN"/>
        </w:rPr>
        <w:t>3.企业近1年的连续社保缴费记录；</w:t>
      </w:r>
      <w:r>
        <w:rPr>
          <w:rFonts w:hint="eastAsia" w:asciiTheme="minorEastAsia" w:hAnsiTheme="minorEastAsia" w:eastAsiaTheme="minorEastAsia" w:cstheme="minorEastAsia"/>
          <w:bCs/>
          <w:kern w:val="0"/>
          <w:sz w:val="24"/>
          <w:lang w:val="en-US" w:eastAsia="zh-CN"/>
        </w:rPr>
        <w:t>（按招标文件要求提供承诺函）</w:t>
      </w:r>
    </w:p>
    <w:p w14:paraId="4D8F4CB3">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default" w:asciiTheme="minorEastAsia" w:hAnsiTheme="minorEastAsia" w:eastAsiaTheme="minorEastAsia" w:cstheme="minorEastAsia"/>
          <w:bCs/>
          <w:kern w:val="0"/>
          <w:sz w:val="24"/>
          <w:lang w:val="en-US" w:eastAsia="zh-CN"/>
        </w:rPr>
        <w:t>4.近三年无重大安全事故、无政府采购失信记录；</w:t>
      </w:r>
    </w:p>
    <w:p w14:paraId="266069E6">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default" w:asciiTheme="minorEastAsia" w:hAnsiTheme="minorEastAsia" w:eastAsiaTheme="minorEastAsia" w:cstheme="minorEastAsia"/>
          <w:bCs/>
          <w:kern w:val="0"/>
          <w:sz w:val="24"/>
          <w:lang w:val="en-US" w:eastAsia="zh-CN"/>
        </w:rPr>
        <w:t>5.具备自有合规运营车辆储备；</w:t>
      </w:r>
    </w:p>
    <w:p w14:paraId="49D3B4A7">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6</w:t>
      </w:r>
      <w:r>
        <w:rPr>
          <w:rFonts w:hint="default" w:asciiTheme="minorEastAsia" w:hAnsiTheme="minorEastAsia" w:eastAsiaTheme="minorEastAsia" w:cstheme="minorEastAsia"/>
          <w:bCs/>
          <w:kern w:val="0"/>
          <w:sz w:val="24"/>
          <w:lang w:val="en-US" w:eastAsia="zh-CN"/>
        </w:rPr>
        <w:t>.严禁转包、分包，一经发现立即终止合同；</w:t>
      </w:r>
    </w:p>
    <w:p w14:paraId="3BC03AF9">
      <w:pPr>
        <w:keepNext w:val="0"/>
        <w:keepLines w:val="0"/>
        <w:pageBreakBefore w:val="0"/>
        <w:widowControl w:val="0"/>
        <w:kinsoku/>
        <w:wordWrap/>
        <w:overflowPunct/>
        <w:topLinePunct w:val="0"/>
        <w:autoSpaceDE/>
        <w:autoSpaceDN/>
        <w:bidi w:val="0"/>
        <w:adjustRightInd/>
        <w:snapToGrid/>
        <w:spacing w:line="360" w:lineRule="auto"/>
        <w:ind w:leftChars="0" w:firstLine="480" w:firstLineChars="200"/>
        <w:textAlignment w:val="auto"/>
        <w:rPr>
          <w:rFonts w:hint="default" w:asciiTheme="minorEastAsia" w:hAnsiTheme="minorEastAsia" w:eastAsiaTheme="minorEastAsia" w:cstheme="minorEastAsia"/>
          <w:bCs/>
          <w:kern w:val="0"/>
          <w:sz w:val="24"/>
          <w:lang w:val="en-US" w:eastAsia="zh-CN"/>
        </w:rPr>
      </w:pPr>
      <w:r>
        <w:rPr>
          <w:rFonts w:hint="eastAsia" w:asciiTheme="minorEastAsia" w:hAnsiTheme="minorEastAsia" w:eastAsiaTheme="minorEastAsia" w:cstheme="minorEastAsia"/>
          <w:bCs/>
          <w:kern w:val="0"/>
          <w:sz w:val="24"/>
          <w:lang w:val="en-US" w:eastAsia="zh-CN"/>
        </w:rPr>
        <w:t>7</w:t>
      </w:r>
      <w:r>
        <w:rPr>
          <w:rFonts w:hint="default" w:asciiTheme="minorEastAsia" w:hAnsiTheme="minorEastAsia" w:eastAsiaTheme="minorEastAsia" w:cstheme="minorEastAsia"/>
          <w:bCs/>
          <w:kern w:val="0"/>
          <w:sz w:val="24"/>
          <w:lang w:val="en-US" w:eastAsia="zh-CN"/>
        </w:rPr>
        <w:t>.服从交通、应急、城管及行业主管部门各项管理要求；</w:t>
      </w:r>
    </w:p>
    <w:p w14:paraId="4EA280FE">
      <w:pPr>
        <w:spacing w:line="360" w:lineRule="auto"/>
        <w:ind w:firstLine="480" w:firstLineChars="200"/>
        <w:rPr>
          <w:rFonts w:hint="eastAsia" w:asciiTheme="minorEastAsia" w:hAnsiTheme="minorEastAsia" w:eastAsiaTheme="minorEastAsia" w:cstheme="minorEastAsia"/>
          <w:bCs/>
          <w:kern w:val="0"/>
          <w:sz w:val="24"/>
          <w:lang w:val="en-US" w:eastAsia="zh-CN"/>
        </w:rPr>
      </w:pPr>
    </w:p>
    <w:p w14:paraId="462E8F37">
      <w:pPr>
        <w:spacing w:line="360" w:lineRule="auto"/>
        <w:ind w:firstLine="480" w:firstLineChars="200"/>
        <w:rPr>
          <w:rFonts w:hint="default" w:asciiTheme="minorEastAsia" w:hAnsiTheme="minorEastAsia" w:eastAsiaTheme="minorEastAsia" w:cstheme="minorEastAsia"/>
          <w:bCs/>
          <w:kern w:val="0"/>
          <w:sz w:val="24"/>
          <w:lang w:val="en-US" w:eastAsia="zh-CN"/>
        </w:rPr>
      </w:pPr>
    </w:p>
    <w:p w14:paraId="2BA1B0AC">
      <w:pPr>
        <w:spacing w:line="360" w:lineRule="auto"/>
        <w:ind w:firstLine="480" w:firstLineChars="200"/>
        <w:rPr>
          <w:rFonts w:hint="default" w:asciiTheme="minorEastAsia" w:hAnsiTheme="minorEastAsia" w:eastAsiaTheme="minorEastAsia" w:cstheme="minorEastAsia"/>
          <w:bCs/>
          <w:kern w:val="0"/>
          <w:sz w:val="24"/>
          <w:lang w:val="en-US" w:eastAsia="zh-CN"/>
        </w:rPr>
      </w:pPr>
    </w:p>
    <w:p w14:paraId="590763C4">
      <w:pPr>
        <w:pStyle w:val="14"/>
        <w:widowControl/>
        <w:spacing w:line="360" w:lineRule="auto"/>
        <w:ind w:firstLine="480" w:firstLineChars="200"/>
        <w:rPr>
          <w:rFonts w:hint="eastAsia" w:asciiTheme="minorEastAsia" w:hAnsiTheme="minorEastAsia" w:eastAsiaTheme="minorEastAsia" w:cstheme="minorEastAsia"/>
          <w:bCs/>
          <w:kern w:val="0"/>
          <w:lang w:val="en-US" w:eastAsia="zh-CN"/>
        </w:rPr>
      </w:pPr>
    </w:p>
    <w:p w14:paraId="6FED6369">
      <w:pPr>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br w:type="page"/>
      </w:r>
    </w:p>
    <w:p w14:paraId="002EA663">
      <w:pPr>
        <w:pStyle w:val="14"/>
        <w:widowControl/>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三、标书要求</w:t>
      </w:r>
    </w:p>
    <w:p w14:paraId="1190B923">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1、封面：需注明标的名称、投标文件、单位、时间；</w:t>
      </w:r>
    </w:p>
    <w:p w14:paraId="3AE7D2F0">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2、“三证合一”或“五证合一”营业执照；</w:t>
      </w:r>
    </w:p>
    <w:p w14:paraId="68C94A94">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3、投标人身份证复印件；</w:t>
      </w:r>
    </w:p>
    <w:p w14:paraId="7A3E69B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4、如投标人不是法定代表人，须持法定代表人亲笔签名的授权委托书,并提供法定代表人身份证明和法定代表人身份证复印件，同时要求法定代表人在身份证复印件上注明用途及签全名。</w:t>
      </w:r>
    </w:p>
    <w:p w14:paraId="3CBF51B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5、履行本项目所必需的资质证明；</w:t>
      </w:r>
    </w:p>
    <w:p w14:paraId="081DCE85">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6、针对此项目的技术、服务方案；</w:t>
      </w:r>
    </w:p>
    <w:p w14:paraId="39B2305D">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7、投标人认为需提供的其他和评审有关的资料；</w:t>
      </w:r>
    </w:p>
    <w:p w14:paraId="19A38308">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8、投标文件的每一页都必须加盖投标单位的公章；</w:t>
      </w:r>
    </w:p>
    <w:p w14:paraId="5A92BCCA">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9、投标文件参数响应表中必须标注响应项佐证材料所对应页面。</w:t>
      </w:r>
    </w:p>
    <w:p w14:paraId="737229C9">
      <w:pPr>
        <w:spacing w:line="360" w:lineRule="auto"/>
        <w:ind w:firstLine="480" w:firstLineChars="200"/>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kern w:val="0"/>
          <w:sz w:val="28"/>
          <w:szCs w:val="28"/>
        </w:rPr>
      </w:pPr>
    </w:p>
    <w:p w14:paraId="070ED9C3">
      <w:pPr>
        <w:spacing w:line="360" w:lineRule="auto"/>
        <w:ind w:firstLine="560" w:firstLineChars="200"/>
        <w:rPr>
          <w:rFonts w:hint="eastAsia" w:asciiTheme="minorEastAsia" w:hAnsiTheme="minorEastAsia" w:eastAsiaTheme="minorEastAsia" w:cstheme="minorEastAsia"/>
          <w:bCs/>
          <w:kern w:val="0"/>
          <w:sz w:val="28"/>
          <w:szCs w:val="28"/>
        </w:rPr>
      </w:pPr>
    </w:p>
    <w:p w14:paraId="2D6E4AC4">
      <w:pPr>
        <w:spacing w:line="360" w:lineRule="auto"/>
        <w:ind w:firstLine="560" w:firstLineChars="200"/>
        <w:rPr>
          <w:rFonts w:hint="eastAsia" w:asciiTheme="minorEastAsia" w:hAnsiTheme="minorEastAsia" w:eastAsiaTheme="minorEastAsia" w:cstheme="minorEastAsia"/>
          <w:bCs/>
          <w:kern w:val="0"/>
          <w:sz w:val="28"/>
          <w:szCs w:val="28"/>
        </w:rPr>
      </w:pPr>
    </w:p>
    <w:p w14:paraId="0A30F671">
      <w:pPr>
        <w:spacing w:line="360" w:lineRule="auto"/>
        <w:ind w:firstLine="560" w:firstLineChars="200"/>
        <w:rPr>
          <w:rFonts w:hint="eastAsia" w:asciiTheme="minorEastAsia" w:hAnsiTheme="minorEastAsia" w:eastAsiaTheme="minorEastAsia" w:cstheme="minorEastAsia"/>
          <w:bCs/>
          <w:kern w:val="0"/>
          <w:sz w:val="28"/>
          <w:szCs w:val="28"/>
        </w:rPr>
      </w:pPr>
    </w:p>
    <w:p w14:paraId="235E73A7">
      <w:pPr>
        <w:spacing w:line="360" w:lineRule="auto"/>
        <w:ind w:firstLine="560" w:firstLineChars="200"/>
        <w:rPr>
          <w:rFonts w:asciiTheme="minorEastAsia" w:hAnsiTheme="minorEastAsia" w:eastAsiaTheme="minorEastAsia" w:cstheme="minorEastAsia"/>
          <w:bCs/>
          <w:kern w:val="0"/>
          <w:sz w:val="28"/>
          <w:szCs w:val="28"/>
        </w:rPr>
      </w:pPr>
    </w:p>
    <w:p w14:paraId="46ED00F7">
      <w:pPr>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br w:type="page"/>
      </w:r>
    </w:p>
    <w:p w14:paraId="30A737BB">
      <w:pPr>
        <w:spacing w:line="360" w:lineRule="auto"/>
        <w:ind w:firstLine="560" w:firstLineChars="200"/>
        <w:rPr>
          <w:rFonts w:hint="eastAsia" w:asciiTheme="minorEastAsia" w:hAnsiTheme="minorEastAsia" w:eastAsiaTheme="minorEastAsia" w:cstheme="minorEastAsia"/>
          <w:bCs/>
          <w:kern w:val="0"/>
          <w:sz w:val="28"/>
          <w:szCs w:val="28"/>
        </w:rPr>
      </w:pPr>
      <w:r>
        <w:rPr>
          <w:rFonts w:hint="eastAsia" w:asciiTheme="minorEastAsia" w:hAnsiTheme="minorEastAsia" w:eastAsiaTheme="minorEastAsia" w:cstheme="minorEastAsia"/>
          <w:bCs/>
          <w:kern w:val="0"/>
          <w:sz w:val="28"/>
          <w:szCs w:val="28"/>
        </w:rPr>
        <w:t>四、合同</w:t>
      </w:r>
    </w:p>
    <w:p w14:paraId="0BEDE949">
      <w:pPr>
        <w:spacing w:line="380" w:lineRule="exact"/>
      </w:pPr>
      <w:r>
        <w:rPr>
          <w:rFonts w:hint="eastAsia" w:ascii="宋体" w:hAnsi="宋体" w:cs="宋体"/>
          <w:sz w:val="24"/>
        </w:rPr>
        <w:t xml:space="preserve">                 </w:t>
      </w:r>
      <w:r>
        <w:rPr>
          <w:rFonts w:hint="eastAsia" w:ascii="仿宋_GB2312" w:eastAsia="仿宋_GB2312" w:cs="仿宋_GB2312"/>
          <w:bCs/>
          <w:kern w:val="0"/>
          <w:sz w:val="28"/>
          <w:szCs w:val="28"/>
        </w:rPr>
        <w:t xml:space="preserve">  </w:t>
      </w:r>
    </w:p>
    <w:p w14:paraId="3192B594">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right"/>
        <w:textAlignment w:val="auto"/>
        <w:rPr>
          <w:rFonts w:hint="default" w:ascii="仿宋" w:hAnsi="仿宋" w:eastAsia="仿宋" w:cs="仿宋"/>
          <w:sz w:val="28"/>
          <w:szCs w:val="28"/>
          <w:lang w:val="en-US" w:eastAsia="zh-CN"/>
        </w:rPr>
      </w:pPr>
      <w:r>
        <w:rPr>
          <w:rFonts w:hint="eastAsia" w:cs="仿宋_GB2312"/>
          <w:bCs/>
          <w:kern w:val="0"/>
          <w:sz w:val="28"/>
          <w:szCs w:val="28"/>
        </w:rPr>
        <w:t xml:space="preserve">  </w:t>
      </w:r>
      <w:r>
        <w:rPr>
          <w:rFonts w:hint="eastAsia" w:ascii="仿宋" w:hAnsi="仿宋" w:eastAsia="仿宋" w:cs="仿宋"/>
          <w:sz w:val="28"/>
          <w:szCs w:val="28"/>
          <w:lang w:val="en-US" w:eastAsia="zh-CN"/>
        </w:rPr>
        <w:t xml:space="preserve">      合同编号：</w:t>
      </w:r>
    </w:p>
    <w:p w14:paraId="1DA665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2312" w:eastAsia="方正仿宋_GB2312"/>
          <w:b/>
          <w:sz w:val="32"/>
          <w:szCs w:val="32"/>
        </w:rPr>
      </w:pPr>
      <w:r>
        <w:rPr>
          <w:rFonts w:hint="eastAsia" w:ascii="方正仿宋_GB2312" w:eastAsia="方正仿宋_GB2312"/>
          <w:b/>
          <w:sz w:val="32"/>
          <w:szCs w:val="32"/>
          <w:lang w:val="en-US" w:eastAsia="zh-CN"/>
        </w:rPr>
        <w:t>广州医科大学附属第一医院娄底医院两院区便民</w:t>
      </w:r>
      <w:r>
        <w:rPr>
          <w:rFonts w:hint="eastAsia" w:ascii="方正仿宋_GB2312" w:eastAsia="方正仿宋_GB2312"/>
          <w:b/>
          <w:color w:val="auto"/>
          <w:sz w:val="32"/>
          <w:szCs w:val="32"/>
          <w:lang w:val="en-US" w:eastAsia="zh-CN"/>
        </w:rPr>
        <w:t>接驳</w:t>
      </w:r>
      <w:r>
        <w:rPr>
          <w:rFonts w:hint="eastAsia" w:ascii="方正仿宋_GB2312" w:eastAsia="方正仿宋_GB2312"/>
          <w:b/>
          <w:sz w:val="32"/>
          <w:szCs w:val="32"/>
          <w:lang w:val="en-US" w:eastAsia="zh-CN"/>
        </w:rPr>
        <w:t>车辆租赁服务</w:t>
      </w:r>
      <w:r>
        <w:rPr>
          <w:rFonts w:hint="eastAsia" w:ascii="方正仿宋_GB2312" w:eastAsia="方正仿宋_GB2312"/>
          <w:b/>
          <w:sz w:val="32"/>
          <w:szCs w:val="32"/>
        </w:rPr>
        <w:t>合同</w:t>
      </w:r>
    </w:p>
    <w:p w14:paraId="04FE35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2312" w:eastAsia="方正仿宋_GB2312"/>
          <w:b/>
          <w:sz w:val="32"/>
          <w:szCs w:val="32"/>
          <w:lang w:val="en-US" w:eastAsia="zh-CN"/>
        </w:rPr>
      </w:pPr>
    </w:p>
    <w:p w14:paraId="26CA0D3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w:t>
      </w:r>
      <w:r>
        <w:rPr>
          <w:rFonts w:hint="eastAsia" w:ascii="仿宋" w:hAnsi="仿宋" w:eastAsia="仿宋" w:cs="仿宋"/>
          <w:b w:val="0"/>
          <w:bCs w:val="0"/>
          <w:color w:val="0000FF"/>
          <w:sz w:val="28"/>
          <w:szCs w:val="28"/>
          <w:highlight w:val="none"/>
          <w:lang w:val="en-US" w:eastAsia="zh-CN"/>
        </w:rPr>
        <w:t>广州医科大学附属第一医院娄底医院</w:t>
      </w:r>
    </w:p>
    <w:p w14:paraId="6BC268E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法定代表人：</w:t>
      </w:r>
      <w:r>
        <w:rPr>
          <w:rFonts w:hint="eastAsia" w:ascii="仿宋" w:hAnsi="仿宋" w:eastAsia="仿宋" w:cs="仿宋"/>
          <w:b w:val="0"/>
          <w:bCs w:val="0"/>
          <w:color w:val="0000FF"/>
          <w:sz w:val="28"/>
          <w:szCs w:val="28"/>
          <w:highlight w:val="none"/>
          <w:lang w:val="en-US" w:eastAsia="zh-CN"/>
        </w:rPr>
        <w:t>杨吉军</w:t>
      </w:r>
    </w:p>
    <w:p w14:paraId="62592A9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统一社会信用代码：</w:t>
      </w:r>
      <w:r>
        <w:rPr>
          <w:rFonts w:hint="eastAsia" w:ascii="仿宋" w:hAnsi="仿宋" w:eastAsia="仿宋" w:cs="仿宋"/>
          <w:b w:val="0"/>
          <w:bCs w:val="0"/>
          <w:color w:val="0000FF"/>
          <w:sz w:val="28"/>
          <w:szCs w:val="28"/>
          <w:highlight w:val="none"/>
          <w:lang w:val="en-US" w:eastAsia="zh-CN"/>
        </w:rPr>
        <w:t>12431300MB1P52227T</w:t>
      </w:r>
    </w:p>
    <w:p w14:paraId="4CBD473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地址：</w:t>
      </w:r>
      <w:r>
        <w:rPr>
          <w:rFonts w:hint="eastAsia" w:ascii="仿宋" w:hAnsi="仿宋" w:eastAsia="仿宋" w:cs="仿宋"/>
          <w:b w:val="0"/>
          <w:bCs w:val="0"/>
          <w:color w:val="0000FF"/>
          <w:sz w:val="28"/>
          <w:szCs w:val="28"/>
          <w:highlight w:val="none"/>
          <w:lang w:val="en-US" w:eastAsia="zh-CN"/>
        </w:rPr>
        <w:t>娄底市娄星区新星南路5000号</w:t>
      </w:r>
    </w:p>
    <w:p w14:paraId="5D5DCDE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p>
    <w:p w14:paraId="5CF91BA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w:t>
      </w:r>
    </w:p>
    <w:p w14:paraId="5A0E00A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4CA0046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03AE988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05331D0D">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textAlignment w:val="auto"/>
        <w:rPr>
          <w:rFonts w:hint="eastAsia" w:ascii="仿宋" w:hAnsi="仿宋" w:eastAsia="仿宋" w:cs="仿宋"/>
          <w:sz w:val="28"/>
          <w:szCs w:val="28"/>
          <w:lang w:val="en-US" w:eastAsia="zh-CN"/>
        </w:rPr>
      </w:pPr>
    </w:p>
    <w:p w14:paraId="7F79F22F">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方通过医院公开挂网方式采购便民接驳车辆租赁服务，乙方为中标/中选供应商。根据《中华人民共和国民法典》《中华人民共和国政府采购法》等相关法律规定，甲乙双方在采购项目确定的基础上，就采购广州医科大学附属第一医院娄底医院（以下简称娄底医院</w:t>
      </w:r>
      <w:r>
        <w:rPr>
          <w:rFonts w:hint="eastAsia" w:ascii="仿宋" w:hAnsi="仿宋" w:eastAsia="仿宋" w:cs="仿宋"/>
          <w:color w:val="0000FF"/>
          <w:sz w:val="28"/>
          <w:szCs w:val="28"/>
          <w:lang w:val="en-US" w:eastAsia="zh-CN"/>
        </w:rPr>
        <w:t>或甲方</w:t>
      </w:r>
      <w:r>
        <w:rPr>
          <w:rFonts w:hint="eastAsia" w:ascii="仿宋" w:hAnsi="仿宋" w:eastAsia="仿宋" w:cs="仿宋"/>
          <w:sz w:val="28"/>
          <w:szCs w:val="28"/>
          <w:lang w:val="en-US" w:eastAsia="zh-CN"/>
        </w:rPr>
        <w:t>）两院区便民接驳车辆租赁服务相关事宜平等、自愿、公平、诚信协商，达成一致，特订立本合同，以资共同遵守。</w:t>
      </w:r>
    </w:p>
    <w:p w14:paraId="73060AC5">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sz w:val="28"/>
          <w:szCs w:val="28"/>
        </w:rPr>
      </w:pPr>
      <w:r>
        <w:rPr>
          <w:rFonts w:hint="eastAsia" w:ascii="仿宋" w:hAnsi="仿宋" w:eastAsia="仿宋" w:cs="仿宋"/>
          <w:b/>
          <w:bCs/>
          <w:sz w:val="28"/>
          <w:szCs w:val="28"/>
        </w:rPr>
        <w:t xml:space="preserve">第一条 </w:t>
      </w:r>
      <w:r>
        <w:rPr>
          <w:rFonts w:hint="eastAsia" w:ascii="仿宋" w:hAnsi="仿宋" w:eastAsia="仿宋" w:cs="仿宋"/>
          <w:b/>
          <w:bCs/>
          <w:sz w:val="28"/>
          <w:szCs w:val="28"/>
          <w:lang w:val="en-US" w:eastAsia="zh-CN"/>
        </w:rPr>
        <w:t>租赁</w:t>
      </w:r>
      <w:r>
        <w:rPr>
          <w:rFonts w:hint="eastAsia" w:ascii="仿宋" w:hAnsi="仿宋" w:eastAsia="仿宋" w:cs="仿宋"/>
          <w:b/>
          <w:bCs/>
          <w:sz w:val="28"/>
          <w:szCs w:val="28"/>
        </w:rPr>
        <w:t>车辆信息与租赁期限</w:t>
      </w:r>
    </w:p>
    <w:p w14:paraId="0642BA4C">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1.1 乙方提供的车辆基本情况如下：</w:t>
      </w:r>
    </w:p>
    <w:p w14:paraId="36EF3D14">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车牌号码：______________________________</w:t>
      </w:r>
    </w:p>
    <w:p w14:paraId="064C7D60">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车型及座位数：______________________________</w:t>
      </w:r>
    </w:p>
    <w:p w14:paraId="6E8CEFBC">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kern w:val="0"/>
          <w:sz w:val="28"/>
          <w:szCs w:val="28"/>
          <w:lang w:val="en-US" w:eastAsia="zh-CN" w:bidi="ar"/>
        </w:rPr>
        <w:t>车辆状况：</w:t>
      </w:r>
      <w:r>
        <w:rPr>
          <w:rFonts w:hint="eastAsia" w:ascii="仿宋" w:hAnsi="仿宋" w:eastAsia="仿宋" w:cs="仿宋"/>
          <w:color w:val="auto"/>
          <w:kern w:val="0"/>
          <w:sz w:val="28"/>
          <w:szCs w:val="28"/>
          <w:lang w:val="en-US" w:eastAsia="zh-CN" w:bidi="ar"/>
        </w:rPr>
        <w:t>乙方保证车辆车况完好、性能稳定、内饰完好、无安全故障，</w:t>
      </w:r>
      <w:r>
        <w:rPr>
          <w:rFonts w:hint="eastAsia" w:ascii="仿宋" w:hAnsi="仿宋" w:eastAsia="仿宋" w:cs="仿宋"/>
          <w:color w:val="0000FF"/>
          <w:kern w:val="0"/>
          <w:sz w:val="28"/>
          <w:szCs w:val="28"/>
          <w:lang w:val="en-US" w:eastAsia="zh-CN" w:bidi="ar"/>
        </w:rPr>
        <w:t>车辆技术及配置要求应符合或者高于采购需求</w:t>
      </w:r>
      <w:r>
        <w:rPr>
          <w:rFonts w:hint="eastAsia" w:ascii="仿宋" w:hAnsi="仿宋" w:eastAsia="仿宋" w:cs="仿宋"/>
          <w:color w:val="auto"/>
          <w:kern w:val="0"/>
          <w:sz w:val="28"/>
          <w:szCs w:val="28"/>
          <w:lang w:val="en-US" w:eastAsia="zh-CN" w:bidi="ar"/>
        </w:rPr>
        <w:t>，车载设备、应急设施齐全完备，</w:t>
      </w:r>
      <w:r>
        <w:rPr>
          <w:rFonts w:hint="eastAsia" w:ascii="仿宋" w:hAnsi="仿宋" w:eastAsia="仿宋" w:cs="仿宋"/>
          <w:color w:val="0000FF"/>
          <w:kern w:val="0"/>
          <w:sz w:val="28"/>
          <w:szCs w:val="28"/>
          <w:lang w:val="en-US" w:eastAsia="zh-CN" w:bidi="ar"/>
        </w:rPr>
        <w:t>已</w:t>
      </w:r>
      <w:r>
        <w:rPr>
          <w:rFonts w:hint="eastAsia" w:ascii="仿宋" w:hAnsi="仿宋" w:eastAsia="仿宋" w:cs="仿宋"/>
          <w:color w:val="auto"/>
          <w:kern w:val="0"/>
          <w:sz w:val="28"/>
          <w:szCs w:val="28"/>
          <w:lang w:val="en-US" w:eastAsia="zh-CN" w:bidi="ar"/>
        </w:rPr>
        <w:t>通过国家年度检验。乙方须足额投保有效保险，包含：交强险、商业第三者责任险（保额不低于</w:t>
      </w:r>
      <w:r>
        <w:rPr>
          <w:rStyle w:val="19"/>
          <w:rFonts w:hint="eastAsia" w:ascii="仿宋" w:hAnsi="仿宋" w:eastAsia="仿宋" w:cs="仿宋"/>
          <w:color w:val="auto"/>
          <w:kern w:val="0"/>
          <w:sz w:val="28"/>
          <w:szCs w:val="28"/>
          <w:lang w:val="en-US" w:eastAsia="zh-CN" w:bidi="ar"/>
        </w:rPr>
        <w:t>100万元</w:t>
      </w:r>
      <w:r>
        <w:rPr>
          <w:rFonts w:hint="eastAsia" w:ascii="仿宋" w:hAnsi="仿宋" w:eastAsia="仿宋" w:cs="仿宋"/>
          <w:color w:val="auto"/>
          <w:kern w:val="0"/>
          <w:sz w:val="28"/>
          <w:szCs w:val="28"/>
          <w:lang w:val="en-US" w:eastAsia="zh-CN" w:bidi="ar"/>
        </w:rPr>
        <w:t>）、承运人责任险（每座保额不低于</w:t>
      </w:r>
      <w:r>
        <w:rPr>
          <w:rStyle w:val="19"/>
          <w:rFonts w:hint="eastAsia" w:ascii="仿宋" w:hAnsi="仿宋" w:eastAsia="仿宋" w:cs="仿宋"/>
          <w:color w:val="auto"/>
          <w:kern w:val="0"/>
          <w:sz w:val="28"/>
          <w:szCs w:val="28"/>
          <w:lang w:val="en-US" w:eastAsia="zh-CN" w:bidi="ar"/>
        </w:rPr>
        <w:t>30万元</w:t>
      </w:r>
      <w:r>
        <w:rPr>
          <w:rFonts w:hint="eastAsia" w:ascii="仿宋" w:hAnsi="仿宋" w:eastAsia="仿宋" w:cs="仿宋"/>
          <w:color w:val="auto"/>
          <w:kern w:val="0"/>
          <w:sz w:val="28"/>
          <w:szCs w:val="28"/>
          <w:lang w:val="en-US" w:eastAsia="zh-CN" w:bidi="ar"/>
        </w:rPr>
        <w:t>），保险覆盖合同全周期，无脱保、断保情形。</w:t>
      </w:r>
    </w:p>
    <w:p w14:paraId="58727A04">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default" w:ascii="仿宋" w:hAnsi="仿宋" w:eastAsia="仿宋" w:cs="仿宋"/>
          <w:sz w:val="28"/>
          <w:szCs w:val="28"/>
          <w:lang w:val="en-US"/>
        </w:rPr>
      </w:pPr>
      <w:r>
        <w:rPr>
          <w:rFonts w:hint="eastAsia" w:ascii="仿宋" w:hAnsi="仿宋" w:eastAsia="仿宋" w:cs="仿宋"/>
          <w:sz w:val="28"/>
          <w:szCs w:val="28"/>
        </w:rPr>
        <w:t xml:space="preserve">1.2 </w:t>
      </w:r>
      <w:r>
        <w:rPr>
          <w:rFonts w:hint="eastAsia" w:ascii="仿宋" w:hAnsi="仿宋" w:eastAsia="仿宋" w:cs="仿宋"/>
          <w:kern w:val="0"/>
          <w:sz w:val="28"/>
          <w:szCs w:val="28"/>
          <w:lang w:val="en-US" w:eastAsia="zh-CN" w:bidi="ar"/>
        </w:rPr>
        <w:t>租赁服务期限</w:t>
      </w:r>
      <w:r>
        <w:rPr>
          <w:rFonts w:hint="eastAsia" w:ascii="仿宋" w:hAnsi="仿宋" w:eastAsia="仿宋" w:cs="仿宋"/>
          <w:color w:val="FF0000"/>
          <w:kern w:val="0"/>
          <w:sz w:val="28"/>
          <w:szCs w:val="28"/>
          <w:lang w:val="en-US" w:eastAsia="zh-CN" w:bidi="ar"/>
        </w:rPr>
        <w:t>为1年</w:t>
      </w:r>
      <w:r>
        <w:rPr>
          <w:rFonts w:hint="eastAsia" w:ascii="仿宋" w:hAnsi="仿宋" w:eastAsia="仿宋" w:cs="仿宋"/>
          <w:kern w:val="0"/>
          <w:sz w:val="28"/>
          <w:szCs w:val="28"/>
          <w:lang w:val="en-US" w:eastAsia="zh-CN" w:bidi="ar"/>
        </w:rPr>
        <w:t>，</w:t>
      </w:r>
      <w:r>
        <w:rPr>
          <w:rFonts w:hint="eastAsia" w:ascii="仿宋" w:hAnsi="仿宋" w:eastAsia="仿宋" w:cs="仿宋"/>
          <w:color w:val="0000FF"/>
          <w:kern w:val="0"/>
          <w:sz w:val="28"/>
          <w:szCs w:val="28"/>
          <w:lang w:val="en-US" w:eastAsia="zh-CN" w:bidi="ar"/>
        </w:rPr>
        <w:t>自甲方书面通知上所载明的乙方应提供服务之日起计算</w:t>
      </w:r>
      <w:r>
        <w:rPr>
          <w:rFonts w:hint="eastAsia" w:ascii="仿宋" w:hAnsi="仿宋" w:eastAsia="仿宋" w:cs="仿宋"/>
          <w:color w:val="FF0000"/>
          <w:kern w:val="0"/>
          <w:sz w:val="28"/>
          <w:szCs w:val="28"/>
          <w:lang w:val="en-US" w:eastAsia="zh-CN" w:bidi="ar"/>
        </w:rPr>
        <w:t>。</w:t>
      </w:r>
    </w:p>
    <w:p w14:paraId="7448D0D1">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2" w:firstLineChars="200"/>
        <w:jc w:val="both"/>
        <w:textAlignment w:val="auto"/>
        <w:rPr>
          <w:rStyle w:val="19"/>
          <w:rFonts w:hint="eastAsia" w:ascii="仿宋" w:hAnsi="仿宋" w:eastAsia="仿宋" w:cs="仿宋"/>
          <w:kern w:val="0"/>
          <w:sz w:val="28"/>
          <w:szCs w:val="28"/>
          <w:lang w:val="en-US" w:eastAsia="zh-CN" w:bidi="ar"/>
        </w:rPr>
      </w:pPr>
      <w:r>
        <w:rPr>
          <w:rStyle w:val="19"/>
          <w:rFonts w:hint="eastAsia" w:ascii="仿宋" w:hAnsi="仿宋" w:eastAsia="仿宋" w:cs="仿宋"/>
          <w:kern w:val="0"/>
          <w:sz w:val="28"/>
          <w:szCs w:val="28"/>
          <w:lang w:val="en-US" w:eastAsia="zh-CN" w:bidi="ar"/>
        </w:rPr>
        <w:t>第二条 服务标准、</w:t>
      </w:r>
    </w:p>
    <w:p w14:paraId="6B67F560">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Style w:val="19"/>
          <w:rFonts w:hint="default" w:ascii="仿宋" w:hAnsi="仿宋" w:eastAsia="仿宋" w:cs="仿宋"/>
          <w:b w:val="0"/>
          <w:bCs/>
          <w:color w:val="0000FF"/>
          <w:kern w:val="0"/>
          <w:sz w:val="28"/>
          <w:szCs w:val="28"/>
          <w:lang w:val="en-US" w:eastAsia="zh-CN" w:bidi="ar"/>
        </w:rPr>
      </w:pPr>
      <w:r>
        <w:rPr>
          <w:rStyle w:val="19"/>
          <w:rFonts w:hint="eastAsia" w:ascii="仿宋" w:hAnsi="仿宋" w:eastAsia="仿宋" w:cs="仿宋"/>
          <w:b w:val="0"/>
          <w:bCs/>
          <w:color w:val="0000FF"/>
          <w:kern w:val="0"/>
          <w:sz w:val="28"/>
          <w:szCs w:val="28"/>
          <w:lang w:val="en-US" w:eastAsia="zh-CN" w:bidi="ar"/>
        </w:rPr>
        <w:t>乙方为甲方提供合规接驳车辆、持证专职驾驶员、车辆日常维保、全车保险购置、故障应急替换、日常运营配套保障等全部服务内容。服务标准及要求详见采购需求。</w:t>
      </w:r>
    </w:p>
    <w:p w14:paraId="6BB246EF">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sz w:val="28"/>
          <w:szCs w:val="28"/>
        </w:rPr>
      </w:pPr>
      <w:r>
        <w:rPr>
          <w:rStyle w:val="19"/>
          <w:rFonts w:hint="eastAsia" w:ascii="仿宋" w:hAnsi="仿宋" w:eastAsia="仿宋" w:cs="仿宋"/>
          <w:kern w:val="0"/>
          <w:sz w:val="28"/>
          <w:szCs w:val="28"/>
          <w:lang w:val="en-US" w:eastAsia="zh-CN" w:bidi="ar"/>
        </w:rPr>
        <w:t>第三条 班次管理与日常监管</w:t>
      </w:r>
    </w:p>
    <w:p w14:paraId="7F33BFC6">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3.1 行驶路线：固定往返娄底市中心医院院区——广州医科大学附属第一医院娄底医院院区，严格按照甲方指定停靠点上下客，不得随意变更停靠位置。</w:t>
      </w:r>
    </w:p>
    <w:p w14:paraId="26EC042A">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default" w:ascii="仿宋" w:hAnsi="仿宋" w:eastAsia="仿宋" w:cs="仿宋"/>
          <w:sz w:val="28"/>
          <w:szCs w:val="28"/>
          <w:lang w:val="en-US"/>
        </w:rPr>
      </w:pPr>
      <w:r>
        <w:rPr>
          <w:rFonts w:hint="eastAsia" w:ascii="仿宋" w:hAnsi="仿宋" w:eastAsia="仿宋" w:cs="仿宋"/>
          <w:kern w:val="0"/>
          <w:sz w:val="28"/>
          <w:szCs w:val="28"/>
          <w:lang w:val="en-US" w:eastAsia="zh-CN" w:bidi="ar"/>
        </w:rPr>
        <w:t>3.2 基础运营时间及班次要求：</w:t>
      </w:r>
      <w:r>
        <w:rPr>
          <w:rFonts w:hint="eastAsia" w:ascii="仿宋" w:hAnsi="仿宋" w:eastAsia="仿宋" w:cs="仿宋"/>
          <w:color w:val="auto"/>
          <w:sz w:val="28"/>
          <w:szCs w:val="28"/>
          <w:lang w:val="en-US" w:eastAsia="zh-CN"/>
        </w:rPr>
        <w:t>运营班次及中途停靠点按娄底医院规定时间及点位执行（详见</w:t>
      </w:r>
      <w:r>
        <w:rPr>
          <w:rFonts w:hint="eastAsia" w:ascii="仿宋" w:hAnsi="仿宋" w:eastAsia="仿宋" w:cs="仿宋"/>
          <w:color w:val="0000FF"/>
          <w:sz w:val="28"/>
          <w:szCs w:val="28"/>
          <w:lang w:val="en-US" w:eastAsia="zh-CN"/>
        </w:rPr>
        <w:t>《便民接驳服务发车时间表》</w:t>
      </w:r>
      <w:r>
        <w:rPr>
          <w:rFonts w:hint="eastAsia" w:ascii="仿宋" w:hAnsi="仿宋" w:eastAsia="仿宋" w:cs="仿宋"/>
          <w:color w:val="auto"/>
          <w:sz w:val="28"/>
          <w:szCs w:val="28"/>
          <w:lang w:val="en-US" w:eastAsia="zh-CN"/>
        </w:rPr>
        <w:t>），</w:t>
      </w:r>
      <w:r>
        <w:rPr>
          <w:rFonts w:hint="eastAsia" w:ascii="仿宋" w:hAnsi="仿宋" w:eastAsia="仿宋" w:cs="仿宋"/>
          <w:sz w:val="28"/>
          <w:szCs w:val="28"/>
          <w:lang w:val="en-US" w:eastAsia="zh-CN"/>
        </w:rPr>
        <w:t>日常按固定班次往返接驳，乙方需无条件服从甲方班次调整。</w:t>
      </w:r>
    </w:p>
    <w:p w14:paraId="0852FD51">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kern w:val="0"/>
          <w:sz w:val="28"/>
          <w:szCs w:val="28"/>
          <w:lang w:val="en-US" w:eastAsia="zh-CN" w:bidi="ar"/>
        </w:rPr>
        <w:t xml:space="preserve">3.3 </w:t>
      </w:r>
      <w:r>
        <w:rPr>
          <w:rFonts w:hint="eastAsia" w:ascii="仿宋" w:hAnsi="仿宋" w:eastAsia="仿宋" w:cs="仿宋"/>
          <w:color w:val="auto"/>
          <w:kern w:val="0"/>
          <w:sz w:val="28"/>
          <w:szCs w:val="28"/>
          <w:lang w:val="en-US" w:eastAsia="zh-CN" w:bidi="ar"/>
        </w:rPr>
        <w:t>班次监管与考核处罚：</w:t>
      </w:r>
    </w:p>
    <w:p w14:paraId="56385535">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default" w:ascii="仿宋" w:hAnsi="仿宋" w:eastAsia="仿宋" w:cs="仿宋"/>
          <w:color w:val="auto"/>
          <w:sz w:val="28"/>
          <w:szCs w:val="28"/>
          <w:lang w:val="en-US"/>
        </w:rPr>
      </w:pPr>
      <w:r>
        <w:rPr>
          <w:rFonts w:hint="eastAsia" w:ascii="仿宋" w:hAnsi="仿宋" w:eastAsia="仿宋" w:cs="仿宋"/>
          <w:color w:val="auto"/>
          <w:kern w:val="0"/>
          <w:sz w:val="28"/>
          <w:szCs w:val="28"/>
          <w:lang w:val="en-US" w:eastAsia="zh-CN" w:bidi="ar"/>
        </w:rPr>
        <w:t>3.3.1 乙方车辆每台每日必须足额完成不低于6趟往返班次</w:t>
      </w:r>
      <w:r>
        <w:rPr>
          <w:rFonts w:hint="eastAsia" w:ascii="仿宋" w:hAnsi="仿宋" w:eastAsia="仿宋" w:cs="仿宋"/>
          <w:i w:val="0"/>
          <w:iCs w:val="0"/>
          <w:caps w:val="0"/>
          <w:color w:val="auto"/>
          <w:spacing w:val="0"/>
          <w:sz w:val="28"/>
          <w:szCs w:val="28"/>
          <w:shd w:val="clear" w:fill="FFFFFF"/>
          <w:lang w:eastAsia="zh-CN"/>
        </w:rPr>
        <w:t>（</w:t>
      </w:r>
      <w:r>
        <w:rPr>
          <w:rFonts w:hint="eastAsia" w:ascii="仿宋" w:hAnsi="仿宋" w:eastAsia="仿宋" w:cs="仿宋"/>
          <w:i w:val="0"/>
          <w:iCs w:val="0"/>
          <w:caps w:val="0"/>
          <w:color w:val="auto"/>
          <w:spacing w:val="0"/>
          <w:sz w:val="28"/>
          <w:szCs w:val="28"/>
          <w:shd w:val="clear" w:fill="FFFFFF"/>
          <w:lang w:val="en-US" w:eastAsia="zh-CN"/>
        </w:rPr>
        <w:t>12个单边</w:t>
      </w:r>
      <w:r>
        <w:rPr>
          <w:rFonts w:hint="eastAsia" w:ascii="仿宋" w:hAnsi="仿宋" w:eastAsia="仿宋" w:cs="仿宋"/>
          <w:i w:val="0"/>
          <w:iCs w:val="0"/>
          <w:caps w:val="0"/>
          <w:color w:val="auto"/>
          <w:spacing w:val="0"/>
          <w:sz w:val="28"/>
          <w:szCs w:val="28"/>
          <w:shd w:val="clear" w:fill="FFFFFF"/>
          <w:lang w:eastAsia="zh-CN"/>
        </w:rPr>
        <w:t>）</w:t>
      </w:r>
      <w:r>
        <w:rPr>
          <w:rFonts w:hint="eastAsia" w:ascii="仿宋" w:hAnsi="仿宋" w:eastAsia="仿宋" w:cs="仿宋"/>
          <w:color w:val="auto"/>
          <w:kern w:val="0"/>
          <w:sz w:val="28"/>
          <w:szCs w:val="28"/>
          <w:lang w:val="en-US" w:eastAsia="zh-CN" w:bidi="ar"/>
        </w:rPr>
        <w:t>，</w:t>
      </w:r>
      <w:r>
        <w:rPr>
          <w:rFonts w:hint="eastAsia" w:ascii="仿宋" w:hAnsi="仿宋" w:eastAsia="仿宋" w:cs="仿宋"/>
          <w:i w:val="0"/>
          <w:iCs w:val="0"/>
          <w:caps w:val="0"/>
          <w:color w:val="auto"/>
          <w:spacing w:val="0"/>
          <w:kern w:val="2"/>
          <w:sz w:val="28"/>
          <w:szCs w:val="28"/>
          <w:shd w:val="clear" w:fill="FFFFFF"/>
          <w:lang w:val="en-US" w:eastAsia="zh-CN" w:bidi="ar-SA"/>
        </w:rPr>
        <w:t>每班次出车须采用水印相机在指定发车地点及群内完成打卡报备。</w:t>
      </w:r>
      <w:r>
        <w:rPr>
          <w:rFonts w:hint="eastAsia" w:ascii="仿宋" w:hAnsi="仿宋" w:eastAsia="仿宋" w:cs="仿宋"/>
          <w:color w:val="0000FF"/>
          <w:sz w:val="28"/>
          <w:szCs w:val="28"/>
          <w:lang w:val="en-US" w:eastAsia="zh-CN"/>
        </w:rPr>
        <w:t>乙方承诺，如甲方临时增派班次，且甲方通知的拟发车时间不晚于当日18时15分，该增派服务属于本合同约定服务范围，乙方不得另行计费。</w:t>
      </w:r>
    </w:p>
    <w:p w14:paraId="4FA26919">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 xml:space="preserve">3.3.2 </w:t>
      </w:r>
      <w:r>
        <w:rPr>
          <w:rFonts w:hint="eastAsia" w:ascii="仿宋" w:hAnsi="仿宋" w:eastAsia="仿宋" w:cs="仿宋"/>
          <w:i w:val="0"/>
          <w:iCs w:val="0"/>
          <w:caps w:val="0"/>
          <w:color w:val="000000" w:themeColor="text1"/>
          <w:spacing w:val="0"/>
          <w:kern w:val="2"/>
          <w:sz w:val="28"/>
          <w:szCs w:val="28"/>
          <w:shd w:val="clear" w:fill="FFFFFF"/>
          <w:lang w:val="en-US" w:eastAsia="zh-CN" w:bidi="ar-SA"/>
          <w14:textFill>
            <w14:solidFill>
              <w14:schemeClr w14:val="tx1"/>
            </w14:solidFill>
          </w14:textFill>
        </w:rPr>
        <w:t>若因车辆故障、</w:t>
      </w:r>
      <w:r>
        <w:rPr>
          <w:rFonts w:hint="eastAsia" w:ascii="仿宋" w:hAnsi="仿宋" w:eastAsia="仿宋" w:cs="仿宋"/>
          <w:color w:val="0000FF"/>
          <w:sz w:val="28"/>
          <w:szCs w:val="28"/>
          <w:lang w:val="en-US" w:eastAsia="zh-CN"/>
        </w:rPr>
        <w:t>运维疏漏、</w:t>
      </w:r>
      <w:r>
        <w:rPr>
          <w:rFonts w:hint="eastAsia" w:ascii="仿宋" w:hAnsi="仿宋" w:eastAsia="仿宋" w:cs="仿宋"/>
          <w:i w:val="0"/>
          <w:iCs w:val="0"/>
          <w:caps w:val="0"/>
          <w:color w:val="000000" w:themeColor="text1"/>
          <w:spacing w:val="0"/>
          <w:kern w:val="2"/>
          <w:sz w:val="28"/>
          <w:szCs w:val="28"/>
          <w:shd w:val="clear" w:fill="FFFFFF"/>
          <w:lang w:val="en-US" w:eastAsia="zh-CN" w:bidi="ar-SA"/>
          <w14:textFill>
            <w14:solidFill>
              <w14:schemeClr w14:val="tx1"/>
            </w14:solidFill>
          </w14:textFill>
        </w:rPr>
        <w:t>驾驶员管理不当等乙方自身原因造成实际运营趟次未达到约定标准，按照缺失趟次扣减车辆租赁费用，扣减标准为每缺失一趟扣除200元</w:t>
      </w:r>
      <w:r>
        <w:rPr>
          <w:rFonts w:hint="eastAsia" w:ascii="仿宋" w:hAnsi="仿宋" w:eastAsia="仿宋" w:cs="仿宋"/>
          <w:color w:val="000000" w:themeColor="text1"/>
          <w:kern w:val="0"/>
          <w:sz w:val="28"/>
          <w:szCs w:val="28"/>
          <w:lang w:val="en-US" w:eastAsia="zh-CN" w:bidi="ar"/>
          <w14:textFill>
            <w14:solidFill>
              <w14:schemeClr w14:val="tx1"/>
            </w14:solidFill>
          </w14:textFill>
        </w:rPr>
        <w:t>。</w:t>
      </w:r>
      <w:r>
        <w:rPr>
          <w:rFonts w:hint="eastAsia" w:ascii="仿宋" w:hAnsi="仿宋" w:eastAsia="仿宋" w:cs="仿宋"/>
          <w:kern w:val="0"/>
          <w:sz w:val="28"/>
          <w:szCs w:val="28"/>
          <w:lang w:val="en-US" w:eastAsia="zh-CN" w:bidi="ar"/>
        </w:rPr>
        <w:t>单日缺班3趟及以上甲方全额扣除当日</w:t>
      </w:r>
      <w:r>
        <w:rPr>
          <w:rFonts w:hint="eastAsia" w:ascii="仿宋" w:hAnsi="仿宋" w:eastAsia="仿宋" w:cs="仿宋"/>
          <w:color w:val="0000FF"/>
          <w:kern w:val="0"/>
          <w:sz w:val="28"/>
          <w:szCs w:val="28"/>
          <w:lang w:val="en-US" w:eastAsia="zh-CN" w:bidi="ar"/>
        </w:rPr>
        <w:t>合计</w:t>
      </w:r>
      <w:r>
        <w:rPr>
          <w:rFonts w:hint="eastAsia" w:ascii="仿宋" w:hAnsi="仿宋" w:eastAsia="仿宋" w:cs="仿宋"/>
          <w:kern w:val="0"/>
          <w:sz w:val="28"/>
          <w:szCs w:val="28"/>
          <w:lang w:val="en-US" w:eastAsia="zh-CN" w:bidi="ar"/>
        </w:rPr>
        <w:t>租赁费用。</w:t>
      </w:r>
    </w:p>
    <w:p w14:paraId="1FDAA000">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3.3.3 因</w:t>
      </w:r>
      <w:r>
        <w:rPr>
          <w:rFonts w:hint="eastAsia" w:ascii="仿宋" w:hAnsi="仿宋" w:eastAsia="仿宋" w:cs="仿宋"/>
          <w:color w:val="auto"/>
          <w:kern w:val="0"/>
          <w:sz w:val="28"/>
          <w:szCs w:val="28"/>
          <w:u w:val="none"/>
          <w:lang w:val="en-US" w:eastAsia="zh-CN" w:bidi="ar"/>
        </w:rPr>
        <w:t>乙方原因</w:t>
      </w:r>
      <w:r>
        <w:rPr>
          <w:rFonts w:hint="eastAsia" w:ascii="仿宋" w:hAnsi="仿宋" w:eastAsia="仿宋" w:cs="仿宋"/>
          <w:kern w:val="0"/>
          <w:sz w:val="28"/>
          <w:szCs w:val="28"/>
          <w:lang w:val="en-US" w:eastAsia="zh-CN" w:bidi="ar"/>
        </w:rPr>
        <w:t>月度累计缺班、少班次达5次及以上的，甲方有权扣除</w:t>
      </w:r>
      <w:r>
        <w:rPr>
          <w:rFonts w:hint="eastAsia" w:ascii="仿宋" w:hAnsi="仿宋" w:eastAsia="仿宋" w:cs="仿宋"/>
          <w:color w:val="0000FF"/>
          <w:kern w:val="0"/>
          <w:sz w:val="28"/>
          <w:szCs w:val="28"/>
          <w:lang w:val="en-US" w:eastAsia="zh-CN" w:bidi="ar"/>
        </w:rPr>
        <w:t>当月合计租金</w:t>
      </w:r>
      <w:r>
        <w:rPr>
          <w:rFonts w:hint="eastAsia" w:ascii="仿宋" w:hAnsi="仿宋" w:eastAsia="仿宋" w:cs="仿宋"/>
          <w:kern w:val="0"/>
          <w:sz w:val="28"/>
          <w:szCs w:val="28"/>
          <w:lang w:val="en-US" w:eastAsia="zh-CN" w:bidi="ar"/>
        </w:rPr>
        <w:t>的10%，并责令乙方限期整改。</w:t>
      </w:r>
    </w:p>
    <w:p w14:paraId="42BD4B99">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3.4 行驶管控：除极端不可抗力、官方交通管制外，乙方不得擅自变更行驶路线、缩短运营里程、中途甩客、擅自停运，一经发现，甲方有权拒付当日</w:t>
      </w:r>
      <w:r>
        <w:rPr>
          <w:rFonts w:hint="eastAsia" w:ascii="仿宋" w:hAnsi="仿宋" w:eastAsia="仿宋" w:cs="仿宋"/>
          <w:color w:val="0000FF"/>
          <w:kern w:val="0"/>
          <w:sz w:val="28"/>
          <w:szCs w:val="28"/>
          <w:lang w:val="en-US" w:eastAsia="zh-CN" w:bidi="ar"/>
        </w:rPr>
        <w:t>合计</w:t>
      </w:r>
      <w:r>
        <w:rPr>
          <w:rFonts w:hint="eastAsia" w:ascii="仿宋" w:hAnsi="仿宋" w:eastAsia="仿宋" w:cs="仿宋"/>
          <w:kern w:val="0"/>
          <w:sz w:val="28"/>
          <w:szCs w:val="28"/>
          <w:lang w:val="en-US" w:eastAsia="zh-CN" w:bidi="ar"/>
        </w:rPr>
        <w:t>租金并按违约追责。</w:t>
      </w:r>
    </w:p>
    <w:p w14:paraId="1F0E3CB9">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3.5 调度权限：乙方车辆、驾驶员全程服从甲方调度及院内管理制度，严格遵守医院门禁管理、院区限速、行车规范，服从甲方管理人员日常监督、检查、考核。</w:t>
      </w:r>
    </w:p>
    <w:p w14:paraId="7FFAB4BE">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3.6 车辆更换机制：甲方日常巡检发现车辆车况不佳、内饰脏乱、异味严重、设备故障、存在安全隐患的，有权要求乙方</w:t>
      </w:r>
      <w:r>
        <w:rPr>
          <w:rFonts w:hint="eastAsia" w:ascii="仿宋" w:hAnsi="仿宋" w:eastAsia="仿宋" w:cs="仿宋"/>
          <w:color w:val="0000FF"/>
          <w:kern w:val="0"/>
          <w:sz w:val="28"/>
          <w:szCs w:val="28"/>
          <w:lang w:val="en-US" w:eastAsia="zh-CN" w:bidi="ar"/>
        </w:rPr>
        <w:t>在接到甲方通知后30分钟内响应，</w:t>
      </w:r>
      <w:r>
        <w:rPr>
          <w:rStyle w:val="19"/>
          <w:rFonts w:hint="eastAsia" w:ascii="仿宋" w:hAnsi="仿宋" w:eastAsia="仿宋" w:cs="仿宋"/>
          <w:kern w:val="0"/>
          <w:sz w:val="28"/>
          <w:szCs w:val="28"/>
          <w:lang w:val="en-US" w:eastAsia="zh-CN" w:bidi="ar"/>
        </w:rPr>
        <w:t>1小时内完成车辆更换</w:t>
      </w:r>
      <w:r>
        <w:rPr>
          <w:rFonts w:hint="eastAsia" w:ascii="仿宋" w:hAnsi="仿宋" w:eastAsia="仿宋" w:cs="仿宋"/>
          <w:kern w:val="0"/>
          <w:sz w:val="28"/>
          <w:szCs w:val="28"/>
          <w:lang w:val="en-US" w:eastAsia="zh-CN" w:bidi="ar"/>
        </w:rPr>
        <w:t>；乙方无法按时更换或拒绝更换的，甲方可另行临时租车，由此产生的全部费用由乙方全额承担。</w:t>
      </w:r>
    </w:p>
    <w:p w14:paraId="19B21BDB">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sz w:val="28"/>
          <w:szCs w:val="28"/>
        </w:rPr>
      </w:pPr>
      <w:r>
        <w:rPr>
          <w:rStyle w:val="19"/>
          <w:rFonts w:hint="eastAsia" w:ascii="仿宋" w:hAnsi="仿宋" w:eastAsia="仿宋" w:cs="仿宋"/>
          <w:kern w:val="0"/>
          <w:sz w:val="28"/>
          <w:szCs w:val="28"/>
          <w:lang w:val="en-US" w:eastAsia="zh-CN" w:bidi="ar"/>
        </w:rPr>
        <w:t>第四条 保险、交通违法与安全事故责任</w:t>
      </w:r>
    </w:p>
    <w:p w14:paraId="10F6B6BC">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4.1 保险责任：乙方为本合同车辆、驾驶员、乘车人员投保足额合规保险，合同期内全程保持保险有效、无脱保。乙方须在合同签订前向甲方提交行驶证、有效保险单、投保凭证复印件备案。</w:t>
      </w:r>
    </w:p>
    <w:p w14:paraId="44C86788">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kern w:val="0"/>
          <w:sz w:val="28"/>
          <w:szCs w:val="28"/>
          <w:lang w:val="en-US" w:eastAsia="zh-CN" w:bidi="ar"/>
        </w:rPr>
        <w:t>4.2 交通违法责任：服务周期内，车辆产生的所有交通违章、违法停车、超速、闯红灯、违规变道、不按规定线路行驶等违法行为，全部由乙方负责处理、缴纳罚款、消除违法记录，甲方不承担任何费用及责任。因违法未及时处理导致车辆停运、扣分、暂扣证件的，损失由乙方自行承担。</w:t>
      </w:r>
    </w:p>
    <w:p w14:paraId="697E13AD">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4.3 安全事故责任：车辆在行驶、停靠、上下人员、待命全过程中，发生交通事故、车辆损毁、人员受伤、财产损失等所有安全事故，由乙方承担全部法律责任及经济赔偿责任。乙方全权负责事故报警、处置、理赔等工作，甲方配合乙方做好善后安抚等工作。</w:t>
      </w:r>
    </w:p>
    <w:p w14:paraId="36720844">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sz w:val="28"/>
          <w:szCs w:val="28"/>
        </w:rPr>
      </w:pPr>
      <w:r>
        <w:rPr>
          <w:rStyle w:val="19"/>
          <w:rFonts w:hint="eastAsia" w:ascii="仿宋" w:hAnsi="仿宋" w:eastAsia="仿宋" w:cs="仿宋"/>
          <w:kern w:val="0"/>
          <w:sz w:val="28"/>
          <w:szCs w:val="28"/>
          <w:lang w:val="en-US" w:eastAsia="zh-CN" w:bidi="ar"/>
        </w:rPr>
        <w:t>第五条 费用及结算方式</w:t>
      </w:r>
    </w:p>
    <w:p w14:paraId="3F413F83">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5.1 租赁费用标准：</w:t>
      </w:r>
      <w:r>
        <w:rPr>
          <w:rFonts w:hint="eastAsia" w:ascii="仿宋" w:hAnsi="仿宋" w:eastAsia="仿宋" w:cs="仿宋"/>
          <w:color w:val="0000FF"/>
          <w:kern w:val="0"/>
          <w:sz w:val="28"/>
          <w:szCs w:val="28"/>
          <w:lang w:val="en-US" w:eastAsia="zh-CN" w:bidi="ar"/>
        </w:rPr>
        <w:t>每车每日租金为</w:t>
      </w:r>
      <w:r>
        <w:rPr>
          <w:rFonts w:hint="eastAsia" w:ascii="仿宋" w:hAnsi="仿宋" w:eastAsia="仿宋" w:cs="仿宋"/>
          <w:color w:val="0000FF"/>
          <w:kern w:val="0"/>
          <w:sz w:val="28"/>
          <w:szCs w:val="28"/>
          <w:u w:val="single"/>
          <w:lang w:val="en-US" w:eastAsia="zh-CN" w:bidi="ar"/>
        </w:rPr>
        <w:t xml:space="preserve">    </w:t>
      </w:r>
      <w:r>
        <w:rPr>
          <w:rFonts w:hint="eastAsia" w:ascii="仿宋" w:hAnsi="仿宋" w:eastAsia="仿宋" w:cs="仿宋"/>
          <w:color w:val="0000FF"/>
          <w:kern w:val="0"/>
          <w:sz w:val="28"/>
          <w:szCs w:val="28"/>
          <w:u w:val="none"/>
          <w:lang w:val="en-US" w:eastAsia="zh-CN" w:bidi="ar"/>
        </w:rPr>
        <w:t>元整，日租金合计为</w:t>
      </w:r>
      <w:r>
        <w:rPr>
          <w:rFonts w:hint="eastAsia" w:ascii="仿宋" w:hAnsi="仿宋" w:eastAsia="仿宋" w:cs="仿宋"/>
          <w:color w:val="0000FF"/>
          <w:kern w:val="0"/>
          <w:sz w:val="28"/>
          <w:szCs w:val="28"/>
          <w:u w:val="single"/>
          <w:lang w:val="en-US" w:eastAsia="zh-CN" w:bidi="ar"/>
        </w:rPr>
        <w:t xml:space="preserve">     </w:t>
      </w:r>
      <w:r>
        <w:rPr>
          <w:rFonts w:hint="eastAsia" w:ascii="仿宋" w:hAnsi="仿宋" w:eastAsia="仿宋" w:cs="仿宋"/>
          <w:color w:val="0000FF"/>
          <w:kern w:val="0"/>
          <w:sz w:val="28"/>
          <w:szCs w:val="28"/>
          <w:u w:val="none"/>
          <w:lang w:val="en-US" w:eastAsia="zh-CN" w:bidi="ar"/>
        </w:rPr>
        <w:t>元整，年租金总计为</w:t>
      </w:r>
      <w:r>
        <w:rPr>
          <w:rFonts w:hint="eastAsia" w:ascii="仿宋" w:hAnsi="仿宋" w:eastAsia="仿宋" w:cs="仿宋"/>
          <w:color w:val="0000FF"/>
          <w:kern w:val="0"/>
          <w:sz w:val="28"/>
          <w:szCs w:val="28"/>
          <w:u w:val="single"/>
          <w:lang w:val="en-US" w:eastAsia="zh-CN" w:bidi="ar"/>
        </w:rPr>
        <w:t xml:space="preserve">     </w:t>
      </w:r>
      <w:r>
        <w:rPr>
          <w:rFonts w:hint="eastAsia" w:ascii="仿宋" w:hAnsi="仿宋" w:eastAsia="仿宋" w:cs="仿宋"/>
          <w:color w:val="0000FF"/>
          <w:kern w:val="0"/>
          <w:sz w:val="28"/>
          <w:szCs w:val="28"/>
          <w:u w:val="none"/>
          <w:lang w:val="en-US" w:eastAsia="zh-CN" w:bidi="ar"/>
        </w:rPr>
        <w:t>元整</w:t>
      </w:r>
      <w:r>
        <w:rPr>
          <w:rFonts w:hint="eastAsia" w:ascii="仿宋" w:hAnsi="仿宋" w:eastAsia="仿宋" w:cs="仿宋"/>
          <w:color w:val="0000FF"/>
          <w:kern w:val="0"/>
          <w:sz w:val="28"/>
          <w:szCs w:val="28"/>
          <w:lang w:val="en-US" w:eastAsia="zh-CN" w:bidi="ar"/>
        </w:rPr>
        <w:t>。</w:t>
      </w:r>
      <w:r>
        <w:rPr>
          <w:rFonts w:hint="eastAsia" w:ascii="仿宋" w:hAnsi="仿宋" w:eastAsia="仿宋" w:cs="仿宋"/>
          <w:kern w:val="0"/>
          <w:sz w:val="28"/>
          <w:szCs w:val="28"/>
          <w:lang w:val="en-US" w:eastAsia="zh-CN" w:bidi="ar"/>
        </w:rPr>
        <w:t>本价格为固定包干总价，包含车辆</w:t>
      </w:r>
      <w:r>
        <w:rPr>
          <w:rFonts w:hint="eastAsia" w:ascii="仿宋" w:hAnsi="仿宋" w:eastAsia="仿宋" w:cs="仿宋"/>
          <w:color w:val="0000FF"/>
          <w:kern w:val="0"/>
          <w:sz w:val="28"/>
          <w:szCs w:val="28"/>
          <w:lang w:val="en-US" w:eastAsia="zh-CN" w:bidi="ar"/>
        </w:rPr>
        <w:t>租赁</w:t>
      </w:r>
      <w:r>
        <w:rPr>
          <w:rFonts w:hint="eastAsia" w:ascii="仿宋" w:hAnsi="仿宋" w:eastAsia="仿宋" w:cs="仿宋"/>
          <w:kern w:val="0"/>
          <w:sz w:val="28"/>
          <w:szCs w:val="28"/>
          <w:lang w:val="en-US" w:eastAsia="zh-CN" w:bidi="ar"/>
        </w:rPr>
        <w:t>费、</w:t>
      </w:r>
      <w:r>
        <w:rPr>
          <w:rFonts w:hint="eastAsia" w:ascii="仿宋" w:hAnsi="仿宋" w:eastAsia="仿宋" w:cs="仿宋"/>
          <w:color w:val="0000FF"/>
          <w:kern w:val="0"/>
          <w:sz w:val="28"/>
          <w:szCs w:val="28"/>
          <w:lang w:val="en-US" w:eastAsia="zh-CN" w:bidi="ar"/>
        </w:rPr>
        <w:t>车辆折旧损耗、</w:t>
      </w:r>
      <w:r>
        <w:rPr>
          <w:rFonts w:hint="eastAsia" w:ascii="仿宋" w:hAnsi="仿宋" w:eastAsia="仿宋" w:cs="仿宋"/>
          <w:kern w:val="0"/>
          <w:sz w:val="28"/>
          <w:szCs w:val="28"/>
          <w:lang w:val="en-US" w:eastAsia="zh-CN" w:bidi="ar"/>
        </w:rPr>
        <w:t>维修费、保养费、保险费、燃油费、年检费、耗材费、</w:t>
      </w:r>
      <w:r>
        <w:rPr>
          <w:rFonts w:hint="eastAsia" w:ascii="仿宋" w:hAnsi="仿宋" w:eastAsia="仿宋" w:cs="仿宋"/>
          <w:color w:val="0000FF"/>
          <w:kern w:val="0"/>
          <w:sz w:val="28"/>
          <w:szCs w:val="28"/>
          <w:lang w:val="en-US" w:eastAsia="zh-CN" w:bidi="ar"/>
        </w:rPr>
        <w:t>维保配件费、</w:t>
      </w:r>
      <w:r>
        <w:rPr>
          <w:rFonts w:hint="eastAsia" w:ascii="仿宋" w:hAnsi="仿宋" w:eastAsia="仿宋" w:cs="仿宋"/>
          <w:color w:val="0000FF"/>
          <w:sz w:val="28"/>
          <w:szCs w:val="28"/>
          <w:lang w:val="en-US" w:eastAsia="zh-CN"/>
        </w:rPr>
        <w:t>故障替换车使用费、事故赔偿金、</w:t>
      </w:r>
      <w:r>
        <w:rPr>
          <w:rFonts w:hint="eastAsia" w:ascii="仿宋" w:hAnsi="仿宋" w:eastAsia="仿宋" w:cs="仿宋"/>
          <w:kern w:val="0"/>
          <w:sz w:val="28"/>
          <w:szCs w:val="28"/>
          <w:lang w:val="en-US" w:eastAsia="zh-CN" w:bidi="ar"/>
        </w:rPr>
        <w:t>税费、安全防护、日常保洁、应急处置及驾驶员工资</w:t>
      </w:r>
      <w:r>
        <w:rPr>
          <w:rFonts w:hint="eastAsia" w:ascii="仿宋" w:hAnsi="仿宋" w:eastAsia="仿宋" w:cs="仿宋"/>
          <w:color w:val="0000FF"/>
          <w:sz w:val="28"/>
          <w:szCs w:val="28"/>
          <w:lang w:val="en-US" w:eastAsia="zh-CN"/>
        </w:rPr>
        <w:t>社保、福利、培训费</w:t>
      </w:r>
      <w:r>
        <w:rPr>
          <w:rFonts w:hint="eastAsia" w:ascii="仿宋" w:hAnsi="仿宋" w:eastAsia="仿宋" w:cs="仿宋"/>
          <w:kern w:val="0"/>
          <w:sz w:val="28"/>
          <w:szCs w:val="28"/>
          <w:lang w:val="en-US" w:eastAsia="zh-CN" w:bidi="ar"/>
        </w:rPr>
        <w:t>等合同履约全部费用，甲方无任何额外增补费用。</w:t>
      </w:r>
    </w:p>
    <w:p w14:paraId="22B9F0FA">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5.2 结算周期：甲乙双方按</w:t>
      </w:r>
      <w:r>
        <w:rPr>
          <w:rStyle w:val="19"/>
          <w:rFonts w:hint="eastAsia" w:ascii="仿宋" w:hAnsi="仿宋" w:eastAsia="仿宋" w:cs="仿宋"/>
          <w:kern w:val="0"/>
          <w:sz w:val="28"/>
          <w:szCs w:val="28"/>
          <w:lang w:val="en-US" w:eastAsia="zh-CN" w:bidi="ar"/>
        </w:rPr>
        <w:t>季度</w:t>
      </w:r>
      <w:r>
        <w:rPr>
          <w:rFonts w:hint="eastAsia" w:ascii="仿宋" w:hAnsi="仿宋" w:eastAsia="仿宋" w:cs="仿宋"/>
          <w:kern w:val="0"/>
          <w:sz w:val="28"/>
          <w:szCs w:val="28"/>
          <w:lang w:val="en-US" w:eastAsia="zh-CN" w:bidi="ar"/>
        </w:rPr>
        <w:t>结算。每</w:t>
      </w:r>
      <w:r>
        <w:rPr>
          <w:rFonts w:hint="eastAsia" w:ascii="仿宋" w:hAnsi="仿宋" w:eastAsia="仿宋" w:cs="仿宋"/>
          <w:color w:val="0000FF"/>
          <w:kern w:val="0"/>
          <w:sz w:val="28"/>
          <w:szCs w:val="28"/>
          <w:lang w:val="en-US" w:eastAsia="zh-CN" w:bidi="ar"/>
        </w:rPr>
        <w:t>合同</w:t>
      </w:r>
      <w:r>
        <w:rPr>
          <w:rFonts w:hint="eastAsia" w:ascii="仿宋" w:hAnsi="仿宋" w:eastAsia="仿宋" w:cs="仿宋"/>
          <w:kern w:val="0"/>
          <w:sz w:val="28"/>
          <w:szCs w:val="28"/>
          <w:lang w:val="en-US" w:eastAsia="zh-CN" w:bidi="ar"/>
        </w:rPr>
        <w:t>季度届满后7日内，乙方凭</w:t>
      </w:r>
      <w:r>
        <w:rPr>
          <w:rFonts w:hint="eastAsia" w:ascii="仿宋" w:hAnsi="仿宋" w:eastAsia="仿宋" w:cs="仿宋"/>
          <w:color w:val="000000" w:themeColor="text1"/>
          <w:kern w:val="0"/>
          <w:sz w:val="28"/>
          <w:szCs w:val="28"/>
          <w:lang w:val="en-US" w:eastAsia="zh-CN" w:bidi="ar"/>
          <w14:textFill>
            <w14:solidFill>
              <w14:schemeClr w14:val="tx1"/>
            </w14:solidFill>
          </w14:textFill>
        </w:rPr>
        <w:t>每日趟次打卡统计表与甲</w:t>
      </w:r>
      <w:r>
        <w:rPr>
          <w:rFonts w:hint="eastAsia" w:ascii="仿宋" w:hAnsi="仿宋" w:eastAsia="仿宋" w:cs="仿宋"/>
          <w:kern w:val="0"/>
          <w:sz w:val="28"/>
          <w:szCs w:val="28"/>
          <w:lang w:val="en-US" w:eastAsia="zh-CN" w:bidi="ar"/>
        </w:rPr>
        <w:t>方核对结算；核对无误后，乙方开具合规等额增值税普通发票，甲方在结算完成、收到合规发票后30日内一次性</w:t>
      </w:r>
      <w:r>
        <w:rPr>
          <w:rFonts w:hint="eastAsia" w:ascii="仿宋" w:hAnsi="仿宋" w:eastAsia="仿宋" w:cs="仿宋"/>
          <w:color w:val="0000FF"/>
          <w:kern w:val="0"/>
          <w:sz w:val="28"/>
          <w:szCs w:val="28"/>
          <w:lang w:val="en-US" w:eastAsia="zh-CN" w:bidi="ar"/>
        </w:rPr>
        <w:t>向乙方</w:t>
      </w:r>
      <w:r>
        <w:rPr>
          <w:rFonts w:hint="eastAsia" w:ascii="仿宋" w:hAnsi="仿宋" w:eastAsia="仿宋" w:cs="仿宋"/>
          <w:kern w:val="0"/>
          <w:sz w:val="28"/>
          <w:szCs w:val="28"/>
          <w:lang w:val="en-US" w:eastAsia="zh-CN" w:bidi="ar"/>
        </w:rPr>
        <w:t>支付结算价款。</w:t>
      </w:r>
    </w:p>
    <w:p w14:paraId="5C4197FA">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5.3 乙方指定收款银行账户的开户名：</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；开户银行：</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；账号：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 xml:space="preserve">。  </w:t>
      </w:r>
    </w:p>
    <w:p w14:paraId="6EAA7C81">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5.4 乙方应在甲方每次付款前，向甲方提供以乙方自己名义开具的与结算价款等额的增值税普通发票；如乙方未及时提供发票，甲方有权顺延付款，由此产生的责任均由乙方自行承担。</w:t>
      </w:r>
    </w:p>
    <w:p w14:paraId="21BD1D1E">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sz w:val="28"/>
          <w:szCs w:val="28"/>
        </w:rPr>
      </w:pPr>
      <w:r>
        <w:rPr>
          <w:rStyle w:val="19"/>
          <w:rFonts w:hint="eastAsia" w:ascii="仿宋" w:hAnsi="仿宋" w:eastAsia="仿宋" w:cs="仿宋"/>
          <w:kern w:val="0"/>
          <w:sz w:val="28"/>
          <w:szCs w:val="28"/>
          <w:lang w:val="en-US" w:eastAsia="zh-CN" w:bidi="ar"/>
        </w:rPr>
        <w:t>第六条 甲方权利与义务</w:t>
      </w:r>
    </w:p>
    <w:p w14:paraId="61BB6C58">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6.1 甲方有权对乙方车辆车况、车容车貌、卫生环境、驾驶员仪容仪表、服务态度、发车准点率、班次完成情况、安全操作规范进行全程监督、日常考核。</w:t>
      </w:r>
    </w:p>
    <w:p w14:paraId="013F373C">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6.2 甲方发现乙方服务不达标、班次不足、卫生脏乱、违规驾驶、存在安全隐患的，有权下发整改通知，乙方须在</w:t>
      </w:r>
      <w:r>
        <w:rPr>
          <w:rStyle w:val="19"/>
          <w:rFonts w:hint="eastAsia" w:ascii="仿宋" w:hAnsi="仿宋" w:eastAsia="仿宋" w:cs="仿宋"/>
          <w:color w:val="000000" w:themeColor="text1"/>
          <w:kern w:val="0"/>
          <w:sz w:val="28"/>
          <w:szCs w:val="28"/>
          <w:lang w:val="en-US" w:eastAsia="zh-CN" w:bidi="ar"/>
          <w14:textFill>
            <w14:solidFill>
              <w14:schemeClr w14:val="tx1"/>
            </w14:solidFill>
          </w14:textFill>
        </w:rPr>
        <w:t>1日内完成全部整改</w:t>
      </w:r>
      <w:r>
        <w:rPr>
          <w:rFonts w:hint="eastAsia" w:ascii="仿宋" w:hAnsi="仿宋" w:eastAsia="仿宋" w:cs="仿宋"/>
          <w:color w:val="000000" w:themeColor="text1"/>
          <w:kern w:val="0"/>
          <w:sz w:val="28"/>
          <w:szCs w:val="28"/>
          <w:lang w:val="en-US" w:eastAsia="zh-CN" w:bidi="ar"/>
          <w14:textFill>
            <w14:solidFill>
              <w14:schemeClr w14:val="tx1"/>
            </w14:solidFill>
          </w14:textFill>
        </w:rPr>
        <w:t>，</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逾期未整改的</w:t>
      </w:r>
      <w:r>
        <w:rPr>
          <w:rFonts w:hint="eastAsia" w:ascii="仿宋" w:hAnsi="仿宋" w:eastAsia="仿宋" w:cs="仿宋"/>
          <w:color w:val="0000FF"/>
          <w:kern w:val="0"/>
          <w:sz w:val="28"/>
          <w:szCs w:val="28"/>
          <w:highlight w:val="none"/>
          <w:lang w:val="en-US" w:eastAsia="zh-CN" w:bidi="ar"/>
        </w:rPr>
        <w:t>，甲方有权追究乙方的违约责任</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w:t>
      </w:r>
    </w:p>
    <w:p w14:paraId="25C4F3E0">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kern w:val="0"/>
          <w:sz w:val="28"/>
          <w:szCs w:val="28"/>
          <w:u w:val="none"/>
          <w:lang w:val="en-US" w:eastAsia="zh-CN" w:bidi="ar"/>
        </w:rPr>
      </w:pPr>
      <w:r>
        <w:rPr>
          <w:rFonts w:hint="eastAsia" w:ascii="仿宋" w:hAnsi="仿宋" w:eastAsia="仿宋" w:cs="仿宋"/>
          <w:kern w:val="0"/>
          <w:sz w:val="28"/>
          <w:szCs w:val="28"/>
          <w:u w:val="none"/>
          <w:lang w:val="en-US" w:eastAsia="zh-CN" w:bidi="ar"/>
        </w:rPr>
        <w:t>6.3 甲方负责统筹两院区便民接驳车辆调度工作，统一向乙方发布常态化发车时刻表及临时应急接驳通知，应急通知发车时间不晚于当日18:15。</w:t>
      </w:r>
    </w:p>
    <w:p w14:paraId="13EC8F54">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 xml:space="preserve">6.4 </w:t>
      </w:r>
      <w:r>
        <w:rPr>
          <w:rFonts w:hint="eastAsia" w:ascii="仿宋" w:hAnsi="仿宋" w:eastAsia="仿宋" w:cs="仿宋"/>
          <w:i w:val="0"/>
          <w:iCs w:val="0"/>
          <w:caps w:val="0"/>
          <w:color w:val="auto"/>
          <w:spacing w:val="0"/>
          <w:kern w:val="2"/>
          <w:sz w:val="28"/>
          <w:szCs w:val="28"/>
          <w:shd w:val="clear" w:fill="FFFFFF"/>
          <w:lang w:val="en-US" w:eastAsia="zh-CN" w:bidi="ar-SA"/>
        </w:rPr>
        <w:t>因甲方院区运营调整、病患转诊需求变化、院区整合、政策调整、重大医疗工作安排等采购人自身原因，甲方有权单方面调整每日接驳发车时间、临时缩减运营班次、阶段性暂停接驳服务或提前终止本项目服务。项目实施过程中，若甲方因自身及其他原因提前终止项目，甲方提前5个工作日以书面形式通知乙方，</w:t>
      </w:r>
      <w:r>
        <w:rPr>
          <w:rFonts w:hint="eastAsia" w:ascii="仿宋" w:hAnsi="仿宋" w:eastAsia="仿宋" w:cs="仿宋"/>
          <w:i w:val="0"/>
          <w:iCs w:val="0"/>
          <w:caps w:val="0"/>
          <w:color w:val="0000FF"/>
          <w:spacing w:val="0"/>
          <w:kern w:val="2"/>
          <w:sz w:val="28"/>
          <w:szCs w:val="28"/>
          <w:shd w:val="clear" w:fill="FFFFFF"/>
          <w:lang w:val="en-US" w:eastAsia="zh-CN" w:bidi="ar-SA"/>
        </w:rPr>
        <w:t>乙方应无条件接受，</w:t>
      </w:r>
      <w:r>
        <w:rPr>
          <w:rFonts w:hint="eastAsia" w:ascii="仿宋" w:hAnsi="仿宋" w:eastAsia="仿宋" w:cs="仿宋"/>
          <w:i w:val="0"/>
          <w:iCs w:val="0"/>
          <w:caps w:val="0"/>
          <w:color w:val="auto"/>
          <w:spacing w:val="0"/>
          <w:kern w:val="2"/>
          <w:sz w:val="28"/>
          <w:szCs w:val="28"/>
          <w:shd w:val="clear" w:fill="FFFFFF"/>
          <w:lang w:val="en-US" w:eastAsia="zh-CN" w:bidi="ar-SA"/>
        </w:rPr>
        <w:t>双方按实际服务周期据实结清费用，甲方无需承担任何违约责任及其他经济赔偿等责任。</w:t>
      </w:r>
    </w:p>
    <w:p w14:paraId="6C002324">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6.5 甲方按合同约定及时完成对账、结算及付款工作。</w:t>
      </w:r>
    </w:p>
    <w:p w14:paraId="1BBC560B">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i w:val="0"/>
          <w:iCs w:val="0"/>
          <w:caps w:val="0"/>
          <w:color w:val="auto"/>
          <w:spacing w:val="0"/>
          <w:kern w:val="2"/>
          <w:sz w:val="28"/>
          <w:szCs w:val="28"/>
          <w:shd w:val="clear" w:fill="FFFFFF"/>
          <w:lang w:val="en-US" w:eastAsia="zh-CN" w:bidi="ar-SA"/>
        </w:rPr>
      </w:pPr>
      <w:r>
        <w:rPr>
          <w:rFonts w:hint="eastAsia" w:ascii="仿宋" w:hAnsi="仿宋" w:eastAsia="仿宋" w:cs="仿宋"/>
          <w:i w:val="0"/>
          <w:iCs w:val="0"/>
          <w:caps w:val="0"/>
          <w:color w:val="auto"/>
          <w:spacing w:val="0"/>
          <w:kern w:val="2"/>
          <w:sz w:val="28"/>
          <w:szCs w:val="28"/>
          <w:shd w:val="clear" w:fill="FFFFFF"/>
          <w:lang w:val="en-US" w:eastAsia="zh-CN" w:bidi="ar-SA"/>
        </w:rPr>
        <w:t>6.6 甲方负责划定便民接驳车院内周转、停靠点位，保障车辆停靠、周转场地安全有序、通行便捷，满足日常接驳及通行需求。</w:t>
      </w:r>
    </w:p>
    <w:p w14:paraId="77CB9073">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sz w:val="28"/>
          <w:szCs w:val="28"/>
        </w:rPr>
      </w:pPr>
      <w:r>
        <w:rPr>
          <w:rStyle w:val="19"/>
          <w:rFonts w:hint="eastAsia" w:ascii="仿宋" w:hAnsi="仿宋" w:eastAsia="仿宋" w:cs="仿宋"/>
          <w:kern w:val="0"/>
          <w:sz w:val="28"/>
          <w:szCs w:val="28"/>
          <w:lang w:val="en-US" w:eastAsia="zh-CN" w:bidi="ar"/>
        </w:rPr>
        <w:t>第七条 乙方权利与义务</w:t>
      </w:r>
    </w:p>
    <w:p w14:paraId="6D8FE1D7">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7.1 乙方须提供证照齐全、车况合格、保险足额的合规车辆，配备持有效驾驶证、从业资格证、驾驶经验丰富、无重大交通事故记录的专职驾驶员，持证上岗、合规运营。</w:t>
      </w:r>
    </w:p>
    <w:p w14:paraId="07347C4D">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7.2 乙方严格遵守国家交通法规及甲方院内管理制度，严禁违规驾驶、疲劳驾驶、超速行驶、违规载客，杜绝一切安全隐患。</w:t>
      </w:r>
    </w:p>
    <w:p w14:paraId="07E14D85">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7.3 乙方负责车辆日常维保、定期安检、清洁消杀，保持车辆内外干净整洁、无异味、无杂物，符合医院卫生及院感管理要求；驾驶员统一着装、文明服务、礼貌待客，保障转诊患者舒适、安全出行。</w:t>
      </w:r>
    </w:p>
    <w:p w14:paraId="1342A659">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FF"/>
          <w:kern w:val="0"/>
          <w:sz w:val="28"/>
          <w:szCs w:val="28"/>
          <w:lang w:val="en-US" w:eastAsia="zh-CN" w:bidi="ar"/>
        </w:rPr>
      </w:pPr>
      <w:r>
        <w:rPr>
          <w:rFonts w:hint="eastAsia" w:ascii="仿宋" w:hAnsi="仿宋" w:eastAsia="仿宋" w:cs="仿宋"/>
          <w:color w:val="0000FF"/>
          <w:kern w:val="0"/>
          <w:sz w:val="28"/>
          <w:szCs w:val="28"/>
          <w:lang w:val="en-US" w:eastAsia="zh-CN" w:bidi="ar"/>
        </w:rPr>
        <w:t>7.4 乙方须建立完善的车辆运营台账体系，包含每日出车检查、收车复检台账、日常维保台账、季度体检台账、故障处置台账等，台账记录真实完整、可追溯，随时接受甲方及行业主管部门检查。</w:t>
      </w:r>
    </w:p>
    <w:p w14:paraId="5A845277">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default" w:ascii="仿宋" w:hAnsi="仿宋" w:eastAsia="仿宋" w:cs="仿宋"/>
          <w:color w:val="0000FF"/>
          <w:kern w:val="0"/>
          <w:sz w:val="28"/>
          <w:szCs w:val="28"/>
          <w:lang w:val="en-US" w:eastAsia="zh-CN" w:bidi="ar"/>
        </w:rPr>
      </w:pPr>
      <w:r>
        <w:rPr>
          <w:rFonts w:hint="eastAsia" w:ascii="仿宋" w:hAnsi="仿宋" w:eastAsia="仿宋" w:cs="仿宋"/>
          <w:color w:val="0000FF"/>
          <w:kern w:val="0"/>
          <w:sz w:val="28"/>
          <w:szCs w:val="28"/>
          <w:lang w:val="en-US" w:eastAsia="zh-CN" w:bidi="ar"/>
        </w:rPr>
        <w:t>7.5 乙方须开展常态化车辆安全排查，每月日常巡检、每季度开展全面车辆安全体检，及时排查整改安全隐患，建立完整安全管理台账，杜绝带病营运。</w:t>
      </w:r>
    </w:p>
    <w:p w14:paraId="59116AC3">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7.6 乙方所有违章、事故、投诉、服务纠纷、行政处罚等全部风险及损失由乙方独立承担，与甲方无涉。</w:t>
      </w:r>
    </w:p>
    <w:p w14:paraId="23674F79">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7.7 乙方不得擅自转包、分包、转借本项目服务，不得私自更换没有签订劳动协议的驾驶员、更换车辆，如需变更须提前书面报备甲方并经甲方同意。</w:t>
      </w:r>
    </w:p>
    <w:p w14:paraId="3DEBE99B">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val="en-US" w:eastAsia="zh-CN"/>
        </w:rPr>
        <w:t>八</w:t>
      </w:r>
      <w:r>
        <w:rPr>
          <w:rFonts w:hint="eastAsia" w:ascii="仿宋" w:hAnsi="仿宋" w:eastAsia="仿宋" w:cs="仿宋"/>
          <w:b/>
          <w:bCs/>
          <w:sz w:val="28"/>
          <w:szCs w:val="28"/>
        </w:rPr>
        <w:t xml:space="preserve">条 </w:t>
      </w:r>
      <w:r>
        <w:rPr>
          <w:rFonts w:hint="eastAsia" w:ascii="仿宋" w:hAnsi="仿宋" w:eastAsia="仿宋" w:cs="仿宋"/>
          <w:b/>
          <w:bCs/>
          <w:sz w:val="28"/>
          <w:szCs w:val="28"/>
          <w:lang w:val="en-US" w:eastAsia="zh-CN"/>
        </w:rPr>
        <w:t>风险</w:t>
      </w:r>
      <w:r>
        <w:rPr>
          <w:rFonts w:hint="eastAsia" w:ascii="仿宋" w:hAnsi="仿宋" w:eastAsia="仿宋" w:cs="仿宋"/>
          <w:b/>
          <w:bCs/>
          <w:sz w:val="28"/>
          <w:szCs w:val="28"/>
        </w:rPr>
        <w:t>承担</w:t>
      </w:r>
    </w:p>
    <w:p w14:paraId="26E7643F">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8.1 免责约定：仅因乙方车辆故障、维保疏漏、保险脱保、驾驶员操作不当、服务不规范等乙方过错原因，给</w:t>
      </w:r>
      <w:r>
        <w:rPr>
          <w:rFonts w:hint="eastAsia" w:ascii="仿宋" w:hAnsi="仿宋" w:eastAsia="仿宋" w:cs="仿宋"/>
          <w:color w:val="0000FF"/>
          <w:kern w:val="0"/>
          <w:sz w:val="28"/>
          <w:szCs w:val="28"/>
          <w:lang w:val="en-US" w:eastAsia="zh-CN" w:bidi="ar"/>
        </w:rPr>
        <w:t>甲方、乙方、</w:t>
      </w:r>
      <w:r>
        <w:rPr>
          <w:rFonts w:hint="eastAsia" w:ascii="仿宋" w:hAnsi="仿宋" w:eastAsia="仿宋" w:cs="仿宋"/>
          <w:kern w:val="0"/>
          <w:sz w:val="28"/>
          <w:szCs w:val="28"/>
          <w:lang w:val="en-US" w:eastAsia="zh-CN" w:bidi="ar"/>
        </w:rPr>
        <w:t>乘车人员及第三方造成人身伤亡、财产损失或不良影响的，全部责任由乙方独立承担。因</w:t>
      </w:r>
      <w:r>
        <w:rPr>
          <w:rFonts w:hint="eastAsia" w:ascii="仿宋" w:hAnsi="仿宋" w:eastAsia="仿宋" w:cs="仿宋"/>
          <w:color w:val="FF0000"/>
          <w:kern w:val="0"/>
          <w:sz w:val="28"/>
          <w:szCs w:val="28"/>
          <w:lang w:val="en-US" w:eastAsia="zh-CN" w:bidi="ar"/>
        </w:rPr>
        <w:t>乘车人员</w:t>
      </w:r>
      <w:r>
        <w:rPr>
          <w:rFonts w:hint="eastAsia" w:ascii="仿宋" w:hAnsi="仿宋" w:eastAsia="仿宋" w:cs="仿宋"/>
          <w:kern w:val="0"/>
          <w:sz w:val="28"/>
          <w:szCs w:val="28"/>
          <w:lang w:val="en-US" w:eastAsia="zh-CN" w:bidi="ar"/>
        </w:rPr>
        <w:t>自身健康原因、自身过错行为等非乙方原因造成的人身伤亡、财产损失及不良影响，乙方不承担任何责任。</w:t>
      </w:r>
    </w:p>
    <w:p w14:paraId="331CB9B1">
      <w:pPr>
        <w:keepNext w:val="0"/>
        <w:keepLines w:val="0"/>
        <w:pageBreakBefore w:val="0"/>
        <w:widowControl w:val="0"/>
        <w:suppressLineNumbers w:val="0"/>
        <w:kinsoku/>
        <w:wordWrap w:val="0"/>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kern w:val="0"/>
          <w:sz w:val="28"/>
          <w:szCs w:val="28"/>
          <w:lang w:val="en-US" w:eastAsia="zh-CN" w:bidi="ar"/>
        </w:rPr>
        <w:t>8.2 追偿约定：若甲方因乙方服务瑕疵、违规行为、安全事故被投诉、追责、行政处罚、卷入诉讼纠纷的，甲方由此产生的罚款、赔偿金、诉讼费、律师费、舆情处置费、名誉损失等全部经济损失，均由乙方全额赔付。</w:t>
      </w:r>
    </w:p>
    <w:p w14:paraId="7646CDD1">
      <w:pPr>
        <w:keepNext w:val="0"/>
        <w:keepLines w:val="0"/>
        <w:pageBreakBefore w:val="0"/>
        <w:widowControl w:val="0"/>
        <w:numPr>
          <w:ilvl w:val="0"/>
          <w:numId w:val="0"/>
        </w:numPr>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廉洁条款</w:t>
      </w:r>
    </w:p>
    <w:p w14:paraId="7A098AB8">
      <w:pPr>
        <w:keepNext w:val="0"/>
        <w:keepLines w:val="0"/>
        <w:pageBreakBefore w:val="0"/>
        <w:widowControl w:val="0"/>
        <w:numPr>
          <w:ilvl w:val="0"/>
          <w:numId w:val="0"/>
        </w:numPr>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9.1 乙方应严格遵守国家相关法律法规，涉及合同的有关业务活动必须坚持公开、公平、公正、诚信原则，不得为获取不正当利益，损害国家、集体和甲方利益。</w:t>
      </w:r>
    </w:p>
    <w:p w14:paraId="3DAF271A">
      <w:pPr>
        <w:keepNext w:val="0"/>
        <w:keepLines w:val="0"/>
        <w:pageBreakBefore w:val="0"/>
        <w:widowControl w:val="0"/>
        <w:numPr>
          <w:ilvl w:val="0"/>
          <w:numId w:val="0"/>
        </w:numPr>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9.2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624AA95">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保密条款</w:t>
      </w:r>
    </w:p>
    <w:p w14:paraId="4882B922">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本合同订立、履行、变更等产生的研究、商讨、交流等信息，履行本合同获悉的甲方商业秘密、运营信息、工作人员信息、患陪个人信息等，均属保密信息。</w:t>
      </w:r>
    </w:p>
    <w:p w14:paraId="29357894">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乙方应对保密信息采取有效手段严格保密，不得用于非本合同之目的或向第三方泄露。如政府部门、法院或其他有权部门要求乙方提供保密信息，乙方应当立即向甲方通报。</w:t>
      </w:r>
    </w:p>
    <w:p w14:paraId="021CAD7B">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因乙方未履行本合同保密义务造成甲方或第三方损失的，由乙方承担全部赔偿责任。</w:t>
      </w:r>
    </w:p>
    <w:p w14:paraId="60066196">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本合同保密条款在合同被认定无效、被撤销或终止、解除后仍然有效。</w:t>
      </w:r>
    </w:p>
    <w:p w14:paraId="6D941EA2">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第十一条 通知与送达</w:t>
      </w:r>
    </w:p>
    <w:p w14:paraId="41C177A0">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11.1 甲乙双方同意，与本合同有关的任何文书，应以书面方式按照本合同约定发送，书面方式包括手机短信、微信、书面函件、电子邮件等形式。</w:t>
      </w:r>
    </w:p>
    <w:p w14:paraId="27C98A90">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11.2 双方确认的文书（包括未来可能发生的诉讼或仲裁活动中法院或仲裁机构的送达法律文书）送达地址：</w:t>
      </w:r>
    </w:p>
    <w:p w14:paraId="612B595E">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11.2.1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娄底市中心医院总务科</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李正红</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13973808816</w:t>
      </w:r>
      <w:bookmarkStart w:id="4" w:name="_GoBack"/>
      <w:bookmarkEnd w:id="4"/>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5CA669A7">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11.2.2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01D1CF6C">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11.3 上述通知应被视为在下列时间送达：以快递或专人发送的，在收件人签收之日或拒收之日；以挂号邮件发出的，在发出之日起7个工作日；以电子邮件发出的，在电子邮件进入收件方电子邮箱服务器之日。</w:t>
      </w:r>
    </w:p>
    <w:p w14:paraId="3E442530">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11.4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D8898B0">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第十二条 合同的变更、解除</w:t>
      </w:r>
    </w:p>
    <w:p w14:paraId="367CE3FE">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sz w:val="28"/>
          <w:szCs w:val="28"/>
          <w:lang w:val="en-US" w:eastAsia="zh-CN"/>
        </w:rPr>
        <w:t xml:space="preserve">12.1 </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本合同经双方协商一致后可以变更，未尽事宜双方应另行签订补充协议。</w:t>
      </w:r>
    </w:p>
    <w:p w14:paraId="0180F18D">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12.2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乙方出现以下违约情形之一的，甲方有权先行书面催告整改，逾期未整改或整改不合格的，甲方可单方解除本合同：</w:t>
      </w:r>
    </w:p>
    <w:p w14:paraId="6C13A085">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12.2.1</w:t>
      </w:r>
      <w:r>
        <w:rPr>
          <w:rFonts w:hint="eastAsia" w:ascii="仿宋" w:hAnsi="仿宋" w:eastAsia="仿宋" w:cs="仿宋"/>
          <w:color w:val="000000" w:themeColor="text1"/>
          <w:sz w:val="28"/>
          <w:szCs w:val="28"/>
          <w:highlight w:val="none"/>
          <w14:textFill>
            <w14:solidFill>
              <w14:schemeClr w14:val="tx1"/>
            </w14:solidFill>
          </w14:textFill>
        </w:rPr>
        <w:t xml:space="preserve"> 无正当理由连续</w:t>
      </w:r>
      <w:r>
        <w:rPr>
          <w:rFonts w:hint="eastAsia" w:ascii="仿宋" w:hAnsi="仿宋" w:eastAsia="仿宋" w:cs="仿宋"/>
          <w:color w:val="000000" w:themeColor="text1"/>
          <w:sz w:val="28"/>
          <w:szCs w:val="28"/>
          <w:highlight w:val="none"/>
          <w:u w:val="single"/>
          <w14:textFill>
            <w14:solidFill>
              <w14:schemeClr w14:val="tx1"/>
            </w14:solidFill>
          </w14:textFill>
        </w:rPr>
        <w:t xml:space="preserve"> 3 </w:t>
      </w:r>
      <w:r>
        <w:rPr>
          <w:rFonts w:hint="eastAsia" w:ascii="仿宋" w:hAnsi="仿宋" w:eastAsia="仿宋" w:cs="仿宋"/>
          <w:color w:val="000000" w:themeColor="text1"/>
          <w:sz w:val="28"/>
          <w:szCs w:val="28"/>
          <w:highlight w:val="none"/>
          <w14:textFill>
            <w14:solidFill>
              <w14:schemeClr w14:val="tx1"/>
            </w14:solidFill>
          </w14:textFill>
        </w:rPr>
        <w:t>日或累计</w:t>
      </w:r>
      <w:r>
        <w:rPr>
          <w:rFonts w:hint="eastAsia" w:ascii="仿宋" w:hAnsi="仿宋" w:eastAsia="仿宋" w:cs="仿宋"/>
          <w:color w:val="000000" w:themeColor="text1"/>
          <w:sz w:val="28"/>
          <w:szCs w:val="28"/>
          <w:highlight w:val="none"/>
          <w:u w:val="single"/>
          <w14:textFill>
            <w14:solidFill>
              <w14:schemeClr w14:val="tx1"/>
            </w14:solidFill>
          </w14:textFill>
        </w:rPr>
        <w:t xml:space="preserve"> 5 </w:t>
      </w:r>
      <w:r>
        <w:rPr>
          <w:rFonts w:hint="eastAsia" w:ascii="仿宋" w:hAnsi="仿宋" w:eastAsia="仿宋" w:cs="仿宋"/>
          <w:color w:val="000000" w:themeColor="text1"/>
          <w:sz w:val="28"/>
          <w:szCs w:val="28"/>
          <w:highlight w:val="none"/>
          <w14:textFill>
            <w14:solidFill>
              <w14:schemeClr w14:val="tx1"/>
            </w14:solidFill>
          </w14:textFill>
        </w:rPr>
        <w:t>日未按约定提供服务（含停运、拒服务、擅自撤场）的，</w:t>
      </w:r>
      <w:r>
        <w:rPr>
          <w:rFonts w:hint="eastAsia" w:ascii="仿宋" w:hAnsi="仿宋" w:eastAsia="仿宋" w:cs="仿宋"/>
          <w:color w:val="000000" w:themeColor="text1"/>
          <w:sz w:val="28"/>
          <w:szCs w:val="28"/>
          <w:highlight w:val="none"/>
          <w:lang w:val="en-US" w:eastAsia="zh-CN"/>
          <w14:textFill>
            <w14:solidFill>
              <w14:schemeClr w14:val="tx1"/>
            </w14:solidFill>
          </w14:textFill>
        </w:rPr>
        <w:t>因</w:t>
      </w:r>
      <w:r>
        <w:rPr>
          <w:rFonts w:hint="eastAsia" w:ascii="仿宋" w:hAnsi="仿宋" w:eastAsia="仿宋" w:cs="仿宋"/>
          <w:color w:val="000000" w:themeColor="text1"/>
          <w:sz w:val="28"/>
          <w:szCs w:val="28"/>
          <w:highlight w:val="none"/>
          <w14:textFill>
            <w14:solidFill>
              <w14:schemeClr w14:val="tx1"/>
            </w14:solidFill>
          </w14:textFill>
        </w:rPr>
        <w:t>不可抗力、甲方原因、政策管控</w:t>
      </w:r>
      <w:r>
        <w:rPr>
          <w:rFonts w:hint="eastAsia" w:ascii="仿宋" w:hAnsi="仿宋" w:eastAsia="仿宋" w:cs="仿宋"/>
          <w:color w:val="000000" w:themeColor="text1"/>
          <w:sz w:val="28"/>
          <w:szCs w:val="28"/>
          <w:highlight w:val="none"/>
          <w:lang w:val="en-US" w:eastAsia="zh-CN"/>
          <w14:textFill>
            <w14:solidFill>
              <w14:schemeClr w14:val="tx1"/>
            </w14:solidFill>
          </w14:textFill>
        </w:rPr>
        <w:t>造成的</w:t>
      </w:r>
      <w:r>
        <w:rPr>
          <w:rFonts w:hint="eastAsia" w:ascii="仿宋" w:hAnsi="仿宋" w:eastAsia="仿宋" w:cs="仿宋"/>
          <w:color w:val="000000" w:themeColor="text1"/>
          <w:sz w:val="28"/>
          <w:szCs w:val="28"/>
          <w:highlight w:val="none"/>
          <w14:textFill>
            <w14:solidFill>
              <w14:schemeClr w14:val="tx1"/>
            </w14:solidFill>
          </w14:textFill>
        </w:rPr>
        <w:t>除外；</w:t>
      </w:r>
    </w:p>
    <w:p w14:paraId="4844F5CB">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12.2.2 </w:t>
      </w:r>
      <w:r>
        <w:rPr>
          <w:rFonts w:hint="eastAsia" w:ascii="仿宋" w:hAnsi="仿宋" w:eastAsia="仿宋" w:cs="仿宋"/>
          <w:color w:val="000000" w:themeColor="text1"/>
          <w:sz w:val="28"/>
          <w:szCs w:val="28"/>
          <w:highlight w:val="none"/>
          <w14:textFill>
            <w14:solidFill>
              <w14:schemeClr w14:val="tx1"/>
            </w14:solidFill>
          </w14:textFill>
        </w:rPr>
        <w:t>因乙方管理原因，月度累计延迟、漏服务达到</w:t>
      </w:r>
      <w:r>
        <w:rPr>
          <w:rFonts w:hint="eastAsia" w:ascii="仿宋" w:hAnsi="仿宋" w:eastAsia="仿宋" w:cs="仿宋"/>
          <w:color w:val="000000" w:themeColor="text1"/>
          <w:sz w:val="28"/>
          <w:szCs w:val="28"/>
          <w:highlight w:val="none"/>
          <w:lang w:val="en-US" w:eastAsia="zh-CN"/>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次以上，且影响医院正常运行的；</w:t>
      </w:r>
    </w:p>
    <w:p w14:paraId="43299BCA">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12.2.3</w:t>
      </w:r>
      <w:r>
        <w:rPr>
          <w:rFonts w:hint="eastAsia" w:ascii="仿宋" w:hAnsi="仿宋" w:eastAsia="仿宋" w:cs="仿宋"/>
          <w:color w:val="000000" w:themeColor="text1"/>
          <w:sz w:val="28"/>
          <w:szCs w:val="28"/>
          <w:highlight w:val="none"/>
          <w14:textFill>
            <w14:solidFill>
              <w14:schemeClr w14:val="tx1"/>
            </w14:solidFill>
          </w14:textFill>
        </w:rPr>
        <w:t>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w:t>
      </w:r>
      <w:r>
        <w:rPr>
          <w:rFonts w:hint="eastAsia" w:ascii="仿宋" w:hAnsi="仿宋" w:eastAsia="仿宋" w:cs="仿宋"/>
          <w:color w:val="auto"/>
          <w:sz w:val="28"/>
          <w:szCs w:val="28"/>
          <w:highlight w:val="none"/>
        </w:rPr>
        <w:t>三方；</w:t>
      </w:r>
    </w:p>
    <w:p w14:paraId="0230C089">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auto"/>
          <w:sz w:val="28"/>
          <w:szCs w:val="28"/>
          <w:highlight w:val="none"/>
          <w:lang w:val="en-US" w:eastAsia="zh-CN"/>
        </w:rPr>
        <w:t xml:space="preserve">12.2.4 </w:t>
      </w:r>
      <w:r>
        <w:rPr>
          <w:rFonts w:hint="eastAsia" w:ascii="仿宋" w:hAnsi="仿宋" w:eastAsia="仿宋" w:cs="仿宋"/>
          <w:color w:val="auto"/>
          <w:sz w:val="28"/>
          <w:szCs w:val="28"/>
        </w:rPr>
        <w:t>乙方出现车况严重不符</w:t>
      </w:r>
      <w:r>
        <w:rPr>
          <w:rFonts w:hint="eastAsia" w:ascii="仿宋" w:hAnsi="仿宋" w:eastAsia="仿宋" w:cs="仿宋"/>
          <w:color w:val="auto"/>
          <w:sz w:val="28"/>
          <w:szCs w:val="28"/>
          <w:lang w:val="en-US" w:eastAsia="zh-CN"/>
        </w:rPr>
        <w:t>拒不更换或</w:t>
      </w:r>
      <w:r>
        <w:rPr>
          <w:rFonts w:hint="eastAsia" w:ascii="仿宋" w:hAnsi="仿宋" w:eastAsia="仿宋" w:cs="仿宋"/>
          <w:color w:val="auto"/>
          <w:sz w:val="28"/>
          <w:szCs w:val="28"/>
        </w:rPr>
        <w:t>发生重大</w:t>
      </w:r>
      <w:r>
        <w:rPr>
          <w:rFonts w:hint="eastAsia" w:ascii="仿宋" w:hAnsi="仿宋" w:eastAsia="仿宋" w:cs="仿宋"/>
          <w:sz w:val="28"/>
          <w:szCs w:val="28"/>
        </w:rPr>
        <w:t>安全事故</w:t>
      </w:r>
      <w:r>
        <w:rPr>
          <w:rFonts w:hint="eastAsia" w:ascii="仿宋" w:hAnsi="仿宋" w:eastAsia="仿宋" w:cs="仿宋"/>
          <w:sz w:val="28"/>
          <w:szCs w:val="28"/>
          <w:lang w:val="en-US" w:eastAsia="zh-CN"/>
        </w:rPr>
        <w:t>的；</w:t>
      </w:r>
    </w:p>
    <w:p w14:paraId="1032F1E6">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12.2.5 乙方月度服务存在违反本合同约定情形，连续两个月经甲方书面督促整改后仍拒不整改或整改不到位、服务问题持续</w:t>
      </w:r>
      <w:r>
        <w:rPr>
          <w:rFonts w:hint="eastAsia" w:ascii="仿宋" w:hAnsi="仿宋" w:eastAsia="仿宋" w:cs="仿宋"/>
          <w:color w:val="0000FF"/>
          <w:sz w:val="28"/>
          <w:szCs w:val="28"/>
          <w:highlight w:val="none"/>
          <w:lang w:val="en-US" w:eastAsia="zh-CN"/>
        </w:rPr>
        <w:t>存在</w:t>
      </w:r>
      <w:r>
        <w:rPr>
          <w:rFonts w:hint="eastAsia" w:ascii="仿宋" w:hAnsi="仿宋" w:eastAsia="仿宋" w:cs="仿宋"/>
          <w:color w:val="000000" w:themeColor="text1"/>
          <w:sz w:val="28"/>
          <w:szCs w:val="28"/>
          <w:highlight w:val="none"/>
          <w:lang w:val="en-US" w:eastAsia="zh-CN"/>
          <w14:textFill>
            <w14:solidFill>
              <w14:schemeClr w14:val="tx1"/>
            </w14:solidFill>
          </w14:textFill>
        </w:rPr>
        <w:t>的。</w:t>
      </w:r>
    </w:p>
    <w:p w14:paraId="00856E9D">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12.2.6 </w:t>
      </w:r>
      <w:r>
        <w:rPr>
          <w:rFonts w:hint="eastAsia" w:ascii="仿宋" w:hAnsi="仿宋" w:eastAsia="仿宋" w:cs="仿宋"/>
          <w:color w:val="000000" w:themeColor="text1"/>
          <w:sz w:val="28"/>
          <w:szCs w:val="28"/>
          <w:highlight w:val="none"/>
          <w14:textFill>
            <w14:solidFill>
              <w14:schemeClr w14:val="tx1"/>
            </w14:solidFill>
          </w14:textFill>
        </w:rPr>
        <w:t>其他根本违约的情形。</w:t>
      </w:r>
    </w:p>
    <w:p w14:paraId="57D2FC25">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sz w:val="28"/>
          <w:szCs w:val="28"/>
        </w:rPr>
      </w:pPr>
      <w:r>
        <w:rPr>
          <w:rFonts w:hint="eastAsia" w:ascii="仿宋" w:hAnsi="仿宋" w:eastAsia="仿宋" w:cs="仿宋"/>
          <w:b/>
          <w:bCs/>
          <w:sz w:val="28"/>
          <w:szCs w:val="28"/>
          <w:lang w:val="en-US" w:eastAsia="zh-CN"/>
        </w:rPr>
        <w:t>第十三条 违约责任</w:t>
      </w:r>
    </w:p>
    <w:p w14:paraId="70F54459">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13.1 </w:t>
      </w:r>
      <w:r>
        <w:rPr>
          <w:rFonts w:hint="eastAsia" w:ascii="仿宋" w:hAnsi="仿宋" w:eastAsia="仿宋" w:cs="仿宋"/>
          <w:sz w:val="28"/>
          <w:szCs w:val="28"/>
        </w:rPr>
        <w:t>如乙方未</w:t>
      </w:r>
      <w:r>
        <w:rPr>
          <w:rFonts w:hint="eastAsia" w:ascii="仿宋" w:hAnsi="仿宋" w:eastAsia="仿宋" w:cs="仿宋"/>
          <w:sz w:val="28"/>
          <w:szCs w:val="28"/>
          <w:lang w:val="en-US" w:eastAsia="zh-CN"/>
        </w:rPr>
        <w:t>按本合同约定履行服务（包括但不限于</w:t>
      </w:r>
      <w:r>
        <w:rPr>
          <w:rFonts w:hint="eastAsia" w:ascii="仿宋" w:hAnsi="仿宋" w:eastAsia="仿宋" w:cs="仿宋"/>
          <w:sz w:val="28"/>
          <w:szCs w:val="28"/>
        </w:rPr>
        <w:t>停运、拒载或擅自撤回车辆</w:t>
      </w:r>
      <w:r>
        <w:rPr>
          <w:rFonts w:hint="eastAsia" w:ascii="仿宋" w:hAnsi="仿宋" w:eastAsia="仿宋" w:cs="仿宋"/>
          <w:sz w:val="28"/>
          <w:szCs w:val="28"/>
          <w:lang w:val="en-US" w:eastAsia="zh-CN"/>
        </w:rPr>
        <w:t>）</w:t>
      </w:r>
      <w:r>
        <w:rPr>
          <w:rFonts w:hint="eastAsia" w:ascii="仿宋" w:hAnsi="仿宋" w:eastAsia="仿宋" w:cs="仿宋"/>
          <w:sz w:val="28"/>
          <w:szCs w:val="28"/>
        </w:rPr>
        <w:t>，</w:t>
      </w:r>
      <w:r>
        <w:rPr>
          <w:rFonts w:hint="eastAsia" w:ascii="仿宋" w:hAnsi="仿宋" w:eastAsia="仿宋" w:cs="仿宋"/>
          <w:color w:val="0000FF"/>
          <w:sz w:val="28"/>
          <w:szCs w:val="28"/>
          <w:lang w:val="en-US" w:eastAsia="zh-CN"/>
        </w:rPr>
        <w:t>甲方有权按本合同第三条约定扣除相应费用，且</w:t>
      </w:r>
      <w:r>
        <w:rPr>
          <w:rFonts w:hint="eastAsia" w:ascii="仿宋" w:hAnsi="仿宋" w:eastAsia="仿宋" w:cs="仿宋"/>
          <w:sz w:val="28"/>
          <w:szCs w:val="28"/>
          <w:lang w:val="en-US" w:eastAsia="zh-CN"/>
        </w:rPr>
        <w:t>乙方</w:t>
      </w:r>
      <w:r>
        <w:rPr>
          <w:rFonts w:hint="eastAsia" w:ascii="仿宋" w:hAnsi="仿宋" w:eastAsia="仿宋" w:cs="仿宋"/>
          <w:sz w:val="28"/>
          <w:szCs w:val="28"/>
        </w:rPr>
        <w:t>应赔偿甲方因此造成的</w:t>
      </w:r>
      <w:r>
        <w:rPr>
          <w:rFonts w:hint="eastAsia" w:ascii="仿宋" w:hAnsi="仿宋" w:eastAsia="仿宋" w:cs="仿宋"/>
          <w:sz w:val="28"/>
          <w:szCs w:val="28"/>
          <w:lang w:val="en-US" w:eastAsia="zh-CN"/>
        </w:rPr>
        <w:t>全部经济</w:t>
      </w:r>
      <w:r>
        <w:rPr>
          <w:rFonts w:hint="eastAsia" w:ascii="仿宋" w:hAnsi="仿宋" w:eastAsia="仿宋" w:cs="仿宋"/>
          <w:sz w:val="28"/>
          <w:szCs w:val="28"/>
        </w:rPr>
        <w:t>损失。</w:t>
      </w:r>
    </w:p>
    <w:p w14:paraId="45D7C06C">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lang w:val="en-US" w:eastAsia="zh-CN"/>
        </w:rPr>
        <w:t>13.2</w:t>
      </w:r>
      <w:r>
        <w:rPr>
          <w:rFonts w:hint="eastAsia" w:ascii="仿宋" w:hAnsi="仿宋" w:eastAsia="仿宋" w:cs="仿宋"/>
          <w:sz w:val="28"/>
          <w:szCs w:val="28"/>
        </w:rPr>
        <w:t xml:space="preserve"> 如乙方单方解除合同</w:t>
      </w:r>
      <w:r>
        <w:rPr>
          <w:rFonts w:hint="eastAsia" w:ascii="仿宋" w:hAnsi="仿宋" w:eastAsia="仿宋" w:cs="仿宋"/>
          <w:color w:val="000000" w:themeColor="text1"/>
          <w:sz w:val="28"/>
          <w:szCs w:val="28"/>
          <w14:textFill>
            <w14:solidFill>
              <w14:schemeClr w14:val="tx1"/>
            </w14:solidFill>
          </w14:textFill>
        </w:rPr>
        <w:t>或甲方因</w:t>
      </w:r>
      <w:r>
        <w:rPr>
          <w:rFonts w:hint="eastAsia" w:ascii="仿宋" w:hAnsi="仿宋" w:eastAsia="仿宋" w:cs="仿宋"/>
          <w:color w:val="000000" w:themeColor="text1"/>
          <w:sz w:val="28"/>
          <w:szCs w:val="28"/>
          <w:lang w:val="en-US" w:eastAsia="zh-CN"/>
          <w14:textFill>
            <w14:solidFill>
              <w14:schemeClr w14:val="tx1"/>
            </w14:solidFill>
          </w14:textFill>
        </w:rPr>
        <w:t>12.2情形</w:t>
      </w:r>
      <w:r>
        <w:rPr>
          <w:rFonts w:hint="eastAsia" w:ascii="仿宋" w:hAnsi="仿宋" w:eastAsia="仿宋" w:cs="仿宋"/>
          <w:color w:val="000000" w:themeColor="text1"/>
          <w:sz w:val="28"/>
          <w:szCs w:val="28"/>
          <w14:textFill>
            <w14:solidFill>
              <w14:schemeClr w14:val="tx1"/>
            </w14:solidFill>
          </w14:textFill>
        </w:rPr>
        <w:t>解除合同，乙方应赔偿给甲方造成的全部经济损失，并</w:t>
      </w:r>
      <w:r>
        <w:rPr>
          <w:rFonts w:hint="eastAsia" w:ascii="仿宋" w:hAnsi="仿宋" w:eastAsia="仿宋" w:cs="仿宋"/>
          <w:color w:val="000000" w:themeColor="text1"/>
          <w:sz w:val="28"/>
          <w:szCs w:val="28"/>
          <w:lang w:val="en-US" w:eastAsia="zh-CN"/>
          <w14:textFill>
            <w14:solidFill>
              <w14:schemeClr w14:val="tx1"/>
            </w14:solidFill>
          </w14:textFill>
        </w:rPr>
        <w:t>向</w:t>
      </w:r>
      <w:r>
        <w:rPr>
          <w:rFonts w:hint="eastAsia" w:ascii="仿宋" w:hAnsi="仿宋" w:eastAsia="仿宋" w:cs="仿宋"/>
          <w:color w:val="000000" w:themeColor="text1"/>
          <w:sz w:val="28"/>
          <w:szCs w:val="28"/>
          <w14:textFill>
            <w14:solidFill>
              <w14:schemeClr w14:val="tx1"/>
            </w14:solidFill>
          </w14:textFill>
        </w:rPr>
        <w:t>甲方支付违约金</w:t>
      </w:r>
      <w:r>
        <w:rPr>
          <w:rFonts w:hint="eastAsia" w:ascii="仿宋" w:hAnsi="仿宋" w:eastAsia="仿宋" w:cs="仿宋"/>
          <w:color w:val="0000FF"/>
          <w:sz w:val="28"/>
          <w:szCs w:val="28"/>
          <w:lang w:val="en-US" w:eastAsia="zh-CN"/>
        </w:rPr>
        <w:t>壹拾万元整</w:t>
      </w:r>
      <w:r>
        <w:rPr>
          <w:rFonts w:hint="eastAsia" w:ascii="仿宋" w:hAnsi="仿宋" w:eastAsia="仿宋" w:cs="仿宋"/>
          <w:color w:val="000000" w:themeColor="text1"/>
          <w:sz w:val="28"/>
          <w:szCs w:val="28"/>
          <w:u w:val="none"/>
          <w:lang w:val="en-US" w:eastAsia="zh-CN"/>
          <w14:textFill>
            <w14:solidFill>
              <w14:schemeClr w14:val="tx1"/>
            </w14:solidFill>
          </w14:textFill>
        </w:rPr>
        <w:t>（100000.00元）</w:t>
      </w:r>
      <w:r>
        <w:rPr>
          <w:rFonts w:hint="eastAsia" w:ascii="仿宋" w:hAnsi="仿宋" w:eastAsia="仿宋" w:cs="仿宋"/>
          <w:color w:val="000000" w:themeColor="text1"/>
          <w:sz w:val="28"/>
          <w:szCs w:val="28"/>
          <w14:textFill>
            <w14:solidFill>
              <w14:schemeClr w14:val="tx1"/>
            </w14:solidFill>
          </w14:textFill>
        </w:rPr>
        <w:t>。</w:t>
      </w:r>
    </w:p>
    <w:p w14:paraId="0C6677E8">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sz w:val="28"/>
          <w:szCs w:val="28"/>
          <w:u w:val="single"/>
          <w:lang w:val="en-US" w:eastAsia="zh-CN"/>
        </w:rPr>
      </w:pPr>
      <w:r>
        <w:rPr>
          <w:rFonts w:hint="eastAsia" w:ascii="仿宋" w:hAnsi="仿宋" w:eastAsia="仿宋" w:cs="仿宋"/>
          <w:b/>
          <w:bCs/>
          <w:color w:val="000000" w:themeColor="text1"/>
          <w:sz w:val="28"/>
          <w:szCs w:val="28"/>
          <w:u w:val="single"/>
          <w:lang w:val="en-US" w:eastAsia="zh-CN"/>
          <w14:textFill>
            <w14:solidFill>
              <w14:schemeClr w14:val="tx1"/>
            </w14:solidFill>
          </w14:textFill>
        </w:rPr>
        <w:t>13.3 无论甲方在任意时候（不限于本合同履行期间）发现存在违反本合同廉洁条款的行为，乙方均须向甲方一次性支付惩罚性违约金</w:t>
      </w:r>
      <w:r>
        <w:rPr>
          <w:rFonts w:hint="eastAsia" w:ascii="仿宋" w:hAnsi="仿宋" w:eastAsia="仿宋" w:cs="仿宋"/>
          <w:b/>
          <w:bCs/>
          <w:color w:val="0000FF"/>
          <w:sz w:val="28"/>
          <w:szCs w:val="28"/>
          <w:u w:val="single"/>
          <w:lang w:val="en-US" w:eastAsia="zh-CN"/>
        </w:rPr>
        <w:t>伍万</w:t>
      </w:r>
      <w:r>
        <w:rPr>
          <w:rFonts w:hint="eastAsia" w:ascii="仿宋" w:hAnsi="仿宋" w:eastAsia="仿宋" w:cs="仿宋"/>
          <w:b/>
          <w:bCs/>
          <w:color w:val="000000" w:themeColor="text1"/>
          <w:sz w:val="28"/>
          <w:szCs w:val="28"/>
          <w:u w:val="single"/>
          <w:lang w:val="en-US" w:eastAsia="zh-CN"/>
          <w14:textFill>
            <w14:solidFill>
              <w14:schemeClr w14:val="tx1"/>
            </w14:solidFill>
          </w14:textFill>
        </w:rPr>
        <w:t>元整（50000.00元）。如乙方除需承担违反廉洁条款的违约责任外，同时存在其他违约行为，乙</w:t>
      </w:r>
      <w:r>
        <w:rPr>
          <w:rFonts w:hint="eastAsia" w:ascii="仿宋" w:hAnsi="仿宋" w:eastAsia="仿宋" w:cs="仿宋"/>
          <w:b/>
          <w:bCs/>
          <w:sz w:val="28"/>
          <w:szCs w:val="28"/>
          <w:u w:val="single"/>
          <w:lang w:val="en-US" w:eastAsia="zh-CN"/>
        </w:rPr>
        <w:t>方仍须就其他违约行为承担相应违约责任。</w:t>
      </w:r>
    </w:p>
    <w:p w14:paraId="7B426720">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sz w:val="28"/>
          <w:szCs w:val="28"/>
          <w:u w:val="single"/>
          <w:lang w:val="en-US" w:eastAsia="zh-CN"/>
        </w:rPr>
      </w:pPr>
      <w:r>
        <w:rPr>
          <w:rFonts w:hint="eastAsia" w:ascii="仿宋" w:hAnsi="仿宋" w:eastAsia="仿宋" w:cs="仿宋"/>
          <w:b/>
          <w:bCs/>
          <w:sz w:val="28"/>
          <w:szCs w:val="28"/>
          <w:u w:val="single"/>
          <w:lang w:val="en-US" w:eastAsia="zh-CN"/>
        </w:rPr>
        <w:t>13.4 依据本合同约定乙方应支付给甲方的违约金，甲方有权在应支付给乙方的任意价款中直接予以扣除，如扣除部分不足，乙方应在接到甲方通知后3日内补足。</w:t>
      </w:r>
    </w:p>
    <w:p w14:paraId="301E06B4">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十四</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59AC7B87">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14.1 本合同适用中华人民共和国法律，并按其解释。</w:t>
      </w:r>
    </w:p>
    <w:p w14:paraId="78A7F14F">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w:t>
      </w:r>
      <w:r>
        <w:rPr>
          <w:rFonts w:hint="eastAsia" w:ascii="仿宋" w:hAnsi="仿宋" w:eastAsia="仿宋" w:cs="仿宋"/>
          <w:color w:val="000000" w:themeColor="text1"/>
          <w:sz w:val="28"/>
          <w:szCs w:val="28"/>
          <w:highlight w:val="none"/>
          <w:lang w:eastAsia="zh-CN"/>
          <w14:textFill>
            <w14:solidFill>
              <w14:schemeClr w14:val="tx1"/>
            </w14:solidFill>
          </w14:textFill>
        </w:rPr>
        <w:t>任意</w:t>
      </w:r>
      <w:r>
        <w:rPr>
          <w:rFonts w:hint="eastAsia" w:ascii="仿宋" w:hAnsi="仿宋" w:eastAsia="仿宋" w:cs="仿宋"/>
          <w:color w:val="000000" w:themeColor="text1"/>
          <w:sz w:val="28"/>
          <w:szCs w:val="28"/>
          <w:highlight w:val="none"/>
          <w14:textFill>
            <w14:solidFill>
              <w14:schemeClr w14:val="tx1"/>
            </w14:solidFill>
          </w14:textFill>
        </w:rPr>
        <w:t>一方均可向</w:t>
      </w:r>
      <w:r>
        <w:rPr>
          <w:rFonts w:hint="eastAsia" w:ascii="仿宋" w:hAnsi="仿宋" w:eastAsia="仿宋" w:cs="仿宋"/>
          <w:color w:val="FF0000"/>
          <w:sz w:val="28"/>
          <w:szCs w:val="28"/>
          <w:highlight w:val="none"/>
        </w:rPr>
        <w:t>甲方</w:t>
      </w:r>
      <w:r>
        <w:rPr>
          <w:rFonts w:hint="eastAsia" w:ascii="仿宋" w:hAnsi="仿宋" w:eastAsia="仿宋" w:cs="仿宋"/>
          <w:color w:val="FF0000"/>
          <w:sz w:val="28"/>
          <w:szCs w:val="28"/>
          <w:highlight w:val="none"/>
          <w:lang w:val="en-US" w:eastAsia="zh-CN"/>
        </w:rPr>
        <w:t>住所地有管辖权</w:t>
      </w:r>
      <w:r>
        <w:rPr>
          <w:rFonts w:hint="eastAsia" w:ascii="仿宋" w:hAnsi="仿宋" w:eastAsia="仿宋" w:cs="仿宋"/>
          <w:color w:val="000000" w:themeColor="text1"/>
          <w:sz w:val="28"/>
          <w:szCs w:val="28"/>
          <w:highlight w:val="none"/>
          <w:lang w:val="en-US" w:eastAsia="zh-CN"/>
          <w14:textFill>
            <w14:solidFill>
              <w14:schemeClr w14:val="tx1"/>
            </w14:solidFill>
          </w14:textFill>
        </w:rPr>
        <w:t>的</w:t>
      </w:r>
      <w:r>
        <w:rPr>
          <w:rFonts w:hint="eastAsia" w:ascii="仿宋" w:hAnsi="仿宋" w:eastAsia="仿宋" w:cs="仿宋"/>
          <w:color w:val="000000" w:themeColor="text1"/>
          <w:sz w:val="28"/>
          <w:szCs w:val="28"/>
          <w:highlight w:val="none"/>
          <w14:textFill>
            <w14:solidFill>
              <w14:schemeClr w14:val="tx1"/>
            </w14:solidFill>
          </w14:textFill>
        </w:rPr>
        <w:t>人民法院提起诉讼解决。</w:t>
      </w:r>
    </w:p>
    <w:p w14:paraId="2196B4F7">
      <w:pPr>
        <w:keepNext w:val="0"/>
        <w:keepLines w:val="0"/>
        <w:pageBreakBefore w:val="0"/>
        <w:widowControl w:val="0"/>
        <w:kinsoku/>
        <w:wordWrap w:val="0"/>
        <w:overflowPunct/>
        <w:topLinePunct w:val="0"/>
        <w:autoSpaceDE/>
        <w:autoSpaceDN/>
        <w:bidi w:val="0"/>
        <w:adjustRightInd/>
        <w:snapToGrid/>
        <w:spacing w:line="460" w:lineRule="exact"/>
        <w:ind w:left="0" w:leftChars="0"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C70650F">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w:t>
      </w:r>
      <w:r>
        <w:rPr>
          <w:rFonts w:hint="eastAsia" w:ascii="仿宋" w:hAnsi="仿宋" w:eastAsia="仿宋" w:cs="仿宋"/>
          <w:sz w:val="28"/>
          <w:szCs w:val="28"/>
        </w:rPr>
        <w:t>乙方需向甲方提供车辆行驶证、驾驶员驾驶证、保险单等复印件备案</w:t>
      </w:r>
      <w:r>
        <w:rPr>
          <w:rFonts w:hint="eastAsia" w:ascii="仿宋" w:hAnsi="仿宋" w:eastAsia="仿宋" w:cs="仿宋"/>
          <w:color w:val="000000" w:themeColor="text1"/>
          <w:sz w:val="28"/>
          <w:szCs w:val="28"/>
          <w:highlight w:val="none"/>
          <w14:textFill>
            <w14:solidFill>
              <w14:schemeClr w14:val="tx1"/>
            </w14:solidFill>
          </w14:textFill>
        </w:rPr>
        <w:t>。</w:t>
      </w:r>
    </w:p>
    <w:p w14:paraId="2D8ADC19">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15.2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05BE44FE">
      <w:pPr>
        <w:keepNext w:val="0"/>
        <w:keepLines w:val="0"/>
        <w:pageBreakBefore w:val="0"/>
        <w:widowControl w:val="0"/>
        <w:kinsoku/>
        <w:wordWrap w:val="0"/>
        <w:overflowPunct/>
        <w:topLinePunct w:val="0"/>
        <w:autoSpaceDE/>
        <w:autoSpaceDN/>
        <w:bidi w:val="0"/>
        <w:adjustRightInd/>
        <w:snapToGrid/>
        <w:spacing w:line="460" w:lineRule="exact"/>
        <w:ind w:left="0" w:leftChars="0"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24468D6D">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FE50A84">
      <w:pPr>
        <w:keepNext w:val="0"/>
        <w:keepLines w:val="0"/>
        <w:pageBreakBefore w:val="0"/>
        <w:kinsoku/>
        <w:wordWrap/>
        <w:overflowPunct/>
        <w:topLinePunct w:val="0"/>
        <w:autoSpaceDE/>
        <w:autoSpaceDN/>
        <w:bidi w:val="0"/>
        <w:adjustRightInd/>
        <w:snapToGrid/>
        <w:spacing w:line="500" w:lineRule="exact"/>
        <w:textAlignment w:val="auto"/>
        <w:rPr>
          <w:rFonts w:hint="default" w:ascii="仿宋" w:hAnsi="仿宋" w:eastAsia="仿宋" w:cs="仿宋"/>
          <w:b w:val="0"/>
          <w:bCs w:val="0"/>
          <w:color w:val="0000FF"/>
          <w:sz w:val="28"/>
          <w:szCs w:val="28"/>
          <w:highlight w:val="none"/>
          <w:lang w:val="en-US" w:eastAsia="zh-CN"/>
        </w:rPr>
      </w:pPr>
      <w:r>
        <w:rPr>
          <w:rFonts w:hint="eastAsia" w:ascii="仿宋" w:hAnsi="仿宋" w:eastAsia="仿宋" w:cs="仿宋"/>
          <w:color w:val="000000" w:themeColor="text1"/>
          <w:sz w:val="28"/>
          <w:szCs w:val="28"/>
          <w:highlight w:val="none"/>
          <w14:textFill>
            <w14:solidFill>
              <w14:schemeClr w14:val="tx1"/>
            </w14:solidFill>
          </w14:textFill>
        </w:rPr>
        <w:t>甲方（盖章）：</w:t>
      </w:r>
      <w:r>
        <w:rPr>
          <w:rFonts w:hint="eastAsia" w:ascii="仿宋" w:hAnsi="仿宋" w:eastAsia="仿宋" w:cs="仿宋"/>
          <w:b w:val="0"/>
          <w:bCs w:val="0"/>
          <w:color w:val="0000FF"/>
          <w:sz w:val="28"/>
          <w:szCs w:val="28"/>
          <w:highlight w:val="none"/>
          <w:lang w:val="en-US" w:eastAsia="zh-CN"/>
        </w:rPr>
        <w:t xml:space="preserve">广州医科大学附属     </w:t>
      </w:r>
      <w:r>
        <w:rPr>
          <w:rFonts w:hint="eastAsia" w:ascii="仿宋" w:hAnsi="仿宋" w:eastAsia="仿宋" w:cs="仿宋"/>
          <w:color w:val="000000" w:themeColor="text1"/>
          <w:sz w:val="28"/>
          <w:szCs w:val="28"/>
          <w:highlight w:val="none"/>
          <w14:textFill>
            <w14:solidFill>
              <w14:schemeClr w14:val="tx1"/>
            </w14:solidFill>
          </w14:textFill>
        </w:rPr>
        <w:t>乙方（盖章）：</w:t>
      </w:r>
    </w:p>
    <w:p w14:paraId="71A42B67">
      <w:pPr>
        <w:keepNext w:val="0"/>
        <w:keepLines w:val="0"/>
        <w:pageBreakBefore w:val="0"/>
        <w:kinsoku/>
        <w:wordWrap/>
        <w:overflowPunct/>
        <w:topLinePunct w:val="0"/>
        <w:autoSpaceDE/>
        <w:autoSpaceDN/>
        <w:bidi w:val="0"/>
        <w:adjustRightInd/>
        <w:snapToGrid/>
        <w:spacing w:line="500" w:lineRule="exact"/>
        <w:ind w:firstLine="1960" w:firstLineChars="7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FF"/>
          <w:sz w:val="28"/>
          <w:szCs w:val="28"/>
          <w:highlight w:val="none"/>
          <w:lang w:val="en-US" w:eastAsia="zh-CN"/>
        </w:rPr>
        <w:t>第一医院娄底医院</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67463DB2">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36840EA1">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5CE97905">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3413B343">
      <w:pPr>
        <w:keepNext w:val="0"/>
        <w:keepLines w:val="0"/>
        <w:pageBreakBefore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697D11E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0761CF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合同签订地履行地：娄底市娄星区    </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签订时间：    年  月  日</w:t>
      </w:r>
    </w:p>
    <w:p w14:paraId="6FB725BB">
      <w:pPr>
        <w:spacing w:line="440" w:lineRule="exact"/>
        <w:rPr>
          <w:rFonts w:hint="eastAsia" w:ascii="宋体" w:hAnsi="宋体" w:cs="宋体"/>
          <w:sz w:val="24"/>
        </w:rPr>
      </w:pPr>
    </w:p>
    <w:p w14:paraId="542BCEF1">
      <w:pPr>
        <w:spacing w:line="520" w:lineRule="exact"/>
        <w:rPr>
          <w:rFonts w:ascii="仿宋_GB2312" w:eastAsia="仿宋_GB2312" w:cs="仿宋_GB2312"/>
          <w:bCs/>
          <w:kern w:val="0"/>
          <w:sz w:val="28"/>
          <w:szCs w:val="28"/>
        </w:rPr>
      </w:pPr>
    </w:p>
    <w:p w14:paraId="4D0ABACC">
      <w:pPr>
        <w:rPr>
          <w:rFonts w:ascii="仿宋_GB2312" w:eastAsia="仿宋_GB2312" w:cs="仿宋_GB2312"/>
          <w:bCs/>
          <w:kern w:val="0"/>
          <w:sz w:val="28"/>
          <w:szCs w:val="28"/>
        </w:rPr>
      </w:pPr>
      <w:r>
        <w:rPr>
          <w:rFonts w:hint="eastAsia" w:ascii="仿宋_GB2312" w:eastAsia="仿宋_GB2312" w:cs="仿宋_GB2312"/>
          <w:bCs/>
          <w:kern w:val="0"/>
          <w:sz w:val="28"/>
          <w:szCs w:val="28"/>
        </w:rPr>
        <w:br w:type="page"/>
      </w:r>
    </w:p>
    <w:p w14:paraId="2E838F41">
      <w:pPr>
        <w:pStyle w:val="2"/>
        <w:spacing w:line="240" w:lineRule="auto"/>
        <w:ind w:left="2940"/>
        <w:rPr>
          <w:rFonts w:hint="eastAsia" w:ascii="宋体" w:hAnsi="宋体" w:cs="宋体"/>
          <w:sz w:val="30"/>
          <w:szCs w:val="30"/>
        </w:rPr>
      </w:pPr>
      <w:bookmarkStart w:id="1" w:name="_Toc16523574"/>
      <w:r>
        <w:rPr>
          <w:rFonts w:hint="eastAsia" w:ascii="宋体" w:hAnsi="宋体" w:cs="宋体"/>
          <w:sz w:val="30"/>
          <w:szCs w:val="30"/>
        </w:rPr>
        <w:t>第三章   投标文件的格式</w:t>
      </w:r>
    </w:p>
    <w:p w14:paraId="42075ED1">
      <w:pPr>
        <w:pStyle w:val="2"/>
        <w:spacing w:line="240" w:lineRule="auto"/>
        <w:ind w:firstLine="2108" w:firstLineChars="700"/>
        <w:rPr>
          <w:rFonts w:hint="eastAsia" w:ascii="宋体" w:hAnsi="宋体" w:cs="宋体"/>
          <w:sz w:val="30"/>
          <w:szCs w:val="30"/>
        </w:rPr>
      </w:pPr>
      <w:r>
        <w:rPr>
          <w:rFonts w:hint="eastAsia" w:ascii="宋体" w:hAnsi="宋体" w:cs="宋体"/>
          <w:sz w:val="30"/>
          <w:szCs w:val="30"/>
        </w:rPr>
        <w:t>（必须按以下标题和顺序进行编制）</w:t>
      </w:r>
    </w:p>
    <w:p w14:paraId="0011AD09">
      <w:pPr>
        <w:rPr>
          <w:rFonts w:hint="eastAsia" w:ascii="宋体" w:hAnsi="宋体" w:cs="宋体"/>
        </w:rPr>
      </w:pPr>
    </w:p>
    <w:bookmarkEnd w:id="1"/>
    <w:p w14:paraId="6B60CB95"/>
    <w:p w14:paraId="463F9F65">
      <w:pPr>
        <w:jc w:val="center"/>
        <w:rPr>
          <w:b/>
          <w:sz w:val="24"/>
        </w:rPr>
      </w:pPr>
      <w:r>
        <w:rPr>
          <w:b/>
          <w:sz w:val="28"/>
          <w:szCs w:val="28"/>
        </w:rPr>
        <w:t>第一部分、开标一览表</w:t>
      </w:r>
    </w:p>
    <w:p w14:paraId="40105E6A">
      <w:pPr>
        <w:jc w:val="center"/>
        <w:rPr>
          <w:b/>
          <w:sz w:val="24"/>
        </w:rPr>
      </w:pPr>
    </w:p>
    <w:p w14:paraId="60B35180">
      <w:pPr>
        <w:jc w:val="center"/>
        <w:rPr>
          <w:b/>
          <w:sz w:val="24"/>
        </w:rPr>
      </w:pPr>
      <w:r>
        <w:rPr>
          <w:rFonts w:hint="eastAsia"/>
          <w:b/>
          <w:sz w:val="24"/>
        </w:rPr>
        <w:t>注：此项内容需包含投标商品名称、数量、品牌、型号、单价、总价、等信息</w:t>
      </w:r>
    </w:p>
    <w:p w14:paraId="71CAD04D">
      <w:pPr>
        <w:pStyle w:val="25"/>
      </w:pPr>
    </w:p>
    <w:p w14:paraId="66551667">
      <w:pPr>
        <w:adjustRightInd w:val="0"/>
        <w:snapToGrid w:val="0"/>
        <w:spacing w:line="360" w:lineRule="auto"/>
        <w:jc w:val="center"/>
        <w:rPr>
          <w:rFonts w:hint="eastAsia" w:ascii="宋体" w:hAnsi="宋体" w:cs="宋体"/>
          <w:b/>
          <w:sz w:val="28"/>
          <w:szCs w:val="28"/>
        </w:rPr>
      </w:pPr>
    </w:p>
    <w:p w14:paraId="28166D50">
      <w:pPr>
        <w:adjustRightInd w:val="0"/>
        <w:snapToGrid w:val="0"/>
        <w:spacing w:line="360" w:lineRule="auto"/>
        <w:jc w:val="center"/>
        <w:rPr>
          <w:rFonts w:hint="eastAsia" w:ascii="宋体" w:hAnsi="宋体" w:cs="宋体"/>
          <w:b/>
          <w:sz w:val="28"/>
          <w:szCs w:val="28"/>
        </w:rPr>
      </w:pPr>
    </w:p>
    <w:p w14:paraId="4E8B8904">
      <w:pPr>
        <w:adjustRightInd w:val="0"/>
        <w:snapToGrid w:val="0"/>
        <w:spacing w:line="360" w:lineRule="auto"/>
        <w:jc w:val="center"/>
        <w:rPr>
          <w:rFonts w:hint="eastAsia" w:ascii="宋体" w:hAnsi="宋体" w:cs="宋体"/>
          <w:b/>
          <w:sz w:val="28"/>
          <w:szCs w:val="28"/>
        </w:rPr>
      </w:pPr>
    </w:p>
    <w:p w14:paraId="2945B527">
      <w:pPr>
        <w:adjustRightInd w:val="0"/>
        <w:snapToGrid w:val="0"/>
        <w:spacing w:line="360" w:lineRule="auto"/>
        <w:jc w:val="center"/>
        <w:rPr>
          <w:rFonts w:hint="eastAsia" w:ascii="宋体" w:hAnsi="宋体" w:cs="宋体"/>
          <w:b/>
          <w:sz w:val="28"/>
          <w:szCs w:val="28"/>
        </w:rPr>
      </w:pPr>
    </w:p>
    <w:p w14:paraId="1FBF603D">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第二部分、资格证明文件</w:t>
      </w:r>
    </w:p>
    <w:p w14:paraId="43D168BD">
      <w:pPr>
        <w:pStyle w:val="24"/>
      </w:pPr>
    </w:p>
    <w:p w14:paraId="386689DC">
      <w:pPr>
        <w:adjustRightInd w:val="0"/>
        <w:snapToGrid w:val="0"/>
        <w:spacing w:line="360" w:lineRule="auto"/>
        <w:jc w:val="center"/>
        <w:rPr>
          <w:rFonts w:hint="eastAsia" w:ascii="宋体" w:hAnsi="宋体" w:cs="宋体"/>
          <w:b/>
          <w:sz w:val="24"/>
          <w:szCs w:val="20"/>
        </w:rPr>
      </w:pPr>
    </w:p>
    <w:p w14:paraId="11F0F571">
      <w:pPr>
        <w:adjustRightInd w:val="0"/>
        <w:snapToGrid w:val="0"/>
        <w:spacing w:line="360" w:lineRule="auto"/>
        <w:jc w:val="center"/>
        <w:rPr>
          <w:rFonts w:hint="eastAsia" w:ascii="宋体" w:hAnsi="宋体" w:cs="宋体"/>
          <w:b/>
          <w:sz w:val="24"/>
          <w:szCs w:val="20"/>
        </w:rPr>
      </w:pPr>
      <w:r>
        <w:rPr>
          <w:rFonts w:hint="eastAsia" w:ascii="宋体" w:hAnsi="宋体" w:cs="宋体"/>
          <w:b/>
          <w:sz w:val="24"/>
          <w:szCs w:val="20"/>
        </w:rPr>
        <w:t>一、法定代表人授权委托书</w:t>
      </w:r>
    </w:p>
    <w:p w14:paraId="64449AAA">
      <w:pPr>
        <w:adjustRightInd w:val="0"/>
        <w:snapToGrid w:val="0"/>
        <w:spacing w:line="360" w:lineRule="auto"/>
        <w:rPr>
          <w:rFonts w:hint="eastAsia" w:ascii="宋体" w:hAnsi="宋体" w:cs="宋体"/>
          <w:b/>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本人</w:t>
      </w:r>
      <w:r>
        <w:rPr>
          <w:rFonts w:hint="eastAsia" w:ascii="宋体" w:hAnsi="宋体" w:cs="宋体"/>
          <w:kern w:val="0"/>
          <w:sz w:val="24"/>
          <w:u w:val="single"/>
        </w:rPr>
        <w:t>（姓名、职务）</w:t>
      </w:r>
      <w:r>
        <w:rPr>
          <w:rFonts w:hint="eastAsia" w:ascii="宋体" w:hAnsi="宋体" w:cs="宋体"/>
          <w:kern w:val="0"/>
          <w:sz w:val="24"/>
        </w:rPr>
        <w:t>系</w:t>
      </w:r>
      <w:r>
        <w:rPr>
          <w:rFonts w:hint="eastAsia" w:ascii="宋体" w:hAnsi="宋体" w:cs="宋体"/>
          <w:kern w:val="0"/>
          <w:sz w:val="24"/>
          <w:u w:val="single"/>
        </w:rPr>
        <w:t xml:space="preserve"> （</w:t>
      </w:r>
      <w:r>
        <w:rPr>
          <w:rFonts w:hint="eastAsia" w:ascii="宋体" w:hAnsi="宋体" w:cs="宋体"/>
          <w:sz w:val="24"/>
          <w:u w:val="single"/>
        </w:rPr>
        <w:t>投标人</w:t>
      </w:r>
      <w:r>
        <w:rPr>
          <w:rFonts w:hint="eastAsia" w:ascii="宋体" w:hAnsi="宋体" w:cs="宋体"/>
          <w:kern w:val="0"/>
          <w:sz w:val="24"/>
          <w:u w:val="single"/>
        </w:rPr>
        <w:t>名称）</w:t>
      </w:r>
      <w:r>
        <w:rPr>
          <w:rFonts w:hint="eastAsia" w:ascii="宋体" w:hAnsi="宋体" w:cs="宋体"/>
          <w:kern w:val="0"/>
          <w:sz w:val="24"/>
        </w:rPr>
        <w:t>的法定代表人，现授权</w:t>
      </w:r>
      <w:r>
        <w:rPr>
          <w:rFonts w:hint="eastAsia" w:ascii="宋体" w:hAnsi="宋体" w:cs="宋体"/>
          <w:kern w:val="0"/>
          <w:sz w:val="24"/>
          <w:u w:val="single"/>
        </w:rPr>
        <w:t>（姓名、职务）</w:t>
      </w:r>
      <w:r>
        <w:rPr>
          <w:rFonts w:hint="eastAsia" w:ascii="宋体" w:hAnsi="宋体" w:cs="宋体"/>
          <w:kern w:val="0"/>
          <w:sz w:val="24"/>
        </w:rPr>
        <w:t>为我方代理人。代理人根据授权，以我方名义签署、澄清、说明、补正、递交、撤回、修改</w:t>
      </w:r>
      <w:r>
        <w:rPr>
          <w:rFonts w:hint="eastAsia" w:ascii="宋体" w:hAnsi="宋体" w:cs="宋体"/>
          <w:kern w:val="0"/>
          <w:sz w:val="24"/>
          <w:u w:val="single"/>
        </w:rPr>
        <w:t>（项目名称）</w:t>
      </w:r>
      <w:r>
        <w:rPr>
          <w:rFonts w:hint="eastAsia" w:ascii="宋体" w:hAnsi="宋体" w:cs="宋体"/>
          <w:kern w:val="0"/>
          <w:sz w:val="24"/>
        </w:rPr>
        <w:t>（采购编号：</w:t>
      </w:r>
      <w:r>
        <w:rPr>
          <w:rFonts w:hint="eastAsia" w:ascii="宋体" w:hAnsi="宋体" w:cs="宋体"/>
          <w:kern w:val="0"/>
          <w:sz w:val="24"/>
          <w:u w:val="single"/>
        </w:rPr>
        <w:t xml:space="preserve">     </w:t>
      </w:r>
      <w:r>
        <w:rPr>
          <w:rFonts w:hint="eastAsia" w:ascii="宋体" w:hAnsi="宋体" w:cs="宋体"/>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委托期限：</w:t>
      </w:r>
      <w:r>
        <w:rPr>
          <w:rFonts w:hint="eastAsia" w:ascii="宋体" w:hAnsi="宋体" w:cs="宋体"/>
          <w:kern w:val="0"/>
          <w:sz w:val="24"/>
          <w:u w:val="single"/>
        </w:rPr>
        <w:t xml:space="preserve">       </w:t>
      </w:r>
      <w:r>
        <w:rPr>
          <w:rFonts w:hint="eastAsia" w:ascii="宋体" w:hAnsi="宋体" w:cs="宋体"/>
          <w:kern w:val="0"/>
          <w:sz w:val="24"/>
        </w:rPr>
        <w:t>。</w:t>
      </w:r>
    </w:p>
    <w:p w14:paraId="0EF25468">
      <w:pPr>
        <w:adjustRightInd w:val="0"/>
        <w:snapToGrid w:val="0"/>
        <w:spacing w:line="360" w:lineRule="auto"/>
        <w:ind w:firstLine="435"/>
        <w:rPr>
          <w:rFonts w:hint="eastAsia" w:ascii="宋体" w:hAnsi="宋体" w:cs="宋体"/>
          <w:kern w:val="0"/>
          <w:sz w:val="24"/>
        </w:rPr>
      </w:pPr>
      <w:r>
        <w:rPr>
          <w:rFonts w:hint="eastAsia" w:ascii="宋体" w:hAnsi="宋体" w:cs="宋体"/>
          <w:kern w:val="0"/>
          <w:sz w:val="24"/>
        </w:rPr>
        <w:t>代理人无转委托权。</w:t>
      </w:r>
    </w:p>
    <w:p w14:paraId="51BFDC15">
      <w:pPr>
        <w:adjustRightInd w:val="0"/>
        <w:snapToGrid w:val="0"/>
        <w:spacing w:line="360" w:lineRule="auto"/>
        <w:ind w:firstLine="435"/>
        <w:rPr>
          <w:rFonts w:hint="eastAsia" w:ascii="宋体" w:hAnsi="宋体" w:cs="宋体"/>
          <w:sz w:val="24"/>
        </w:rPr>
      </w:pPr>
      <w:r>
        <w:rPr>
          <w:rFonts w:hint="eastAsia" w:ascii="宋体" w:hAnsi="宋体" w:cs="宋体"/>
          <w:sz w:val="24"/>
        </w:rPr>
        <w:t>本授权书于日期：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14:paraId="4F084AFC">
      <w:pPr>
        <w:adjustRightInd w:val="0"/>
        <w:snapToGrid w:val="0"/>
        <w:spacing w:line="360" w:lineRule="auto"/>
        <w:ind w:firstLine="480" w:firstLineChars="200"/>
        <w:rPr>
          <w:rFonts w:hint="eastAsia" w:ascii="宋体" w:hAnsi="宋体" w:cs="宋体"/>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252076A9">
            <w:pPr>
              <w:adjustRightInd w:val="0"/>
              <w:snapToGrid w:val="0"/>
              <w:spacing w:line="360" w:lineRule="auto"/>
              <w:jc w:val="center"/>
              <w:rPr>
                <w:rFonts w:hint="eastAsia" w:ascii="宋体" w:hAnsi="宋体" w:cs="宋体"/>
                <w:sz w:val="24"/>
              </w:rPr>
            </w:pPr>
            <w:r>
              <w:rPr>
                <w:rFonts w:hint="eastAsia" w:ascii="宋体" w:hAnsi="宋体" w:cs="宋体"/>
                <w:sz w:val="24"/>
              </w:rPr>
              <w:t>委托代理人身份证（正面、反面）复印件</w:t>
            </w:r>
          </w:p>
        </w:tc>
      </w:tr>
    </w:tbl>
    <w:p w14:paraId="637D8040">
      <w:pPr>
        <w:adjustRightInd w:val="0"/>
        <w:snapToGrid w:val="0"/>
        <w:spacing w:line="360" w:lineRule="auto"/>
        <w:rPr>
          <w:rFonts w:hint="eastAsia" w:ascii="宋体" w:hAnsi="宋体" w:cs="宋体"/>
          <w:sz w:val="24"/>
        </w:rPr>
      </w:pPr>
    </w:p>
    <w:tbl>
      <w:tblPr>
        <w:tblStyle w:val="16"/>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vAlign w:val="center"/>
          </w:tcPr>
          <w:p w14:paraId="34C02A26">
            <w:pPr>
              <w:adjustRightInd w:val="0"/>
              <w:snapToGrid w:val="0"/>
              <w:spacing w:line="360" w:lineRule="auto"/>
              <w:jc w:val="center"/>
              <w:rPr>
                <w:rFonts w:hint="eastAsia" w:ascii="宋体" w:hAnsi="宋体" w:cs="宋体"/>
                <w:sz w:val="24"/>
              </w:rPr>
            </w:pPr>
            <w:r>
              <w:rPr>
                <w:rFonts w:hint="eastAsia" w:ascii="宋体" w:hAnsi="宋体" w:cs="宋体"/>
                <w:sz w:val="24"/>
              </w:rPr>
              <w:t>法定代表人身份证（正面、反面）复印件</w:t>
            </w:r>
          </w:p>
        </w:tc>
      </w:tr>
    </w:tbl>
    <w:p w14:paraId="573075C3">
      <w:pPr>
        <w:adjustRightInd w:val="0"/>
        <w:snapToGrid w:val="0"/>
        <w:spacing w:line="360" w:lineRule="auto"/>
        <w:rPr>
          <w:rFonts w:hint="eastAsia" w:ascii="宋体" w:hAnsi="宋体" w:cs="宋体"/>
          <w:sz w:val="24"/>
        </w:rPr>
      </w:pPr>
    </w:p>
    <w:p w14:paraId="2BBB8A34">
      <w:pPr>
        <w:adjustRightInd w:val="0"/>
        <w:snapToGrid w:val="0"/>
        <w:spacing w:line="360" w:lineRule="auto"/>
        <w:rPr>
          <w:rFonts w:hint="eastAsia" w:ascii="宋体" w:hAnsi="宋体" w:cs="宋体"/>
          <w:sz w:val="24"/>
        </w:rPr>
      </w:pPr>
    </w:p>
    <w:p w14:paraId="1A8CC709">
      <w:pPr>
        <w:adjustRightInd w:val="0"/>
        <w:snapToGrid w:val="0"/>
        <w:spacing w:line="360" w:lineRule="auto"/>
        <w:rPr>
          <w:rFonts w:hint="eastAsia" w:ascii="宋体" w:hAnsi="宋体" w:cs="宋体"/>
          <w:sz w:val="24"/>
        </w:rPr>
      </w:pPr>
      <w:r>
        <w:rPr>
          <w:rFonts w:hint="eastAsia" w:ascii="宋体" w:hAnsi="宋体" w:cs="宋体"/>
          <w:sz w:val="24"/>
        </w:rPr>
        <w:t>投标人名称（盖单位章）：</w:t>
      </w:r>
    </w:p>
    <w:p w14:paraId="1CA38E1D">
      <w:pPr>
        <w:adjustRightInd w:val="0"/>
        <w:snapToGrid w:val="0"/>
        <w:spacing w:line="360" w:lineRule="auto"/>
        <w:ind w:right="420"/>
        <w:rPr>
          <w:rFonts w:hint="eastAsia" w:ascii="宋体" w:hAnsi="宋体" w:cs="宋体"/>
          <w:sz w:val="24"/>
        </w:rPr>
      </w:pPr>
      <w:r>
        <w:rPr>
          <w:rFonts w:hint="eastAsia" w:ascii="宋体" w:hAnsi="宋体" w:cs="宋体"/>
          <w:sz w:val="24"/>
        </w:rPr>
        <w:t>法定代表人（签字）：</w:t>
      </w:r>
    </w:p>
    <w:p w14:paraId="524E802C">
      <w:pPr>
        <w:adjustRightInd w:val="0"/>
        <w:snapToGrid w:val="0"/>
        <w:spacing w:line="360" w:lineRule="auto"/>
        <w:ind w:right="420"/>
        <w:rPr>
          <w:rFonts w:hint="eastAsia" w:ascii="宋体" w:hAnsi="宋体" w:cs="宋体"/>
          <w:sz w:val="24"/>
        </w:rPr>
      </w:pPr>
      <w:r>
        <w:rPr>
          <w:rFonts w:hint="eastAsia" w:ascii="宋体" w:hAnsi="宋体" w:cs="宋体"/>
          <w:sz w:val="24"/>
        </w:rPr>
        <w:t>委托代理人（签字）：</w:t>
      </w:r>
    </w:p>
    <w:p w14:paraId="7E29138A">
      <w:pPr>
        <w:adjustRightInd w:val="0"/>
        <w:snapToGrid w:val="0"/>
        <w:spacing w:line="360" w:lineRule="auto"/>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8D29777">
      <w:pPr>
        <w:adjustRightInd w:val="0"/>
        <w:snapToGrid w:val="0"/>
        <w:spacing w:line="360" w:lineRule="auto"/>
        <w:rPr>
          <w:rFonts w:hint="eastAsia" w:ascii="宋体" w:hAnsi="宋体" w:cs="宋体"/>
          <w:b/>
          <w:sz w:val="28"/>
          <w:szCs w:val="28"/>
        </w:rPr>
      </w:pPr>
    </w:p>
    <w:p w14:paraId="3F6A11CD">
      <w:pPr>
        <w:adjustRightInd w:val="0"/>
        <w:snapToGrid w:val="0"/>
        <w:spacing w:line="360" w:lineRule="auto"/>
        <w:jc w:val="center"/>
        <w:rPr>
          <w:rFonts w:hint="eastAsia" w:ascii="宋体" w:hAnsi="宋体" w:cs="宋体"/>
          <w:sz w:val="24"/>
        </w:rPr>
      </w:pPr>
      <w:r>
        <w:rPr>
          <w:rFonts w:hint="eastAsia" w:ascii="宋体" w:hAnsi="宋体" w:cs="宋体"/>
          <w:b/>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kern w:val="0"/>
          <w:sz w:val="24"/>
        </w:rPr>
      </w:pPr>
      <w:r>
        <w:rPr>
          <w:rFonts w:hint="eastAsia" w:ascii="宋体" w:hAnsi="宋体" w:cs="宋体"/>
          <w:sz w:val="24"/>
        </w:rPr>
        <w:t>致(           )：</w:t>
      </w:r>
    </w:p>
    <w:p w14:paraId="129B67DC">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按照招标文件的规定，我单位郑重声明如下：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一、我单位是按照中华人民共和国法律规定登记注册的，注册地点为</w:t>
      </w:r>
      <w:r>
        <w:rPr>
          <w:rFonts w:hint="eastAsia" w:ascii="宋体" w:hAnsi="宋体" w:cs="宋体"/>
          <w:sz w:val="24"/>
          <w:u w:val="single"/>
        </w:rPr>
        <w:t xml:space="preserve">      </w:t>
      </w:r>
      <w:r>
        <w:rPr>
          <w:rFonts w:hint="eastAsia" w:ascii="宋体" w:hAnsi="宋体" w:cs="宋体"/>
          <w:sz w:val="24"/>
        </w:rPr>
        <w:t>，全称为</w:t>
      </w:r>
      <w:r>
        <w:rPr>
          <w:rFonts w:hint="eastAsia" w:ascii="宋体" w:hAnsi="宋体" w:cs="宋体"/>
          <w:sz w:val="24"/>
          <w:u w:val="single"/>
        </w:rPr>
        <w:t xml:space="preserve">      </w:t>
      </w:r>
      <w:r>
        <w:rPr>
          <w:rFonts w:hint="eastAsia" w:ascii="宋体" w:hAnsi="宋体" w:cs="宋体"/>
          <w:sz w:val="24"/>
        </w:rPr>
        <w:t>，统一社会信用代码为</w:t>
      </w:r>
      <w:r>
        <w:rPr>
          <w:rFonts w:hint="eastAsia" w:ascii="宋体" w:hAnsi="宋体" w:cs="宋体"/>
          <w:sz w:val="24"/>
          <w:u w:val="single"/>
        </w:rPr>
        <w:t xml:space="preserve">      </w:t>
      </w:r>
      <w:r>
        <w:rPr>
          <w:rFonts w:hint="eastAsia" w:ascii="宋体" w:hAnsi="宋体" w:cs="宋体"/>
          <w:sz w:val="24"/>
        </w:rPr>
        <w:t>，法定代表人为</w:t>
      </w:r>
      <w:r>
        <w:rPr>
          <w:rFonts w:hint="eastAsia" w:ascii="宋体" w:hAnsi="宋体" w:cs="宋体"/>
          <w:sz w:val="24"/>
          <w:u w:val="single"/>
        </w:rPr>
        <w:t xml:space="preserve">      </w:t>
      </w:r>
      <w:r>
        <w:rPr>
          <w:rFonts w:hint="eastAsia" w:ascii="宋体" w:hAnsi="宋体" w:cs="宋体"/>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kern w:val="0"/>
          <w:sz w:val="24"/>
        </w:rPr>
        <w:t>三、</w:t>
      </w:r>
      <w:r>
        <w:rPr>
          <w:rFonts w:hint="eastAsia" w:ascii="宋体" w:hAnsi="宋体" w:cs="宋体"/>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四、我单位在参加本</w:t>
      </w:r>
      <w:r>
        <w:rPr>
          <w:rFonts w:hint="eastAsia" w:asciiTheme="minorEastAsia" w:hAnsiTheme="minorEastAsia" w:eastAsiaTheme="minorEastAsia" w:cstheme="minorEastAsia"/>
          <w:bCs/>
          <w:sz w:val="24"/>
        </w:rPr>
        <w:t>采购</w:t>
      </w:r>
      <w:r>
        <w:rPr>
          <w:rFonts w:hint="eastAsia" w:ascii="宋体" w:hAnsi="宋体" w:cs="宋体"/>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kern w:val="0"/>
          <w:sz w:val="24"/>
        </w:rPr>
        <w:t>六、</w:t>
      </w:r>
      <w:r>
        <w:rPr>
          <w:rFonts w:hint="eastAsia" w:ascii="宋体" w:hAnsi="宋体" w:cs="宋体"/>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sz w:val="24"/>
          <w:u w:val="single"/>
        </w:rPr>
      </w:pPr>
      <w:r>
        <w:rPr>
          <w:rFonts w:hint="eastAsia" w:ascii="宋体" w:hAnsi="宋体" w:cs="宋体"/>
          <w:sz w:val="24"/>
        </w:rPr>
        <w:t>1、与我单位的法定代表人（单位负责人）为同一人的其他法人单位如下：</w:t>
      </w:r>
      <w:r>
        <w:rPr>
          <w:rFonts w:hint="eastAsia" w:ascii="宋体" w:hAnsi="宋体" w:cs="宋体"/>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2、我单位直接控股的其他法人单位如下：</w:t>
      </w:r>
      <w:r>
        <w:rPr>
          <w:rFonts w:hint="eastAsia" w:ascii="宋体" w:hAnsi="宋体" w:cs="宋体"/>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sz w:val="24"/>
        </w:rPr>
      </w:pPr>
      <w:r>
        <w:rPr>
          <w:rFonts w:hint="eastAsia" w:ascii="宋体" w:hAnsi="宋体" w:cs="宋体"/>
          <w:sz w:val="24"/>
        </w:rPr>
        <w:t>3、与我单位存在管理关系的其他法人单位如下：</w:t>
      </w:r>
      <w:r>
        <w:rPr>
          <w:rFonts w:hint="eastAsia" w:ascii="宋体" w:hAnsi="宋体" w:cs="宋体"/>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 xml:space="preserve">七、我单位承诺参与本项目时不存在围标、串标、陪标等违法行为 </w:t>
      </w:r>
    </w:p>
    <w:p w14:paraId="671259A6">
      <w:pPr>
        <w:widowControl/>
        <w:adjustRightInd w:val="0"/>
        <w:snapToGrid w:val="0"/>
        <w:spacing w:before="120" w:beforeLines="50" w:line="360" w:lineRule="auto"/>
        <w:ind w:firstLine="480" w:firstLineChars="200"/>
        <w:jc w:val="left"/>
        <w:rPr>
          <w:rFonts w:hint="eastAsia" w:ascii="宋体" w:hAnsi="宋体" w:cs="宋体"/>
          <w:kern w:val="0"/>
          <w:sz w:val="24"/>
        </w:rPr>
      </w:pPr>
      <w:r>
        <w:rPr>
          <w:rFonts w:hint="eastAsia" w:ascii="宋体" w:hAnsi="宋体" w:cs="宋体"/>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sz w:val="24"/>
        </w:rPr>
      </w:pPr>
      <w:r>
        <w:rPr>
          <w:rFonts w:hint="eastAsia" w:ascii="宋体" w:hAnsi="宋体" w:cs="宋体"/>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kern w:val="0"/>
          <w:sz w:val="24"/>
        </w:rPr>
      </w:pPr>
      <w:r>
        <w:rPr>
          <w:rFonts w:hint="eastAsia" w:ascii="宋体" w:hAnsi="宋体" w:cs="宋体"/>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kern w:val="0"/>
          <w:sz w:val="24"/>
        </w:rPr>
      </w:pPr>
      <w:r>
        <w:rPr>
          <w:rFonts w:hint="eastAsia" w:ascii="宋体" w:hAnsi="宋体" w:cs="宋体"/>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3446278">
      <w:pPr>
        <w:adjustRightInd w:val="0"/>
        <w:snapToGrid w:val="0"/>
        <w:spacing w:line="360" w:lineRule="auto"/>
        <w:jc w:val="center"/>
        <w:rPr>
          <w:rFonts w:hint="eastAsia" w:ascii="宋体" w:hAnsi="宋体" w:cs="宋体"/>
          <w:b/>
          <w:sz w:val="24"/>
          <w:szCs w:val="20"/>
        </w:rPr>
      </w:pPr>
    </w:p>
    <w:p w14:paraId="1346884B">
      <w:pPr>
        <w:adjustRightInd w:val="0"/>
        <w:snapToGrid w:val="0"/>
        <w:spacing w:line="360" w:lineRule="auto"/>
        <w:rPr>
          <w:rFonts w:hint="eastAsia" w:ascii="宋体" w:hAnsi="宋体" w:cs="宋体"/>
          <w:b/>
          <w:sz w:val="24"/>
          <w:szCs w:val="20"/>
        </w:rPr>
      </w:pPr>
    </w:p>
    <w:p w14:paraId="4F9273E1">
      <w:pPr>
        <w:adjustRightInd w:val="0"/>
        <w:snapToGrid w:val="0"/>
        <w:spacing w:line="360" w:lineRule="auto"/>
        <w:rPr>
          <w:rFonts w:hint="eastAsia" w:ascii="宋体" w:hAnsi="宋体" w:cs="宋体"/>
          <w:b/>
          <w:sz w:val="24"/>
          <w:szCs w:val="20"/>
        </w:rPr>
      </w:pPr>
    </w:p>
    <w:p w14:paraId="2D2F2399">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sz w:val="24"/>
          <w:szCs w:val="20"/>
        </w:rPr>
      </w:pPr>
    </w:p>
    <w:p w14:paraId="565506E4">
      <w:pPr>
        <w:pStyle w:val="4"/>
        <w:keepLines w:val="0"/>
        <w:snapToGrid w:val="0"/>
        <w:spacing w:before="0" w:after="0" w:line="520" w:lineRule="exact"/>
        <w:jc w:val="left"/>
        <w:rPr>
          <w:rFonts w:hint="eastAsia" w:ascii="宋体" w:hAnsi="宋体"/>
          <w:b w:val="0"/>
          <w:kern w:val="2"/>
          <w:sz w:val="24"/>
          <w:szCs w:val="24"/>
        </w:rPr>
      </w:pPr>
      <w:r>
        <w:rPr>
          <w:rFonts w:hint="eastAsia" w:ascii="宋体" w:hAnsi="宋体" w:cs="宋体"/>
          <w:b w:val="0"/>
          <w:sz w:val="24"/>
          <w:szCs w:val="24"/>
        </w:rPr>
        <w:t>注：</w:t>
      </w:r>
      <w:r>
        <w:rPr>
          <w:rFonts w:hint="eastAsia" w:ascii="宋体" w:hAnsi="宋体" w:cs="宋体"/>
          <w:b w:val="0"/>
          <w:sz w:val="24"/>
          <w:szCs w:val="24"/>
          <w:lang w:bidi="zh-CN"/>
        </w:rPr>
        <w:t>投标公司的营业执照及资格要求的证明材料，提供信用中国网页查询截图，并加盖单位公章（按顺序装订）。</w:t>
      </w:r>
      <w:r>
        <w:rPr>
          <w:rFonts w:hint="eastAsia" w:ascii="宋体" w:hAnsi="宋体"/>
          <w:b w:val="0"/>
          <w:kern w:val="2"/>
          <w:sz w:val="24"/>
          <w:szCs w:val="24"/>
        </w:rPr>
        <w:t>附件    湖南省政府采购供应商资格承诺函</w:t>
      </w:r>
    </w:p>
    <w:p w14:paraId="478C91FB">
      <w:pPr>
        <w:widowControl/>
        <w:spacing w:after="100" w:afterAutospacing="1" w:line="360" w:lineRule="auto"/>
        <w:ind w:left="227" w:right="113" w:firstLine="482"/>
        <w:jc w:val="left"/>
        <w:rPr>
          <w:rFonts w:hint="eastAsia" w:ascii="宋体" w:hAnsi="宋体"/>
          <w:sz w:val="24"/>
        </w:rPr>
      </w:pPr>
      <w:r>
        <w:rPr>
          <w:rFonts w:hint="eastAsia" w:ascii="宋体" w:hAnsi="宋体"/>
          <w:sz w:val="24"/>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sz w:val="24"/>
        </w:rPr>
      </w:pPr>
      <w:r>
        <w:rPr>
          <w:rFonts w:hint="eastAsia" w:ascii="宋体" w:hAnsi="宋体"/>
          <w:sz w:val="24"/>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sz w:val="24"/>
        </w:rPr>
      </w:pPr>
      <w:r>
        <w:rPr>
          <w:rFonts w:hint="eastAsia" w:ascii="宋体" w:hAnsi="宋体"/>
          <w:sz w:val="24"/>
        </w:rPr>
        <w:t>本公司企业规模为：          （大型、中型、小型、微型 ）</w:t>
      </w:r>
    </w:p>
    <w:p w14:paraId="39144592">
      <w:pPr>
        <w:widowControl/>
        <w:spacing w:after="100" w:afterAutospacing="1" w:line="360" w:lineRule="auto"/>
        <w:ind w:left="246"/>
        <w:jc w:val="left"/>
        <w:rPr>
          <w:rFonts w:hint="eastAsia" w:ascii="宋体" w:hAnsi="宋体"/>
          <w:sz w:val="24"/>
        </w:rPr>
      </w:pPr>
      <w:r>
        <w:rPr>
          <w:rFonts w:hint="eastAsia" w:ascii="宋体" w:hAnsi="宋体"/>
          <w:sz w:val="24"/>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sz w:val="24"/>
        </w:rPr>
      </w:pPr>
      <w:r>
        <w:rPr>
          <w:rFonts w:hint="eastAsia" w:ascii="宋体" w:hAnsi="宋体"/>
          <w:sz w:val="24"/>
        </w:rPr>
        <w:t>法定代表人姓名 (签字)：             、身份证号：                           、</w:t>
      </w:r>
    </w:p>
    <w:p w14:paraId="71681098">
      <w:pPr>
        <w:widowControl/>
        <w:spacing w:after="100" w:afterAutospacing="1" w:line="360" w:lineRule="auto"/>
        <w:ind w:left="246"/>
        <w:jc w:val="left"/>
        <w:rPr>
          <w:rFonts w:hint="eastAsia" w:ascii="宋体" w:hAnsi="宋体"/>
          <w:sz w:val="24"/>
        </w:rPr>
      </w:pPr>
      <w:r>
        <w:rPr>
          <w:rFonts w:hint="eastAsia" w:ascii="宋体" w:hAnsi="宋体"/>
          <w:sz w:val="24"/>
        </w:rPr>
        <w:t>手机号：             ；</w:t>
      </w:r>
    </w:p>
    <w:p w14:paraId="49FD08FA">
      <w:pPr>
        <w:widowControl/>
        <w:spacing w:after="100" w:afterAutospacing="1" w:line="360" w:lineRule="auto"/>
        <w:ind w:left="246" w:hanging="16"/>
        <w:jc w:val="left"/>
        <w:rPr>
          <w:rFonts w:hint="eastAsia" w:ascii="宋体" w:hAnsi="宋体"/>
          <w:sz w:val="24"/>
        </w:rPr>
      </w:pPr>
      <w:r>
        <w:rPr>
          <w:rFonts w:hint="eastAsia" w:ascii="宋体" w:hAnsi="宋体"/>
          <w:sz w:val="24"/>
        </w:rPr>
        <w:t xml:space="preserve">授权代表人姓名 (签字)：                、身份证号：                     </w:t>
      </w:r>
    </w:p>
    <w:p w14:paraId="753E4AC7">
      <w:pPr>
        <w:widowControl/>
        <w:spacing w:after="100" w:afterAutospacing="1" w:line="360" w:lineRule="auto"/>
        <w:ind w:left="246" w:hanging="16"/>
        <w:jc w:val="left"/>
        <w:rPr>
          <w:rFonts w:hint="eastAsia" w:ascii="宋体" w:hAnsi="宋体"/>
          <w:sz w:val="24"/>
        </w:rPr>
      </w:pPr>
      <w:r>
        <w:rPr>
          <w:rFonts w:hint="eastAsia" w:ascii="宋体" w:hAnsi="宋体"/>
          <w:sz w:val="24"/>
        </w:rPr>
        <w:t xml:space="preserve">手机号：               。  </w:t>
      </w:r>
    </w:p>
    <w:p w14:paraId="575B8451">
      <w:pPr>
        <w:adjustRightInd w:val="0"/>
        <w:snapToGrid w:val="0"/>
        <w:spacing w:line="360" w:lineRule="auto"/>
        <w:rPr>
          <w:rFonts w:hint="eastAsia" w:ascii="宋体" w:hAnsi="宋体"/>
          <w:sz w:val="24"/>
        </w:rPr>
      </w:pPr>
    </w:p>
    <w:p w14:paraId="32BCE7E4">
      <w:pPr>
        <w:adjustRightInd w:val="0"/>
        <w:snapToGrid w:val="0"/>
        <w:spacing w:line="360" w:lineRule="auto"/>
        <w:ind w:left="4406" w:leftChars="-302" w:hanging="5040" w:hangingChars="2100"/>
        <w:jc w:val="left"/>
        <w:rPr>
          <w:rFonts w:hint="eastAsia" w:ascii="宋体" w:hAnsi="宋体"/>
          <w:sz w:val="24"/>
        </w:rPr>
      </w:pPr>
      <w:r>
        <w:rPr>
          <w:rFonts w:hint="eastAsia" w:ascii="宋体" w:hAnsi="宋体"/>
          <w:sz w:val="24"/>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sz w:val="24"/>
        </w:rPr>
      </w:pPr>
      <w:r>
        <w:rPr>
          <w:rFonts w:hint="eastAsia" w:ascii="宋体" w:hAnsi="宋体"/>
          <w:sz w:val="24"/>
        </w:rPr>
        <w:t>2023年     月     日</w:t>
      </w:r>
    </w:p>
    <w:p w14:paraId="0EB9AB22">
      <w:pPr>
        <w:jc w:val="left"/>
        <w:rPr>
          <w:rFonts w:hint="eastAsia" w:ascii="宋体" w:hAnsi="宋体"/>
          <w:sz w:val="24"/>
        </w:rPr>
      </w:pPr>
    </w:p>
    <w:p w14:paraId="452F65D0">
      <w:pPr>
        <w:jc w:val="left"/>
        <w:rPr>
          <w:rFonts w:hint="eastAsia" w:ascii="宋体" w:hAnsi="宋体"/>
          <w:sz w:val="24"/>
        </w:rPr>
      </w:pPr>
    </w:p>
    <w:p w14:paraId="16A0C581">
      <w:pPr>
        <w:jc w:val="left"/>
        <w:rPr>
          <w:rFonts w:hint="eastAsia" w:ascii="宋体" w:hAnsi="宋体" w:cs="宋体"/>
          <w:b/>
          <w:sz w:val="24"/>
        </w:rPr>
      </w:pPr>
      <w:r>
        <w:rPr>
          <w:rFonts w:hint="eastAsia" w:ascii="宋体" w:hAnsi="宋体"/>
          <w:sz w:val="24"/>
        </w:rPr>
        <w:t>注、企业规模划分标准：《关于印发中小企业划型标准规定的通知》（工信部联企业〔2011〕300号）</w:t>
      </w:r>
    </w:p>
    <w:p w14:paraId="4B1AE1FF">
      <w:pPr>
        <w:jc w:val="center"/>
        <w:rPr>
          <w:rFonts w:hint="eastAsia" w:ascii="宋体" w:hAnsi="宋体" w:cs="宋体"/>
          <w:b/>
          <w:sz w:val="24"/>
        </w:rPr>
        <w:sectPr>
          <w:headerReference r:id="rId3" w:type="default"/>
          <w:footerReference r:id="rId4" w:type="default"/>
          <w:pgSz w:w="11906" w:h="16838"/>
          <w:pgMar w:top="1440" w:right="1080" w:bottom="1440" w:left="1080" w:header="567" w:footer="283" w:gutter="0"/>
          <w:pgNumType w:start="1"/>
          <w:cols w:space="720" w:num="1"/>
          <w:docGrid w:linePitch="312" w:charSpace="0"/>
        </w:sectPr>
      </w:pPr>
    </w:p>
    <w:p w14:paraId="3C2F2BC3">
      <w:pPr>
        <w:spacing w:before="156" w:beforeLines="50" w:after="156" w:afterLines="50" w:line="276" w:lineRule="auto"/>
        <w:jc w:val="center"/>
        <w:rPr>
          <w:rFonts w:hint="eastAsia" w:ascii="宋体" w:hAnsi="宋体" w:cs="宋体"/>
          <w:b/>
          <w:sz w:val="28"/>
          <w:szCs w:val="28"/>
        </w:rPr>
      </w:pPr>
      <w:r>
        <w:rPr>
          <w:rFonts w:hint="eastAsia" w:ascii="宋体" w:hAnsi="宋体" w:cs="宋体"/>
          <w:b/>
          <w:sz w:val="28"/>
          <w:szCs w:val="28"/>
        </w:rPr>
        <w:t>第三部分、采购需求响应程度</w:t>
      </w:r>
      <w:bookmarkStart w:id="2" w:name="_Toc476514128"/>
      <w:bookmarkStart w:id="3" w:name="_Toc486424819"/>
    </w:p>
    <w:p w14:paraId="6D90F51D">
      <w:pPr>
        <w:pStyle w:val="24"/>
      </w:pPr>
    </w:p>
    <w:p w14:paraId="6BAEDE60">
      <w:pPr>
        <w:spacing w:before="156" w:beforeLines="50" w:after="156" w:afterLines="50" w:line="276" w:lineRule="auto"/>
        <w:jc w:val="center"/>
        <w:rPr>
          <w:b/>
          <w:sz w:val="24"/>
        </w:rPr>
      </w:pPr>
      <w:r>
        <w:rPr>
          <w:b/>
          <w:sz w:val="24"/>
        </w:rPr>
        <w:t>采购需求响应/偏离表</w:t>
      </w:r>
    </w:p>
    <w:p w14:paraId="3BCF85E9">
      <w:pPr>
        <w:adjustRightInd w:val="0"/>
        <w:snapToGrid w:val="0"/>
        <w:spacing w:line="360" w:lineRule="auto"/>
        <w:rPr>
          <w:szCs w:val="21"/>
        </w:rPr>
      </w:pPr>
      <w:r>
        <w:rPr>
          <w:rFonts w:hint="eastAsia"/>
          <w:sz w:val="24"/>
        </w:rPr>
        <w:t>项目</w:t>
      </w:r>
      <w:r>
        <w:rPr>
          <w:sz w:val="24"/>
        </w:rPr>
        <w:t>编号：                    项目名称：                     包号：</w:t>
      </w:r>
    </w:p>
    <w:tbl>
      <w:tblPr>
        <w:tblStyle w:val="16"/>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vAlign w:val="center"/>
          </w:tcPr>
          <w:p w14:paraId="684B6852">
            <w:pPr>
              <w:adjustRightInd w:val="0"/>
              <w:snapToGrid w:val="0"/>
              <w:spacing w:before="50" w:line="360" w:lineRule="auto"/>
              <w:ind w:left="-88" w:leftChars="-42"/>
              <w:jc w:val="center"/>
              <w:rPr>
                <w:szCs w:val="21"/>
              </w:rPr>
            </w:pPr>
            <w:r>
              <w:rPr>
                <w:bCs/>
                <w:szCs w:val="21"/>
              </w:rPr>
              <w:t>序</w:t>
            </w:r>
            <w:r>
              <w:rPr>
                <w:szCs w:val="21"/>
              </w:rPr>
              <w:t>号</w:t>
            </w:r>
          </w:p>
        </w:tc>
        <w:tc>
          <w:tcPr>
            <w:tcW w:w="1877" w:type="dxa"/>
            <w:vAlign w:val="center"/>
          </w:tcPr>
          <w:p w14:paraId="4257CF67">
            <w:pPr>
              <w:adjustRightInd w:val="0"/>
              <w:snapToGrid w:val="0"/>
              <w:spacing w:before="50" w:line="360" w:lineRule="auto"/>
              <w:ind w:left="-88" w:leftChars="-42"/>
              <w:jc w:val="center"/>
              <w:rPr>
                <w:szCs w:val="21"/>
              </w:rPr>
            </w:pPr>
            <w:r>
              <w:rPr>
                <w:rFonts w:hint="eastAsia"/>
                <w:szCs w:val="21"/>
              </w:rPr>
              <w:t>招标</w:t>
            </w:r>
            <w:r>
              <w:rPr>
                <w:szCs w:val="21"/>
              </w:rPr>
              <w:t>文件章节</w:t>
            </w:r>
            <w:r>
              <w:rPr>
                <w:bCs/>
                <w:szCs w:val="21"/>
              </w:rPr>
              <w:t>条</w:t>
            </w:r>
            <w:r>
              <w:rPr>
                <w:szCs w:val="21"/>
              </w:rPr>
              <w:t>款号</w:t>
            </w:r>
          </w:p>
        </w:tc>
        <w:tc>
          <w:tcPr>
            <w:tcW w:w="1671" w:type="dxa"/>
          </w:tcPr>
          <w:p w14:paraId="769CBF21">
            <w:pPr>
              <w:adjustRightInd w:val="0"/>
              <w:snapToGrid w:val="0"/>
              <w:spacing w:before="50" w:line="360" w:lineRule="auto"/>
              <w:jc w:val="center"/>
            </w:pPr>
            <w:r>
              <w:rPr>
                <w:rFonts w:hint="eastAsia"/>
              </w:rPr>
              <w:t>招标</w:t>
            </w:r>
            <w:r>
              <w:t>文件要求</w:t>
            </w:r>
          </w:p>
        </w:tc>
        <w:tc>
          <w:tcPr>
            <w:tcW w:w="1608" w:type="dxa"/>
          </w:tcPr>
          <w:p w14:paraId="09D4284B">
            <w:pPr>
              <w:adjustRightInd w:val="0"/>
              <w:snapToGrid w:val="0"/>
              <w:spacing w:before="50" w:line="360" w:lineRule="auto"/>
              <w:jc w:val="center"/>
            </w:pPr>
            <w:r>
              <w:t>投标文件应答</w:t>
            </w:r>
          </w:p>
        </w:tc>
        <w:tc>
          <w:tcPr>
            <w:tcW w:w="1513" w:type="dxa"/>
            <w:vAlign w:val="center"/>
          </w:tcPr>
          <w:p w14:paraId="67C408D3">
            <w:pPr>
              <w:adjustRightInd w:val="0"/>
              <w:snapToGrid w:val="0"/>
              <w:spacing w:before="50" w:line="360" w:lineRule="auto"/>
              <w:ind w:left="-88" w:leftChars="-42"/>
              <w:jc w:val="center"/>
              <w:rPr>
                <w:szCs w:val="21"/>
              </w:rPr>
            </w:pPr>
            <w:r>
              <w:rPr>
                <w:szCs w:val="21"/>
              </w:rPr>
              <w:t>响应/偏离</w:t>
            </w:r>
          </w:p>
        </w:tc>
        <w:tc>
          <w:tcPr>
            <w:tcW w:w="1061" w:type="dxa"/>
            <w:vAlign w:val="center"/>
          </w:tcPr>
          <w:p w14:paraId="333762B8">
            <w:pPr>
              <w:adjustRightInd w:val="0"/>
              <w:snapToGrid w:val="0"/>
              <w:spacing w:before="50" w:line="360" w:lineRule="auto"/>
              <w:ind w:left="-88" w:leftChars="-42"/>
              <w:jc w:val="center"/>
              <w:rPr>
                <w:szCs w:val="21"/>
              </w:rPr>
            </w:pPr>
            <w:r>
              <w:rPr>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1E1580C">
            <w:pPr>
              <w:adjustRightInd w:val="0"/>
              <w:snapToGrid w:val="0"/>
              <w:spacing w:before="50" w:line="360" w:lineRule="auto"/>
              <w:ind w:left="-88" w:leftChars="-42"/>
              <w:jc w:val="center"/>
              <w:rPr>
                <w:szCs w:val="21"/>
              </w:rPr>
            </w:pPr>
          </w:p>
        </w:tc>
        <w:tc>
          <w:tcPr>
            <w:tcW w:w="1877" w:type="dxa"/>
            <w:vAlign w:val="center"/>
          </w:tcPr>
          <w:p w14:paraId="774A1D01">
            <w:pPr>
              <w:adjustRightInd w:val="0"/>
              <w:snapToGrid w:val="0"/>
              <w:spacing w:before="50" w:line="360" w:lineRule="auto"/>
              <w:ind w:left="-88" w:leftChars="-42"/>
              <w:jc w:val="center"/>
              <w:rPr>
                <w:szCs w:val="21"/>
              </w:rPr>
            </w:pPr>
          </w:p>
        </w:tc>
        <w:tc>
          <w:tcPr>
            <w:tcW w:w="1671" w:type="dxa"/>
            <w:vAlign w:val="center"/>
          </w:tcPr>
          <w:p w14:paraId="5CC39C1D">
            <w:pPr>
              <w:adjustRightInd w:val="0"/>
              <w:snapToGrid w:val="0"/>
              <w:spacing w:before="50" w:line="360" w:lineRule="auto"/>
              <w:ind w:left="-88" w:leftChars="-42"/>
              <w:jc w:val="center"/>
              <w:rPr>
                <w:szCs w:val="21"/>
              </w:rPr>
            </w:pPr>
          </w:p>
        </w:tc>
        <w:tc>
          <w:tcPr>
            <w:tcW w:w="1608" w:type="dxa"/>
            <w:vAlign w:val="center"/>
          </w:tcPr>
          <w:p w14:paraId="4C313990">
            <w:pPr>
              <w:adjustRightInd w:val="0"/>
              <w:snapToGrid w:val="0"/>
              <w:spacing w:before="50" w:line="360" w:lineRule="auto"/>
              <w:ind w:left="-88" w:leftChars="-42"/>
              <w:jc w:val="center"/>
              <w:rPr>
                <w:szCs w:val="21"/>
              </w:rPr>
            </w:pPr>
          </w:p>
        </w:tc>
        <w:tc>
          <w:tcPr>
            <w:tcW w:w="1513" w:type="dxa"/>
            <w:vAlign w:val="center"/>
          </w:tcPr>
          <w:p w14:paraId="3282AE5D">
            <w:pPr>
              <w:adjustRightInd w:val="0"/>
              <w:snapToGrid w:val="0"/>
              <w:spacing w:before="50" w:line="360" w:lineRule="auto"/>
              <w:ind w:left="-88" w:leftChars="-42"/>
              <w:jc w:val="center"/>
              <w:rPr>
                <w:szCs w:val="21"/>
              </w:rPr>
            </w:pPr>
          </w:p>
        </w:tc>
        <w:tc>
          <w:tcPr>
            <w:tcW w:w="1061" w:type="dxa"/>
            <w:vAlign w:val="center"/>
          </w:tcPr>
          <w:p w14:paraId="031F9831">
            <w:pPr>
              <w:adjustRightInd w:val="0"/>
              <w:snapToGrid w:val="0"/>
              <w:spacing w:before="50" w:line="360" w:lineRule="auto"/>
              <w:ind w:left="-88" w:leftChars="-42"/>
              <w:jc w:val="center"/>
              <w:rPr>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77AAB4EE">
            <w:pPr>
              <w:adjustRightInd w:val="0"/>
              <w:snapToGrid w:val="0"/>
              <w:spacing w:before="50" w:line="360" w:lineRule="auto"/>
              <w:ind w:left="-88" w:leftChars="-42"/>
              <w:jc w:val="center"/>
              <w:rPr>
                <w:szCs w:val="21"/>
              </w:rPr>
            </w:pPr>
          </w:p>
        </w:tc>
        <w:tc>
          <w:tcPr>
            <w:tcW w:w="1877" w:type="dxa"/>
            <w:vAlign w:val="center"/>
          </w:tcPr>
          <w:p w14:paraId="50AEF049">
            <w:pPr>
              <w:adjustRightInd w:val="0"/>
              <w:snapToGrid w:val="0"/>
              <w:spacing w:before="50" w:line="360" w:lineRule="auto"/>
              <w:ind w:left="-88" w:leftChars="-42"/>
              <w:jc w:val="center"/>
              <w:rPr>
                <w:szCs w:val="21"/>
              </w:rPr>
            </w:pPr>
          </w:p>
        </w:tc>
        <w:tc>
          <w:tcPr>
            <w:tcW w:w="1671" w:type="dxa"/>
            <w:vAlign w:val="center"/>
          </w:tcPr>
          <w:p w14:paraId="2A7B0A3E">
            <w:pPr>
              <w:adjustRightInd w:val="0"/>
              <w:snapToGrid w:val="0"/>
              <w:spacing w:before="50" w:line="360" w:lineRule="auto"/>
              <w:ind w:left="-88" w:leftChars="-42"/>
              <w:jc w:val="center"/>
              <w:rPr>
                <w:szCs w:val="21"/>
              </w:rPr>
            </w:pPr>
          </w:p>
        </w:tc>
        <w:tc>
          <w:tcPr>
            <w:tcW w:w="1608" w:type="dxa"/>
            <w:vAlign w:val="center"/>
          </w:tcPr>
          <w:p w14:paraId="4A601AAF">
            <w:pPr>
              <w:adjustRightInd w:val="0"/>
              <w:snapToGrid w:val="0"/>
              <w:spacing w:before="50" w:line="360" w:lineRule="auto"/>
              <w:ind w:left="-88" w:leftChars="-42"/>
              <w:jc w:val="center"/>
              <w:rPr>
                <w:szCs w:val="21"/>
              </w:rPr>
            </w:pPr>
          </w:p>
        </w:tc>
        <w:tc>
          <w:tcPr>
            <w:tcW w:w="1513" w:type="dxa"/>
            <w:vAlign w:val="center"/>
          </w:tcPr>
          <w:p w14:paraId="25C22211">
            <w:pPr>
              <w:adjustRightInd w:val="0"/>
              <w:snapToGrid w:val="0"/>
              <w:spacing w:before="50" w:line="360" w:lineRule="auto"/>
              <w:ind w:left="-88" w:leftChars="-42"/>
              <w:jc w:val="center"/>
              <w:rPr>
                <w:szCs w:val="21"/>
              </w:rPr>
            </w:pPr>
          </w:p>
        </w:tc>
        <w:tc>
          <w:tcPr>
            <w:tcW w:w="1061" w:type="dxa"/>
            <w:vAlign w:val="center"/>
          </w:tcPr>
          <w:p w14:paraId="571A0A5F">
            <w:pPr>
              <w:adjustRightInd w:val="0"/>
              <w:snapToGrid w:val="0"/>
              <w:spacing w:before="50" w:line="360" w:lineRule="auto"/>
              <w:ind w:left="-88" w:leftChars="-42"/>
              <w:jc w:val="center"/>
              <w:rPr>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vAlign w:val="center"/>
          </w:tcPr>
          <w:p w14:paraId="5A3B4144">
            <w:pPr>
              <w:adjustRightInd w:val="0"/>
              <w:snapToGrid w:val="0"/>
              <w:spacing w:before="50" w:line="360" w:lineRule="auto"/>
              <w:ind w:left="-88" w:leftChars="-42"/>
              <w:jc w:val="center"/>
              <w:rPr>
                <w:szCs w:val="21"/>
              </w:rPr>
            </w:pPr>
          </w:p>
        </w:tc>
        <w:tc>
          <w:tcPr>
            <w:tcW w:w="1877" w:type="dxa"/>
            <w:vAlign w:val="center"/>
          </w:tcPr>
          <w:p w14:paraId="5678C7D8">
            <w:pPr>
              <w:adjustRightInd w:val="0"/>
              <w:snapToGrid w:val="0"/>
              <w:spacing w:before="50" w:line="360" w:lineRule="auto"/>
              <w:ind w:left="-88" w:leftChars="-42"/>
              <w:jc w:val="center"/>
              <w:rPr>
                <w:szCs w:val="21"/>
              </w:rPr>
            </w:pPr>
          </w:p>
        </w:tc>
        <w:tc>
          <w:tcPr>
            <w:tcW w:w="1671" w:type="dxa"/>
            <w:vAlign w:val="center"/>
          </w:tcPr>
          <w:p w14:paraId="7AD96B66">
            <w:pPr>
              <w:adjustRightInd w:val="0"/>
              <w:snapToGrid w:val="0"/>
              <w:spacing w:before="50" w:line="360" w:lineRule="auto"/>
              <w:ind w:left="-88" w:leftChars="-42"/>
              <w:jc w:val="center"/>
              <w:rPr>
                <w:szCs w:val="21"/>
              </w:rPr>
            </w:pPr>
          </w:p>
        </w:tc>
        <w:tc>
          <w:tcPr>
            <w:tcW w:w="1608" w:type="dxa"/>
            <w:vAlign w:val="center"/>
          </w:tcPr>
          <w:p w14:paraId="368E095E">
            <w:pPr>
              <w:adjustRightInd w:val="0"/>
              <w:snapToGrid w:val="0"/>
              <w:spacing w:before="50" w:line="360" w:lineRule="auto"/>
              <w:ind w:left="-88" w:leftChars="-42"/>
              <w:jc w:val="center"/>
              <w:rPr>
                <w:szCs w:val="21"/>
              </w:rPr>
            </w:pPr>
          </w:p>
        </w:tc>
        <w:tc>
          <w:tcPr>
            <w:tcW w:w="1513" w:type="dxa"/>
            <w:vAlign w:val="center"/>
          </w:tcPr>
          <w:p w14:paraId="1E861332">
            <w:pPr>
              <w:adjustRightInd w:val="0"/>
              <w:snapToGrid w:val="0"/>
              <w:spacing w:before="50" w:line="360" w:lineRule="auto"/>
              <w:ind w:left="-88" w:leftChars="-42"/>
              <w:jc w:val="center"/>
              <w:rPr>
                <w:szCs w:val="21"/>
              </w:rPr>
            </w:pPr>
          </w:p>
        </w:tc>
        <w:tc>
          <w:tcPr>
            <w:tcW w:w="1061" w:type="dxa"/>
            <w:vAlign w:val="center"/>
          </w:tcPr>
          <w:p w14:paraId="1DDFBBC9">
            <w:pPr>
              <w:adjustRightInd w:val="0"/>
              <w:snapToGrid w:val="0"/>
              <w:spacing w:before="50" w:line="360" w:lineRule="auto"/>
              <w:ind w:left="-88" w:leftChars="-42"/>
              <w:jc w:val="center"/>
              <w:rPr>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vAlign w:val="center"/>
          </w:tcPr>
          <w:p w14:paraId="5564F7E0">
            <w:pPr>
              <w:rPr>
                <w:b/>
              </w:rPr>
            </w:pPr>
          </w:p>
        </w:tc>
      </w:tr>
    </w:tbl>
    <w:p w14:paraId="58C809C7">
      <w:pPr>
        <w:adjustRightInd w:val="0"/>
        <w:snapToGrid w:val="0"/>
        <w:spacing w:before="50" w:line="360" w:lineRule="auto"/>
        <w:ind w:left="-88" w:leftChars="-42"/>
        <w:rPr>
          <w:sz w:val="24"/>
        </w:rPr>
      </w:pPr>
      <w:r>
        <w:rPr>
          <w:b/>
          <w:sz w:val="24"/>
        </w:rPr>
        <w:t>备注</w:t>
      </w:r>
      <w:r>
        <w:rPr>
          <w:sz w:val="24"/>
        </w:rPr>
        <w:t>：</w:t>
      </w:r>
    </w:p>
    <w:bookmarkEnd w:id="2"/>
    <w:bookmarkEnd w:id="3"/>
    <w:p w14:paraId="559CC365">
      <w:pPr>
        <w:adjustRightInd w:val="0"/>
        <w:snapToGrid w:val="0"/>
        <w:spacing w:before="50" w:line="360" w:lineRule="auto"/>
        <w:ind w:left="-88" w:leftChars="-42"/>
        <w:rPr>
          <w:sz w:val="24"/>
        </w:rPr>
      </w:pPr>
      <w:r>
        <w:rPr>
          <w:sz w:val="24"/>
        </w:rPr>
        <w:t>（1）投标人应根据文件第</w:t>
      </w:r>
      <w:r>
        <w:rPr>
          <w:rFonts w:hint="eastAsia"/>
          <w:sz w:val="24"/>
        </w:rPr>
        <w:t>二</w:t>
      </w:r>
      <w:r>
        <w:rPr>
          <w:sz w:val="24"/>
        </w:rPr>
        <w:t>章中采购需求填写本表，逐条应答；</w:t>
      </w:r>
    </w:p>
    <w:p w14:paraId="5F3C4965">
      <w:pPr>
        <w:adjustRightInd w:val="0"/>
        <w:snapToGrid w:val="0"/>
        <w:spacing w:before="50" w:line="360" w:lineRule="auto"/>
        <w:ind w:left="-88" w:leftChars="-42"/>
        <w:rPr>
          <w:sz w:val="24"/>
        </w:rPr>
      </w:pPr>
      <w:r>
        <w:rPr>
          <w:sz w:val="24"/>
        </w:rPr>
        <w:t>（2）如不提供此表，则视为投标人不满足文件第</w:t>
      </w:r>
      <w:r>
        <w:rPr>
          <w:rFonts w:hint="eastAsia"/>
          <w:sz w:val="24"/>
        </w:rPr>
        <w:t>二</w:t>
      </w:r>
      <w:r>
        <w:rPr>
          <w:sz w:val="24"/>
        </w:rPr>
        <w:t>章的所有条款要求，其投标无效；</w:t>
      </w:r>
    </w:p>
    <w:p w14:paraId="38E3C596">
      <w:pPr>
        <w:adjustRightInd w:val="0"/>
        <w:snapToGrid w:val="0"/>
        <w:spacing w:before="50" w:line="360" w:lineRule="auto"/>
        <w:ind w:left="-88" w:leftChars="-42"/>
      </w:pPr>
      <w:r>
        <w:rPr>
          <w:sz w:val="24"/>
        </w:rPr>
        <w:t>（3）</w:t>
      </w:r>
      <w:r>
        <w:rPr>
          <w:rFonts w:hint="eastAsia"/>
          <w:sz w:val="24"/>
        </w:rPr>
        <w:t>本项目为最低价评分法，所有参数必须全部响应，并在响应表中逐条应答，如有任何一条负偏离，则视为无效投标</w:t>
      </w:r>
    </w:p>
    <w:p w14:paraId="7546D202">
      <w:pPr>
        <w:pStyle w:val="25"/>
      </w:pPr>
    </w:p>
    <w:p w14:paraId="5EEA99A1">
      <w:pPr>
        <w:pStyle w:val="24"/>
      </w:pPr>
    </w:p>
    <w:p w14:paraId="4F73B9B6"/>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1"/>
      <w:rPr>
        <w:rFonts w:ascii="仿宋_GB2312" w:eastAsia="仿宋_GB2312"/>
        <w:bCs/>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C1333E6">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1"/>
      <w:rPr>
        <w:rFonts w:ascii="仿宋_GB2312" w:eastAsia="仿宋_GB2312"/>
        <w:bCs/>
        <w:u w:val="single"/>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F0F794">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2"/>
      <w:ind w:left="8280" w:hanging="8280" w:hangingChars="4600"/>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3YmMxNGQ0NDE0NTRiYjQ3MWFkZjk1MWM2MTc2NWEifQ=="/>
  </w:docVars>
  <w:rsids>
    <w:rsidRoot w:val="6DE375E4"/>
    <w:rsid w:val="00025532"/>
    <w:rsid w:val="00036DB4"/>
    <w:rsid w:val="000746AF"/>
    <w:rsid w:val="000E5D92"/>
    <w:rsid w:val="002B5400"/>
    <w:rsid w:val="002F510B"/>
    <w:rsid w:val="00532885"/>
    <w:rsid w:val="00684031"/>
    <w:rsid w:val="006B16FB"/>
    <w:rsid w:val="006C2CA5"/>
    <w:rsid w:val="006F2E55"/>
    <w:rsid w:val="00701CE8"/>
    <w:rsid w:val="00770CD7"/>
    <w:rsid w:val="00824820"/>
    <w:rsid w:val="00840FB7"/>
    <w:rsid w:val="008D3D26"/>
    <w:rsid w:val="009054E8"/>
    <w:rsid w:val="00982A51"/>
    <w:rsid w:val="009D03E6"/>
    <w:rsid w:val="00A37BD1"/>
    <w:rsid w:val="00A95A90"/>
    <w:rsid w:val="00AE556A"/>
    <w:rsid w:val="00B16F80"/>
    <w:rsid w:val="00BD5B8D"/>
    <w:rsid w:val="00C230AF"/>
    <w:rsid w:val="00CC7AE0"/>
    <w:rsid w:val="00D77DE5"/>
    <w:rsid w:val="00D963B7"/>
    <w:rsid w:val="00E25F9B"/>
    <w:rsid w:val="00E645EC"/>
    <w:rsid w:val="00F5793F"/>
    <w:rsid w:val="01350E35"/>
    <w:rsid w:val="02390242"/>
    <w:rsid w:val="03E43FAE"/>
    <w:rsid w:val="04653F41"/>
    <w:rsid w:val="04B72FC8"/>
    <w:rsid w:val="04F57A38"/>
    <w:rsid w:val="050719CA"/>
    <w:rsid w:val="056B0EF3"/>
    <w:rsid w:val="06934BAA"/>
    <w:rsid w:val="06E91EC4"/>
    <w:rsid w:val="07731DE6"/>
    <w:rsid w:val="086F75C9"/>
    <w:rsid w:val="09C0303A"/>
    <w:rsid w:val="0A3F4F3C"/>
    <w:rsid w:val="0A4E2BD2"/>
    <w:rsid w:val="0A6D3244"/>
    <w:rsid w:val="0A8A74D4"/>
    <w:rsid w:val="0CAD5ABA"/>
    <w:rsid w:val="0CAD77BD"/>
    <w:rsid w:val="0CD87BD4"/>
    <w:rsid w:val="0DF66FED"/>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5DD4F6F"/>
    <w:rsid w:val="163301F0"/>
    <w:rsid w:val="17F91BB8"/>
    <w:rsid w:val="193E7D91"/>
    <w:rsid w:val="1943608F"/>
    <w:rsid w:val="19E40286"/>
    <w:rsid w:val="19E91315"/>
    <w:rsid w:val="1AF56B46"/>
    <w:rsid w:val="1CE412C7"/>
    <w:rsid w:val="1D5071B5"/>
    <w:rsid w:val="1DD7486D"/>
    <w:rsid w:val="1E79119D"/>
    <w:rsid w:val="1EF47691"/>
    <w:rsid w:val="1F334F58"/>
    <w:rsid w:val="1F796B24"/>
    <w:rsid w:val="1F7E3A26"/>
    <w:rsid w:val="1FC602A8"/>
    <w:rsid w:val="1FE73549"/>
    <w:rsid w:val="2038045E"/>
    <w:rsid w:val="20AF0900"/>
    <w:rsid w:val="20B41DA7"/>
    <w:rsid w:val="21C61C7A"/>
    <w:rsid w:val="2280405B"/>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BF61ECB"/>
    <w:rsid w:val="2C0A2E19"/>
    <w:rsid w:val="2C7642D0"/>
    <w:rsid w:val="2C8B7C6A"/>
    <w:rsid w:val="2CC97A35"/>
    <w:rsid w:val="2DD77C64"/>
    <w:rsid w:val="2DDA1E78"/>
    <w:rsid w:val="2DE00B8C"/>
    <w:rsid w:val="2EAC037F"/>
    <w:rsid w:val="2EB67A5C"/>
    <w:rsid w:val="2F4F5D1C"/>
    <w:rsid w:val="302741D2"/>
    <w:rsid w:val="308B184D"/>
    <w:rsid w:val="309C1E01"/>
    <w:rsid w:val="30BB11DD"/>
    <w:rsid w:val="3113539E"/>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CB132D9"/>
    <w:rsid w:val="4D754257"/>
    <w:rsid w:val="4DCD6AB3"/>
    <w:rsid w:val="4DDD6104"/>
    <w:rsid w:val="4DE92593"/>
    <w:rsid w:val="4EE7662F"/>
    <w:rsid w:val="50216DCD"/>
    <w:rsid w:val="503F2EC3"/>
    <w:rsid w:val="50540C20"/>
    <w:rsid w:val="506258C6"/>
    <w:rsid w:val="50743AC8"/>
    <w:rsid w:val="51AC28BD"/>
    <w:rsid w:val="52183ACC"/>
    <w:rsid w:val="53B55872"/>
    <w:rsid w:val="544055F2"/>
    <w:rsid w:val="54AD4386"/>
    <w:rsid w:val="54E30E5A"/>
    <w:rsid w:val="5587625E"/>
    <w:rsid w:val="55937F05"/>
    <w:rsid w:val="55D8243C"/>
    <w:rsid w:val="56483C8F"/>
    <w:rsid w:val="56C77AA7"/>
    <w:rsid w:val="57F52F2F"/>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F3562A"/>
    <w:rsid w:val="680E122C"/>
    <w:rsid w:val="6A4E1D63"/>
    <w:rsid w:val="6A90762D"/>
    <w:rsid w:val="6AB9152E"/>
    <w:rsid w:val="6B592423"/>
    <w:rsid w:val="6C486FE4"/>
    <w:rsid w:val="6C8F7701"/>
    <w:rsid w:val="6CA409DF"/>
    <w:rsid w:val="6DE375E4"/>
    <w:rsid w:val="6E6021DE"/>
    <w:rsid w:val="6E8E5287"/>
    <w:rsid w:val="6F6F4A62"/>
    <w:rsid w:val="6FAC3B48"/>
    <w:rsid w:val="6FAD463B"/>
    <w:rsid w:val="6FBE332C"/>
    <w:rsid w:val="70CE0BC9"/>
    <w:rsid w:val="71410A38"/>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2B556E"/>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semiHidden/>
    <w:qFormat/>
    <w:uiPriority w:val="0"/>
    <w:rPr>
      <w:rFonts w:ascii="宋体" w:hAnsi="宋体" w:cs="宋体"/>
      <w:sz w:val="24"/>
      <w:lang w:eastAsia="en-US"/>
    </w:rPr>
  </w:style>
  <w:style w:type="paragraph" w:styleId="9">
    <w:name w:val="Body Text Indent"/>
    <w:basedOn w:val="1"/>
    <w:next w:val="1"/>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2"/>
    <w:basedOn w:val="1"/>
    <w:qFormat/>
    <w:uiPriority w:val="0"/>
    <w:pPr>
      <w:spacing w:after="120" w:line="480" w:lineRule="auto"/>
    </w:pPr>
  </w:style>
  <w:style w:type="paragraph" w:styleId="14">
    <w:name w:val="Normal (Web)"/>
    <w:basedOn w:val="1"/>
    <w:qFormat/>
    <w:uiPriority w:val="0"/>
    <w:rPr>
      <w:sz w:val="24"/>
    </w:rPr>
  </w:style>
  <w:style w:type="paragraph" w:styleId="15">
    <w:name w:val="Body Text First Indent 2"/>
    <w:basedOn w:val="9"/>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paragraph" w:customStyle="1" w:styleId="2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3">
    <w:name w:val="大标题"/>
    <w:basedOn w:val="1"/>
    <w:next w:val="15"/>
    <w:qFormat/>
    <w:uiPriority w:val="0"/>
    <w:pPr>
      <w:jc w:val="center"/>
    </w:pPr>
    <w:rPr>
      <w:rFonts w:ascii="Arial" w:hAnsi="Arial"/>
      <w:b/>
      <w:sz w:val="28"/>
    </w:rPr>
  </w:style>
  <w:style w:type="paragraph" w:customStyle="1" w:styleId="24">
    <w:name w:val="列出段落1"/>
    <w:basedOn w:val="1"/>
    <w:qFormat/>
    <w:uiPriority w:val="99"/>
    <w:pPr>
      <w:ind w:firstLine="420" w:firstLineChars="200"/>
    </w:pPr>
  </w:style>
  <w:style w:type="paragraph" w:customStyle="1" w:styleId="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列表段落1"/>
    <w:basedOn w:val="1"/>
    <w:unhideWhenUsed/>
    <w:qFormat/>
    <w:uiPriority w:val="99"/>
    <w:pPr>
      <w:ind w:firstLine="420" w:firstLineChars="200"/>
    </w:pPr>
  </w:style>
  <w:style w:type="paragraph" w:customStyle="1" w:styleId="2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10372</Words>
  <Characters>10814</Characters>
  <Lines>68</Lines>
  <Paragraphs>19</Paragraphs>
  <TotalTime>2</TotalTime>
  <ScaleCrop>false</ScaleCrop>
  <LinksUpToDate>false</LinksUpToDate>
  <CharactersWithSpaces>11716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2026-08-03T12:27:00Z</dcterms:created>
  <dc:creator>是小豹子</dc:creator>
  <cp:lastModifiedBy>张思远</cp:lastModifiedBy>
  <dcterms:modified xsi:type="dcterms:W3CDTF">2026-08-18T02:10:15Z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y fmtid="{D5CDD505-2E9C-101B-9397-08002B2CF9AE}" pid="5" name="MSIP_Label_b7864bb8-b671-4bed-ba85-9478127ab5e9_Enabled">
    <vt:lpwstr>true</vt:lpwstr>
  </property>
  <property fmtid="{D5CDD505-2E9C-101B-9397-08002B2CF9AE}" pid="6" name="MSIP_Label_b7864bb8-b671-4bed-ba85-9478127ab5e9_SetDate">
    <vt:lpwstr>2026-08-03T09:25:17Z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f7d54e4c-4bdd-4208-ab6c-2c07bfae6aa4</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