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6"/>
        <w:snapToGrid w:val="0"/>
        <w:jc w:val="center"/>
        <w:rPr>
          <w:rFonts w:hint="eastAsia" w:ascii="Arial" w:hAnsi="Arial" w:eastAsia="方正小标宋简体" w:cs="Arial"/>
          <w:color w:val="auto"/>
          <w:sz w:val="72"/>
          <w:szCs w:val="72"/>
          <w:lang w:eastAsia="zh-CN"/>
        </w:rPr>
      </w:pPr>
      <w:bookmarkStart w:id="0" w:name="_Toc16523570"/>
    </w:p>
    <w:p w14:paraId="624C34B6">
      <w:pPr>
        <w:pStyle w:val="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6"/>
        <w:snapToGrid w:val="0"/>
        <w:jc w:val="center"/>
        <w:rPr>
          <w:rFonts w:hint="eastAsia" w:ascii="Arial" w:hAnsi="Arial" w:eastAsia="方正小标宋简体" w:cs="Arial"/>
          <w:sz w:val="72"/>
          <w:szCs w:val="72"/>
        </w:rPr>
      </w:pPr>
    </w:p>
    <w:p w14:paraId="16E58BC0">
      <w:pPr>
        <w:pStyle w:val="6"/>
        <w:snapToGrid w:val="0"/>
        <w:jc w:val="center"/>
        <w:rPr>
          <w:rFonts w:hint="eastAsia" w:ascii="Arial" w:hAnsi="Arial" w:eastAsia="方正小标宋简体" w:cs="Arial"/>
          <w:sz w:val="72"/>
          <w:szCs w:val="72"/>
        </w:rPr>
      </w:pPr>
    </w:p>
    <w:p w14:paraId="7D3C3256">
      <w:pPr>
        <w:pStyle w:val="6"/>
        <w:snapToGrid w:val="0"/>
        <w:jc w:val="center"/>
        <w:rPr>
          <w:rFonts w:hint="eastAsia" w:ascii="Arial" w:hAnsi="Arial" w:eastAsia="方正小标宋简体" w:cs="Arial"/>
          <w:sz w:val="72"/>
          <w:szCs w:val="72"/>
        </w:rPr>
      </w:pPr>
    </w:p>
    <w:p w14:paraId="11608FC0">
      <w:pPr>
        <w:pStyle w:val="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6"/>
        <w:snapToGrid w:val="0"/>
        <w:jc w:val="center"/>
        <w:rPr>
          <w:rFonts w:ascii="Arial" w:hAnsi="Arial" w:cs="Arial"/>
          <w:sz w:val="32"/>
          <w:szCs w:val="32"/>
        </w:rPr>
      </w:pPr>
    </w:p>
    <w:p w14:paraId="46311545">
      <w:pPr>
        <w:pStyle w:val="16"/>
        <w:rPr>
          <w:rFonts w:ascii="Arial" w:hAnsi="Arial" w:cs="Arial"/>
          <w:sz w:val="32"/>
          <w:szCs w:val="32"/>
        </w:rPr>
      </w:pPr>
    </w:p>
    <w:p w14:paraId="5F00027D">
      <w:pPr>
        <w:pStyle w:val="12"/>
        <w:rPr>
          <w:rFonts w:ascii="Arial" w:hAnsi="Arial" w:cs="Arial"/>
          <w:sz w:val="32"/>
          <w:szCs w:val="32"/>
        </w:rPr>
      </w:pPr>
    </w:p>
    <w:p w14:paraId="790E99FE">
      <w:pPr>
        <w:pStyle w:val="12"/>
        <w:rPr>
          <w:rFonts w:ascii="Arial" w:hAnsi="Arial" w:cs="Arial"/>
          <w:sz w:val="32"/>
          <w:szCs w:val="32"/>
        </w:rPr>
      </w:pPr>
    </w:p>
    <w:p w14:paraId="6D6CF557">
      <w:pPr>
        <w:pStyle w:val="12"/>
        <w:rPr>
          <w:rFonts w:ascii="Arial" w:hAnsi="Arial" w:cs="Arial"/>
          <w:sz w:val="32"/>
          <w:szCs w:val="32"/>
        </w:rPr>
      </w:pPr>
    </w:p>
    <w:p w14:paraId="77BABE1C">
      <w:pPr>
        <w:pStyle w:val="12"/>
        <w:rPr>
          <w:rFonts w:ascii="Arial" w:hAnsi="Arial" w:cs="Arial"/>
          <w:sz w:val="32"/>
          <w:szCs w:val="32"/>
        </w:rPr>
      </w:pPr>
    </w:p>
    <w:p w14:paraId="1C0FB295">
      <w:pPr>
        <w:pStyle w:val="12"/>
        <w:rPr>
          <w:rFonts w:ascii="Arial" w:hAnsi="Arial" w:cs="Arial"/>
          <w:sz w:val="32"/>
          <w:szCs w:val="32"/>
        </w:rPr>
      </w:pPr>
    </w:p>
    <w:p w14:paraId="4C96CB97">
      <w:pPr>
        <w:pStyle w:val="12"/>
        <w:rPr>
          <w:rFonts w:ascii="Arial" w:hAnsi="Arial" w:cs="Arial"/>
          <w:sz w:val="32"/>
          <w:szCs w:val="32"/>
        </w:rPr>
      </w:pPr>
    </w:p>
    <w:p w14:paraId="1825AAC5">
      <w:pPr>
        <w:pStyle w:val="12"/>
        <w:rPr>
          <w:rFonts w:ascii="Arial" w:hAnsi="Arial" w:cs="Arial"/>
          <w:sz w:val="32"/>
          <w:szCs w:val="32"/>
        </w:rPr>
      </w:pPr>
    </w:p>
    <w:p w14:paraId="1B92FFA5">
      <w:pPr>
        <w:pStyle w:val="6"/>
        <w:snapToGrid w:val="0"/>
        <w:jc w:val="center"/>
        <w:rPr>
          <w:rFonts w:ascii="Arial" w:hAnsi="Arial" w:cs="Arial"/>
          <w:sz w:val="32"/>
          <w:szCs w:val="32"/>
        </w:rPr>
      </w:pPr>
    </w:p>
    <w:p w14:paraId="3EB4A47A">
      <w:pPr>
        <w:pStyle w:val="6"/>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（显微镜2台医院公开挂网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六</w:t>
      </w:r>
      <w:r>
        <w:rPr>
          <w:rFonts w:hint="eastAsia" w:ascii="宋体" w:hAnsi="宋体" w:cs="宋体"/>
          <w:bCs/>
          <w:sz w:val="32"/>
          <w:szCs w:val="32"/>
        </w:rPr>
        <w:t>年</w:t>
      </w:r>
      <w:r>
        <w:rPr>
          <w:rFonts w:hint="eastAsia" w:ascii="宋体" w:hAnsi="宋体" w:cs="宋体"/>
          <w:bCs/>
          <w:sz w:val="32"/>
          <w:szCs w:val="32"/>
          <w:lang w:eastAsia="zh-CN"/>
        </w:rPr>
        <w:t>八</w:t>
      </w:r>
      <w:r>
        <w:rPr>
          <w:rFonts w:hint="eastAsia" w:ascii="宋体" w:hAnsi="宋体" w:cs="宋体"/>
          <w:bCs/>
          <w:sz w:val="32"/>
          <w:szCs w:val="32"/>
        </w:rPr>
        <w:t>月</w:t>
      </w:r>
    </w:p>
    <w:p w14:paraId="4F5472A4">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显微镜(2台)</w:t>
      </w:r>
      <w:r>
        <w:rPr>
          <w:rFonts w:hint="eastAsia" w:asciiTheme="minorEastAsia" w:hAnsiTheme="minorEastAsia" w:eastAsiaTheme="minorEastAsia" w:cstheme="minorEastAsia"/>
          <w:bCs/>
          <w:color w:val="auto"/>
          <w:sz w:val="24"/>
          <w:szCs w:val="24"/>
          <w:u w:val="none"/>
          <w:lang w:val="en-US" w:eastAsia="zh-CN"/>
        </w:rPr>
        <w:t>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435321EC">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 w:val="0"/>
          <w:bCs/>
          <w:color w:val="auto"/>
          <w:sz w:val="24"/>
          <w:szCs w:val="24"/>
          <w:u w:val="single"/>
          <w:lang w:val="en-US" w:eastAsia="zh-CN"/>
        </w:rPr>
        <w:t>显微镜</w:t>
      </w:r>
      <w:r>
        <w:rPr>
          <w:rFonts w:hint="eastAsia" w:asciiTheme="minorEastAsia" w:hAnsiTheme="minorEastAsia" w:eastAsiaTheme="minorEastAsia" w:cstheme="minorEastAsia"/>
          <w:bCs/>
          <w:color w:val="auto"/>
          <w:sz w:val="24"/>
          <w:szCs w:val="24"/>
          <w:u w:val="single"/>
          <w:lang w:val="en-US" w:eastAsia="zh-CN"/>
        </w:rPr>
        <w:t>(2台)</w:t>
      </w:r>
      <w:r>
        <w:rPr>
          <w:rFonts w:hint="eastAsia" w:asciiTheme="minorEastAsia" w:hAnsiTheme="minorEastAsia" w:eastAsiaTheme="minorEastAsia" w:cstheme="minorEastAsia"/>
          <w:b w:val="0"/>
          <w:bCs/>
          <w:color w:val="auto"/>
          <w:sz w:val="24"/>
          <w:szCs w:val="24"/>
          <w:lang w:val="en-US" w:eastAsia="zh-CN"/>
        </w:rPr>
        <w:t>项目</w:t>
      </w:r>
    </w:p>
    <w:p w14:paraId="0AC8FEC7">
      <w:pPr>
        <w:pStyle w:val="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bookmarkEnd w:id="0"/>
    <w:p w14:paraId="76DBA799">
      <w:pPr>
        <w:pStyle w:val="6"/>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03E8934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E28611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1、投标报名、截止时间、开标时间：见医院官网公开挂网表</w:t>
      </w:r>
    </w:p>
    <w:p w14:paraId="0808AD5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AB872F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26A7334E">
      <w:pPr>
        <w:pStyle w:val="16"/>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FF0000"/>
          <w:sz w:val="24"/>
          <w:szCs w:val="24"/>
          <w:lang w:val="en-US" w:eastAsia="zh-CN" w:bidi="ar-SA"/>
        </w:rPr>
      </w:pPr>
      <w:r>
        <w:rPr>
          <w:rFonts w:hint="eastAsia" w:asciiTheme="minorEastAsia" w:hAnsiTheme="minorEastAsia" w:eastAsiaTheme="minorEastAsia" w:cstheme="minorEastAsia"/>
          <w:b w:val="0"/>
          <w:bCs/>
          <w:color w:val="FF0000"/>
          <w:sz w:val="24"/>
          <w:szCs w:val="24"/>
          <w:lang w:val="en-US" w:eastAsia="zh-CN" w:bidi="ar-SA"/>
        </w:rPr>
        <w:t>1.7、技术参数负偏离大于5条的。</w:t>
      </w:r>
    </w:p>
    <w:p w14:paraId="731CB78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lang w:val="en-US" w:eastAsia="zh-CN"/>
        </w:rPr>
      </w:pPr>
    </w:p>
    <w:p w14:paraId="687E9235">
      <w:pPr>
        <w:pStyle w:val="16"/>
        <w:jc w:val="both"/>
        <w:rPr>
          <w:rFonts w:hint="default"/>
          <w:lang w:val="en-US" w:eastAsia="zh-CN"/>
        </w:rPr>
      </w:pPr>
    </w:p>
    <w:p w14:paraId="7AECD5DA">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6"/>
        <w:rPr>
          <w:rFonts w:hint="eastAsia" w:ascii="宋体" w:hAnsi="宋体" w:cs="宋体"/>
          <w:b/>
          <w:bCs/>
          <w:color w:val="auto"/>
          <w:sz w:val="44"/>
          <w:szCs w:val="44"/>
          <w:lang w:val="en-US" w:eastAsia="zh-CN"/>
        </w:rPr>
      </w:pPr>
    </w:p>
    <w:p w14:paraId="2DA0410F">
      <w:pPr>
        <w:pStyle w:val="12"/>
        <w:rPr>
          <w:rFonts w:hint="eastAsia" w:ascii="宋体" w:hAnsi="宋体" w:cs="宋体"/>
          <w:b/>
          <w:bCs/>
          <w:color w:val="auto"/>
          <w:sz w:val="44"/>
          <w:szCs w:val="44"/>
          <w:lang w:val="en-US" w:eastAsia="zh-CN"/>
        </w:rPr>
      </w:pPr>
    </w:p>
    <w:p w14:paraId="7BD263B8">
      <w:pPr>
        <w:pStyle w:val="12"/>
        <w:rPr>
          <w:rFonts w:hint="eastAsia" w:ascii="宋体" w:hAnsi="宋体" w:cs="宋体"/>
          <w:b/>
          <w:bCs/>
          <w:color w:val="auto"/>
          <w:sz w:val="44"/>
          <w:szCs w:val="44"/>
          <w:lang w:val="en-US" w:eastAsia="zh-CN"/>
        </w:rPr>
      </w:pPr>
    </w:p>
    <w:p w14:paraId="260A94AF">
      <w:pPr>
        <w:pStyle w:val="12"/>
        <w:rPr>
          <w:rFonts w:hint="eastAsia" w:ascii="宋体" w:hAnsi="宋体" w:cs="宋体"/>
          <w:b/>
          <w:bCs/>
          <w:color w:val="auto"/>
          <w:sz w:val="44"/>
          <w:szCs w:val="44"/>
          <w:lang w:val="en-US" w:eastAsia="zh-CN"/>
        </w:rPr>
      </w:pPr>
    </w:p>
    <w:p w14:paraId="7EB67C07">
      <w:pPr>
        <w:pStyle w:val="12"/>
        <w:rPr>
          <w:rFonts w:hint="eastAsia" w:ascii="宋体" w:hAnsi="宋体" w:cs="宋体"/>
          <w:b/>
          <w:bCs/>
          <w:color w:val="auto"/>
          <w:sz w:val="44"/>
          <w:szCs w:val="44"/>
          <w:lang w:val="en-US" w:eastAsia="zh-CN"/>
        </w:rPr>
      </w:pPr>
    </w:p>
    <w:p w14:paraId="5FE0AE3F">
      <w:pPr>
        <w:pStyle w:val="12"/>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6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86"/>
      </w:tblGrid>
      <w:tr w14:paraId="20CC54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7B7E320">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是否允许进口产品</w:t>
            </w:r>
          </w:p>
        </w:tc>
      </w:tr>
      <w:tr w14:paraId="4C6A9A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pageBreakBefore w:val="0"/>
              <w:widowControl/>
              <w:suppressLineNumbers w:val="0"/>
              <w:kinsoku/>
              <w:wordWrap/>
              <w:overflowPunct/>
              <w:topLinePunct w:val="0"/>
              <w:autoSpaceDE/>
              <w:autoSpaceDN/>
              <w:bidi w:val="0"/>
              <w:adjustRightInd/>
              <w:snapToGrid/>
              <w:ind w:firstLine="480" w:firstLineChars="200"/>
              <w:jc w:val="both"/>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显微镜</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15</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425A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否</w:t>
            </w:r>
          </w:p>
        </w:tc>
      </w:tr>
    </w:tbl>
    <w:p w14:paraId="39DE11E6">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336CF4A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w:t>
      </w:r>
    </w:p>
    <w:p w14:paraId="4B9EAA40">
      <w:pPr>
        <w:keepNext w:val="0"/>
        <w:keepLines w:val="0"/>
        <w:pageBreakBefore w:val="0"/>
        <w:widowControl w:val="0"/>
        <w:kinsoku/>
        <w:wordWrap/>
        <w:topLinePunct w:val="0"/>
        <w:autoSpaceDE/>
        <w:autoSpaceDN/>
        <w:bidi w:val="0"/>
        <w:snapToGrid/>
        <w:ind w:firstLine="482" w:firstLineChars="200"/>
        <w:jc w:val="both"/>
        <w:textAlignment w:val="baseline"/>
        <w:rPr>
          <w:rStyle w:val="21"/>
          <w:rFonts w:hint="eastAsia" w:asciiTheme="minorEastAsia" w:hAnsiTheme="minorEastAsia" w:eastAsiaTheme="minorEastAsia" w:cstheme="minorEastAsia"/>
          <w:b/>
          <w:kern w:val="2"/>
          <w:sz w:val="24"/>
          <w:szCs w:val="24"/>
          <w:lang w:val="en-US" w:eastAsia="zh-CN" w:bidi="ar-SA"/>
        </w:rPr>
      </w:pPr>
      <w:r>
        <w:rPr>
          <w:rStyle w:val="21"/>
          <w:rFonts w:hint="eastAsia" w:asciiTheme="minorEastAsia" w:hAnsiTheme="minorEastAsia" w:eastAsiaTheme="minorEastAsia" w:cstheme="minorEastAsia"/>
          <w:b/>
          <w:kern w:val="2"/>
          <w:sz w:val="24"/>
          <w:szCs w:val="24"/>
          <w:lang w:val="en-US" w:eastAsia="zh-CN" w:bidi="ar-SA"/>
        </w:rPr>
        <w:t>（一）技术参数</w:t>
      </w:r>
    </w:p>
    <w:p w14:paraId="3B23AAC8">
      <w:pPr>
        <w:keepNext w:val="0"/>
        <w:keepLines w:val="0"/>
        <w:pageBreakBefore w:val="0"/>
        <w:widowControl w:val="0"/>
        <w:kinsoku/>
        <w:wordWrap/>
        <w:topLinePunct w:val="0"/>
        <w:autoSpaceDE/>
        <w:autoSpaceDN/>
        <w:bidi w:val="0"/>
        <w:snapToGrid/>
        <w:ind w:firstLine="482" w:firstLineChars="200"/>
        <w:jc w:val="both"/>
        <w:textAlignment w:val="baseline"/>
        <w:rPr>
          <w:rStyle w:val="21"/>
          <w:rFonts w:hint="eastAsia" w:asciiTheme="minorEastAsia" w:hAnsiTheme="minorEastAsia" w:eastAsiaTheme="minorEastAsia" w:cstheme="minorEastAsia"/>
          <w:kern w:val="2"/>
          <w:sz w:val="24"/>
          <w:szCs w:val="24"/>
          <w:lang w:val="en-US" w:eastAsia="zh-CN" w:bidi="ar-SA"/>
        </w:rPr>
      </w:pPr>
      <w:r>
        <w:rPr>
          <w:rStyle w:val="21"/>
          <w:rFonts w:hint="eastAsia" w:asciiTheme="minorEastAsia" w:hAnsiTheme="minorEastAsia" w:eastAsiaTheme="minorEastAsia" w:cstheme="minorEastAsia"/>
          <w:b/>
          <w:kern w:val="2"/>
          <w:sz w:val="24"/>
          <w:szCs w:val="24"/>
          <w:lang w:val="en-US" w:eastAsia="zh-CN" w:bidi="ar-SA"/>
        </w:rPr>
        <w:t>用途：</w:t>
      </w:r>
      <w:r>
        <w:rPr>
          <w:rStyle w:val="21"/>
          <w:rFonts w:hint="eastAsia" w:asciiTheme="minorEastAsia" w:hAnsiTheme="minorEastAsia" w:eastAsiaTheme="minorEastAsia" w:cstheme="minorEastAsia"/>
          <w:bCs/>
          <w:kern w:val="2"/>
          <w:sz w:val="24"/>
          <w:szCs w:val="24"/>
          <w:lang w:val="en-US" w:eastAsia="zh-CN" w:bidi="ar-SA"/>
        </w:rPr>
        <w:t>可作普通染色切片的明场观察，用于临床诊断和科研工作。</w:t>
      </w:r>
    </w:p>
    <w:p w14:paraId="472E5E53">
      <w:pPr>
        <w:keepNext w:val="0"/>
        <w:keepLines w:val="0"/>
        <w:pageBreakBefore w:val="0"/>
        <w:widowControl w:val="0"/>
        <w:numPr>
          <w:ilvl w:val="0"/>
          <w:numId w:val="0"/>
        </w:numPr>
        <w:kinsoku/>
        <w:wordWrap/>
        <w:topLinePunct w:val="0"/>
        <w:autoSpaceDE/>
        <w:autoSpaceDN/>
        <w:bidi w:val="0"/>
        <w:snapToGrid/>
        <w:spacing w:line="360" w:lineRule="auto"/>
        <w:ind w:firstLine="482" w:firstLineChars="200"/>
        <w:jc w:val="both"/>
        <w:textAlignment w:val="baseline"/>
        <w:rPr>
          <w:rStyle w:val="21"/>
          <w:rFonts w:hint="eastAsia" w:asciiTheme="minorEastAsia" w:hAnsiTheme="minorEastAsia" w:eastAsiaTheme="minorEastAsia" w:cstheme="minorEastAsia"/>
          <w:b/>
          <w:kern w:val="2"/>
          <w:sz w:val="24"/>
          <w:szCs w:val="24"/>
          <w:lang w:val="en-US" w:eastAsia="zh-CN" w:bidi="ar-SA"/>
        </w:rPr>
      </w:pPr>
      <w:r>
        <w:rPr>
          <w:rStyle w:val="21"/>
          <w:rFonts w:hint="eastAsia" w:asciiTheme="minorEastAsia" w:hAnsiTheme="minorEastAsia" w:eastAsiaTheme="minorEastAsia" w:cstheme="minorEastAsia"/>
          <w:b/>
          <w:kern w:val="2"/>
          <w:sz w:val="24"/>
          <w:szCs w:val="24"/>
          <w:lang w:val="en-US" w:eastAsia="zh-CN" w:bidi="ar-SA"/>
        </w:rPr>
        <w:t>1、工作条件</w:t>
      </w:r>
    </w:p>
    <w:p w14:paraId="560442A9">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 xml:space="preserve">1.1  </w:t>
      </w:r>
      <w:r>
        <w:rPr>
          <w:rStyle w:val="21"/>
          <w:rFonts w:hint="eastAsia" w:asciiTheme="minorEastAsia" w:hAnsiTheme="minorEastAsia" w:eastAsiaTheme="minorEastAsia" w:cstheme="minorEastAsia"/>
          <w:kern w:val="2"/>
          <w:sz w:val="24"/>
          <w:szCs w:val="24"/>
          <w:lang w:val="en-US" w:eastAsia="zh-CN" w:bidi="ar-SA"/>
        </w:rPr>
        <w:t>适于在</w:t>
      </w:r>
      <w:r>
        <w:rPr>
          <w:rStyle w:val="21"/>
          <w:rFonts w:hint="eastAsia" w:asciiTheme="minorEastAsia" w:hAnsiTheme="minorEastAsia" w:eastAsiaTheme="minorEastAsia" w:cstheme="minorEastAsia"/>
          <w:bCs/>
          <w:kern w:val="2"/>
          <w:sz w:val="24"/>
          <w:szCs w:val="24"/>
          <w:lang w:val="en-US" w:eastAsia="zh-CN" w:bidi="ar-SA"/>
        </w:rPr>
        <w:t>电源220V（±10%）/50Hz、气温5℃～40℃和最大相对湿度80%的环境条件下运行。</w:t>
      </w:r>
    </w:p>
    <w:p w14:paraId="3CFD88B7">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1.2  配置符合中国有关标准要求的插头，或提供适当的转换插座。</w:t>
      </w:r>
    </w:p>
    <w:p w14:paraId="4978742B">
      <w:pPr>
        <w:keepNext w:val="0"/>
        <w:keepLines w:val="0"/>
        <w:pageBreakBefore w:val="0"/>
        <w:widowControl w:val="0"/>
        <w:numPr>
          <w:ilvl w:val="0"/>
          <w:numId w:val="0"/>
        </w:numPr>
        <w:kinsoku/>
        <w:wordWrap/>
        <w:topLinePunct w:val="0"/>
        <w:autoSpaceDE/>
        <w:autoSpaceDN/>
        <w:bidi w:val="0"/>
        <w:snapToGrid/>
        <w:spacing w:line="360" w:lineRule="auto"/>
        <w:ind w:leftChars="200"/>
        <w:jc w:val="both"/>
        <w:textAlignment w:val="baseline"/>
        <w:rPr>
          <w:rStyle w:val="21"/>
          <w:rFonts w:hint="eastAsia" w:asciiTheme="minorEastAsia" w:hAnsiTheme="minorEastAsia" w:eastAsiaTheme="minorEastAsia" w:cstheme="minorEastAsia"/>
          <w:b/>
          <w:kern w:val="2"/>
          <w:sz w:val="24"/>
          <w:szCs w:val="24"/>
          <w:lang w:val="en-US" w:eastAsia="zh-CN" w:bidi="ar-SA"/>
        </w:rPr>
      </w:pPr>
      <w:r>
        <w:rPr>
          <w:rStyle w:val="21"/>
          <w:rFonts w:hint="eastAsia" w:asciiTheme="minorEastAsia" w:hAnsiTheme="minorEastAsia" w:eastAsiaTheme="minorEastAsia" w:cstheme="minorEastAsia"/>
          <w:b/>
          <w:kern w:val="2"/>
          <w:sz w:val="24"/>
          <w:szCs w:val="24"/>
          <w:lang w:val="en-US" w:eastAsia="zh-CN" w:bidi="ar-SA"/>
        </w:rPr>
        <w:t>2、主要技术指标</w:t>
      </w:r>
    </w:p>
    <w:p w14:paraId="28E91255">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  研究级正置显微镜</w:t>
      </w:r>
    </w:p>
    <w:p w14:paraId="01B4C125">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2.1.1  研究级正置显微镜，可作明场观察</w:t>
      </w:r>
    </w:p>
    <w:p w14:paraId="26846E5C">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▲2.1.2  光学系统：无限远校正光学系统，齐焦距离必须为国际标准45mm</w:t>
      </w:r>
    </w:p>
    <w:p w14:paraId="777126C2">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2.1.3  调焦系统：载物台垂直运动方向距离不小于25mm，带聚焦粗调限位器，粗调旋钮扭矩可调，最小微调刻度单位≤1微米</w:t>
      </w:r>
    </w:p>
    <w:p w14:paraId="1EB8A5B2">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2.1.4  观察镜筒：</w:t>
      </w:r>
      <w:r>
        <w:rPr>
          <w:rStyle w:val="21"/>
          <w:rFonts w:hint="eastAsia" w:asciiTheme="minorEastAsia" w:hAnsiTheme="minorEastAsia" w:eastAsiaTheme="minorEastAsia" w:cstheme="minorEastAsia"/>
          <w:kern w:val="2"/>
          <w:sz w:val="24"/>
          <w:szCs w:val="24"/>
          <w:lang w:val="en-US" w:eastAsia="zh-CN" w:bidi="ar-SA"/>
        </w:rPr>
        <w:t>宽场三目观察筒，</w:t>
      </w:r>
      <w:r>
        <w:rPr>
          <w:rStyle w:val="21"/>
          <w:rFonts w:hint="eastAsia" w:asciiTheme="minorEastAsia" w:hAnsiTheme="minorEastAsia" w:eastAsiaTheme="minorEastAsia" w:cstheme="minorEastAsia"/>
          <w:bCs/>
          <w:kern w:val="2"/>
          <w:sz w:val="24"/>
          <w:szCs w:val="24"/>
          <w:lang w:val="en-US" w:eastAsia="zh-CN" w:bidi="ar-SA"/>
        </w:rPr>
        <w:t>倾角为30°最大可升级为FN≥26.5</w:t>
      </w:r>
    </w:p>
    <w:p w14:paraId="1654ACF3">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highlight w:val="yellow"/>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2.1.5  照明装置：内置透射光柯勒照明器，高亮度14W LED(强度大于12V100W卤素灯)。</w:t>
      </w:r>
    </w:p>
    <w:p w14:paraId="27983D50">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2.1.6  物镜：平场消色差物镜</w:t>
      </w:r>
    </w:p>
    <w:p w14:paraId="38BC6F9F">
      <w:pPr>
        <w:keepNext w:val="0"/>
        <w:keepLines w:val="0"/>
        <w:pageBreakBefore w:val="0"/>
        <w:widowControl w:val="0"/>
        <w:kinsoku/>
        <w:wordWrap/>
        <w:topLinePunct w:val="0"/>
        <w:autoSpaceDE/>
        <w:autoSpaceDN/>
        <w:bidi w:val="0"/>
        <w:snapToGrid/>
        <w:spacing w:line="360" w:lineRule="auto"/>
        <w:ind w:left="420"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4X（N.A. 0.1，W.D. 18.5）</w:t>
      </w:r>
    </w:p>
    <w:p w14:paraId="47C9F647">
      <w:pPr>
        <w:keepNext w:val="0"/>
        <w:keepLines w:val="0"/>
        <w:pageBreakBefore w:val="0"/>
        <w:widowControl w:val="0"/>
        <w:kinsoku/>
        <w:wordWrap/>
        <w:topLinePunct w:val="0"/>
        <w:autoSpaceDE/>
        <w:autoSpaceDN/>
        <w:bidi w:val="0"/>
        <w:snapToGrid/>
        <w:spacing w:line="360" w:lineRule="auto"/>
        <w:ind w:left="420"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10X（N.A. 0.25，W.D. 10.6）</w:t>
      </w:r>
    </w:p>
    <w:p w14:paraId="2977D195">
      <w:pPr>
        <w:keepNext w:val="0"/>
        <w:keepLines w:val="0"/>
        <w:pageBreakBefore w:val="0"/>
        <w:widowControl w:val="0"/>
        <w:kinsoku/>
        <w:wordWrap/>
        <w:topLinePunct w:val="0"/>
        <w:autoSpaceDE/>
        <w:autoSpaceDN/>
        <w:bidi w:val="0"/>
        <w:snapToGrid/>
        <w:spacing w:line="360" w:lineRule="auto"/>
        <w:ind w:left="420"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20X（N.A. 0.4，W.D. 1.2 spring）</w:t>
      </w:r>
    </w:p>
    <w:p w14:paraId="5A6AA9C4">
      <w:pPr>
        <w:keepNext w:val="0"/>
        <w:keepLines w:val="0"/>
        <w:pageBreakBefore w:val="0"/>
        <w:widowControl w:val="0"/>
        <w:kinsoku/>
        <w:wordWrap/>
        <w:topLinePunct w:val="0"/>
        <w:autoSpaceDE/>
        <w:autoSpaceDN/>
        <w:bidi w:val="0"/>
        <w:snapToGrid/>
        <w:spacing w:line="360" w:lineRule="auto"/>
        <w:ind w:left="420"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40X（N.A. 0.65，W.D. 0.6 spring）</w:t>
      </w:r>
    </w:p>
    <w:p w14:paraId="2BBD560F">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2.1.7  载物台：人机工程学、右手、低位置同轴驱动选钮的高抗磨损性陶瓷覆盖层载物台。</w:t>
      </w:r>
    </w:p>
    <w:p w14:paraId="3E9A434F">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GB" w:eastAsia="zh-CN" w:bidi="ar-SA"/>
        </w:rPr>
      </w:pPr>
      <w:r>
        <w:rPr>
          <w:rStyle w:val="21"/>
          <w:rFonts w:hint="eastAsia" w:asciiTheme="minorEastAsia" w:hAnsiTheme="minorEastAsia" w:eastAsiaTheme="minorEastAsia" w:cstheme="minorEastAsia"/>
          <w:bCs/>
          <w:kern w:val="2"/>
          <w:sz w:val="24"/>
          <w:szCs w:val="24"/>
          <w:lang w:val="en-US" w:eastAsia="zh-CN" w:bidi="ar-SA"/>
        </w:rPr>
        <w:t>2.1.8  目镜：10X宽视野目镜，带屈光度校准</w:t>
      </w:r>
    </w:p>
    <w:p w14:paraId="6226AC8C">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2.1.9  物镜转盘：五孔位物镜转盘。</w:t>
      </w:r>
    </w:p>
    <w:p w14:paraId="37507744">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2.1.10  摇摆式聚光镜：</w:t>
      </w:r>
      <w:r>
        <w:rPr>
          <w:rStyle w:val="21"/>
          <w:rFonts w:hint="eastAsia" w:asciiTheme="minorEastAsia" w:hAnsiTheme="minorEastAsia" w:eastAsiaTheme="minorEastAsia" w:cstheme="minorEastAsia"/>
          <w:bCs/>
          <w:kern w:val="2"/>
          <w:sz w:val="24"/>
          <w:szCs w:val="24"/>
          <w:lang w:val="en-GB" w:eastAsia="zh-CN" w:bidi="ar-SA"/>
        </w:rPr>
        <w:t>N.A.值</w:t>
      </w:r>
      <w:r>
        <w:rPr>
          <w:rStyle w:val="21"/>
          <w:rFonts w:hint="eastAsia" w:asciiTheme="minorEastAsia" w:hAnsiTheme="minorEastAsia" w:eastAsiaTheme="minorEastAsia" w:cstheme="minorEastAsia"/>
          <w:bCs/>
          <w:kern w:val="2"/>
          <w:sz w:val="24"/>
          <w:szCs w:val="24"/>
          <w:lang w:val="en-US" w:eastAsia="zh-CN" w:bidi="ar-SA"/>
        </w:rPr>
        <w:t xml:space="preserve">  0.9-0.16</w:t>
      </w:r>
    </w:p>
    <w:p w14:paraId="3844AAC1">
      <w:pPr>
        <w:keepNext w:val="0"/>
        <w:keepLines w:val="0"/>
        <w:pageBreakBefore w:val="0"/>
        <w:widowControl w:val="0"/>
        <w:kinsoku/>
        <w:wordWrap/>
        <w:topLinePunct w:val="0"/>
        <w:autoSpaceDE/>
        <w:autoSpaceDN/>
        <w:bidi w:val="0"/>
        <w:snapToGrid/>
        <w:spacing w:line="360" w:lineRule="auto"/>
        <w:ind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2.1.11 ≥500万像素成像系统，可连接病理报告系统</w:t>
      </w:r>
    </w:p>
    <w:p w14:paraId="74524464">
      <w:pPr>
        <w:pStyle w:val="12"/>
        <w:keepNext w:val="0"/>
        <w:keepLines w:val="0"/>
        <w:pageBreakBefore w:val="0"/>
        <w:widowControl w:val="0"/>
        <w:kinsoku/>
        <w:wordWrap/>
        <w:topLinePunct w:val="0"/>
        <w:autoSpaceDE/>
        <w:autoSpaceDN/>
        <w:bidi w:val="0"/>
        <w:snapToGrid/>
        <w:ind w:left="0" w:leftChars="0" w:firstLine="480" w:firstLineChars="200"/>
        <w:rPr>
          <w:rStyle w:val="21"/>
          <w:rFonts w:hint="eastAsia" w:asciiTheme="minorEastAsia" w:hAnsiTheme="minorEastAsia" w:eastAsiaTheme="minorEastAsia" w:cstheme="minorEastAsia"/>
          <w:bCs/>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2.1.12  连接PACS系统</w:t>
      </w:r>
    </w:p>
    <w:p w14:paraId="7D268173">
      <w:pPr>
        <w:pStyle w:val="12"/>
        <w:keepNext w:val="0"/>
        <w:keepLines w:val="0"/>
        <w:pageBreakBefore w:val="0"/>
        <w:widowControl w:val="0"/>
        <w:kinsoku/>
        <w:wordWrap/>
        <w:topLinePunct w:val="0"/>
        <w:autoSpaceDE/>
        <w:autoSpaceDN/>
        <w:bidi w:val="0"/>
        <w:snapToGrid/>
        <w:ind w:left="0" w:leftChars="0" w:firstLine="480" w:firstLineChars="200"/>
        <w:rPr>
          <w:rStyle w:val="21"/>
          <w:rFonts w:hint="eastAsia" w:asciiTheme="minorEastAsia" w:hAnsiTheme="minorEastAsia" w:eastAsiaTheme="minorEastAsia" w:cstheme="minorEastAsia"/>
          <w:bCs/>
          <w:kern w:val="2"/>
          <w:sz w:val="24"/>
          <w:szCs w:val="24"/>
          <w:lang w:val="en-US" w:eastAsia="zh-CN" w:bidi="ar-SA"/>
        </w:rPr>
      </w:pPr>
    </w:p>
    <w:p w14:paraId="292786CB">
      <w:pPr>
        <w:pStyle w:val="20"/>
        <w:keepNext w:val="0"/>
        <w:keepLines w:val="0"/>
        <w:pageBreakBefore w:val="0"/>
        <w:widowControl w:val="0"/>
        <w:numPr>
          <w:ilvl w:val="0"/>
          <w:numId w:val="0"/>
        </w:numPr>
        <w:kinsoku/>
        <w:wordWrap/>
        <w:topLinePunct w:val="0"/>
        <w:autoSpaceDE/>
        <w:autoSpaceDN/>
        <w:bidi w:val="0"/>
        <w:snapToGrid/>
        <w:spacing w:line="360" w:lineRule="auto"/>
        <w:ind w:leftChars="200"/>
        <w:jc w:val="both"/>
        <w:textAlignment w:val="baseline"/>
        <w:rPr>
          <w:rStyle w:val="21"/>
          <w:rFonts w:hint="eastAsia" w:asciiTheme="minorEastAsia" w:hAnsiTheme="minorEastAsia" w:eastAsiaTheme="minorEastAsia" w:cstheme="minorEastAsia"/>
          <w:bCs/>
          <w:color w:val="FF0000"/>
          <w:kern w:val="2"/>
          <w:sz w:val="24"/>
          <w:szCs w:val="24"/>
          <w:lang w:val="en-US" w:eastAsia="zh-CN" w:bidi="ar-SA"/>
        </w:rPr>
      </w:pPr>
      <w:r>
        <w:rPr>
          <w:rStyle w:val="21"/>
          <w:rFonts w:hint="eastAsia" w:asciiTheme="minorEastAsia" w:hAnsiTheme="minorEastAsia" w:eastAsiaTheme="minorEastAsia" w:cstheme="minorEastAsia"/>
          <w:bCs/>
          <w:kern w:val="2"/>
          <w:sz w:val="24"/>
          <w:szCs w:val="24"/>
          <w:lang w:val="en-US" w:eastAsia="zh-CN" w:bidi="ar-SA"/>
        </w:rPr>
        <w:t xml:space="preserve"> 3. 图文工作站≥ 24寸显示器，硬件配置不低于3.6GHz CPU四核处理器，不小于16 +512内存带USB3.0接口。</w:t>
      </w:r>
    </w:p>
    <w:p w14:paraId="7E04A440">
      <w:pPr>
        <w:keepNext w:val="0"/>
        <w:keepLines w:val="0"/>
        <w:pageBreakBefore w:val="0"/>
        <w:widowControl w:val="0"/>
        <w:kinsoku/>
        <w:wordWrap/>
        <w:topLinePunct w:val="0"/>
        <w:autoSpaceDE/>
        <w:autoSpaceDN/>
        <w:bidi w:val="0"/>
        <w:snapToGrid/>
        <w:spacing w:line="360" w:lineRule="auto"/>
        <w:ind w:left="120" w:leftChars="57"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p>
    <w:p w14:paraId="7DA9722A">
      <w:pPr>
        <w:keepNext w:val="0"/>
        <w:keepLines w:val="0"/>
        <w:pageBreakBefore w:val="0"/>
        <w:widowControl w:val="0"/>
        <w:numPr>
          <w:ilvl w:val="0"/>
          <w:numId w:val="0"/>
        </w:numPr>
        <w:kinsoku/>
        <w:wordWrap/>
        <w:topLinePunct w:val="0"/>
        <w:autoSpaceDE/>
        <w:autoSpaceDN/>
        <w:bidi w:val="0"/>
        <w:snapToGrid/>
        <w:ind w:leftChars="200"/>
        <w:rPr>
          <w:rStyle w:val="21"/>
          <w:rFonts w:hint="eastAsia" w:asciiTheme="minorEastAsia" w:hAnsiTheme="minorEastAsia" w:eastAsiaTheme="minorEastAsia" w:cstheme="minorEastAsia"/>
          <w:b/>
          <w:kern w:val="2"/>
          <w:sz w:val="24"/>
          <w:szCs w:val="24"/>
          <w:lang w:val="en-US" w:eastAsia="zh-CN" w:bidi="ar-SA"/>
        </w:rPr>
      </w:pPr>
      <w:r>
        <w:rPr>
          <w:rStyle w:val="21"/>
          <w:rFonts w:hint="eastAsia" w:asciiTheme="minorEastAsia" w:hAnsiTheme="minorEastAsia" w:eastAsiaTheme="minorEastAsia" w:cstheme="minorEastAsia"/>
          <w:b/>
          <w:kern w:val="2"/>
          <w:sz w:val="24"/>
          <w:szCs w:val="24"/>
          <w:lang w:val="en-US" w:eastAsia="zh-CN" w:bidi="ar-SA"/>
        </w:rPr>
        <w:t>（二）商务参数</w:t>
      </w:r>
    </w:p>
    <w:p w14:paraId="24C22C10">
      <w:pPr>
        <w:keepNext w:val="0"/>
        <w:keepLines w:val="0"/>
        <w:pageBreakBefore w:val="0"/>
        <w:widowControl w:val="0"/>
        <w:numPr>
          <w:ilvl w:val="0"/>
          <w:numId w:val="0"/>
        </w:numPr>
        <w:kinsoku/>
        <w:wordWrap/>
        <w:topLinePunct w:val="0"/>
        <w:autoSpaceDE/>
        <w:autoSpaceDN/>
        <w:bidi w:val="0"/>
        <w:snapToGrid/>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★1、运输、装卸、培训、安装调试：由中标人负责承担，最终通过使用科室、设备科及相关部门确认验收交付使用</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国产设备交付，设备必须为6个月内生产的产品；进口设备交付，设备必须为一年内生产的产品</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cr/>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★2、交货时间：按</w:t>
      </w:r>
      <w:r>
        <w:rPr>
          <w:rFonts w:hint="eastAsia" w:asciiTheme="minorEastAsia" w:hAnsiTheme="minorEastAsia" w:eastAsiaTheme="minorEastAsia" w:cstheme="minorEastAsia"/>
          <w:sz w:val="24"/>
          <w:szCs w:val="24"/>
          <w:lang w:val="en-US" w:eastAsia="zh-CN"/>
        </w:rPr>
        <w:t>合同约定的日期交货。</w:t>
      </w:r>
    </w:p>
    <w:p w14:paraId="7A81A5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、交货地点：娄底市中心医院</w:t>
      </w:r>
      <w:r>
        <w:rPr>
          <w:rFonts w:hint="eastAsia" w:asciiTheme="minorEastAsia" w:hAnsiTheme="minorEastAsia" w:eastAsiaTheme="minorEastAsia" w:cstheme="minorEastAsia"/>
          <w:sz w:val="24"/>
          <w:szCs w:val="24"/>
          <w:lang w:val="en-US" w:eastAsia="zh-CN"/>
        </w:rPr>
        <w:t>指定地点</w:t>
      </w:r>
      <w:r>
        <w:rPr>
          <w:rFonts w:hint="eastAsia" w:asciiTheme="minorEastAsia" w:hAnsiTheme="minorEastAsia" w:eastAsiaTheme="minorEastAsia" w:cstheme="minorEastAsia"/>
          <w:sz w:val="24"/>
          <w:szCs w:val="24"/>
        </w:rPr>
        <w:t>。</w:t>
      </w:r>
    </w:p>
    <w:p w14:paraId="228C4BA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、付款方式：设备验收合格后，供应商将发票交到娄底市中心医院后按程序支付货款90%（一般情况下4个月内支付、特殊情况下最多不超过6个月），甲方在设备验收合格</w:t>
      </w:r>
      <w:r>
        <w:rPr>
          <w:rFonts w:hint="eastAsia" w:asciiTheme="minorEastAsia" w:hAnsiTheme="minorEastAsia" w:eastAsiaTheme="minorEastAsia" w:cstheme="minorEastAsia"/>
          <w:sz w:val="24"/>
          <w:szCs w:val="24"/>
          <w:lang w:val="en-US" w:eastAsia="zh-CN"/>
        </w:rPr>
        <w:t>满叁年</w:t>
      </w:r>
      <w:r>
        <w:rPr>
          <w:rFonts w:hint="eastAsia" w:asciiTheme="minorEastAsia" w:hAnsiTheme="minorEastAsia" w:eastAsiaTheme="minorEastAsia" w:cstheme="minorEastAsia"/>
          <w:sz w:val="24"/>
          <w:szCs w:val="24"/>
        </w:rPr>
        <w:t>后支付10%余款给乙方。</w:t>
      </w:r>
      <w:r>
        <w:rPr>
          <w:rFonts w:hint="eastAsia" w:asciiTheme="minorEastAsia" w:hAnsiTheme="minorEastAsia" w:eastAsiaTheme="minorEastAsia" w:cstheme="minorEastAsia"/>
          <w:sz w:val="24"/>
          <w:szCs w:val="24"/>
        </w:rPr>
        <w:cr/>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★5、质保与售后：整机保修</w:t>
      </w:r>
      <w:r>
        <w:rPr>
          <w:rFonts w:hint="eastAsia" w:asciiTheme="minorEastAsia" w:hAnsiTheme="minorEastAsia" w:eastAsiaTheme="minorEastAsia" w:cstheme="minorEastAsia"/>
          <w:sz w:val="24"/>
          <w:szCs w:val="24"/>
          <w:lang w:val="en-US" w:eastAsia="zh-CN"/>
        </w:rPr>
        <w:t>叁</w:t>
      </w:r>
      <w:r>
        <w:rPr>
          <w:rFonts w:hint="eastAsia" w:asciiTheme="minorEastAsia" w:hAnsiTheme="minorEastAsia" w:eastAsiaTheme="minorEastAsia" w:cstheme="minorEastAsia"/>
          <w:sz w:val="24"/>
          <w:szCs w:val="24"/>
        </w:rPr>
        <w:t>年，终身维修。</w:t>
      </w:r>
      <w:r>
        <w:rPr>
          <w:rFonts w:hint="eastAsia" w:asciiTheme="minorEastAsia" w:hAnsiTheme="minorEastAsia" w:eastAsiaTheme="minorEastAsia" w:cstheme="minorEastAsia"/>
          <w:sz w:val="24"/>
          <w:szCs w:val="24"/>
          <w:lang w:val="en-US" w:eastAsia="zh-CN"/>
        </w:rPr>
        <w:t>验收时</w:t>
      </w:r>
      <w:r>
        <w:rPr>
          <w:rFonts w:hint="eastAsia" w:asciiTheme="minorEastAsia" w:hAnsiTheme="minorEastAsia" w:eastAsiaTheme="minorEastAsia" w:cstheme="minorEastAsia"/>
          <w:sz w:val="24"/>
          <w:szCs w:val="24"/>
        </w:rPr>
        <w:t>出具原厂售后质保承诺书，质保期内每年巡检</w:t>
      </w:r>
      <w:r>
        <w:rPr>
          <w:rFonts w:hint="eastAsia" w:asciiTheme="minorEastAsia" w:hAnsiTheme="minorEastAsia" w:eastAsiaTheme="minorEastAsia" w:cstheme="minorEastAsia"/>
          <w:sz w:val="24"/>
          <w:szCs w:val="24"/>
          <w:lang w:val="en-US" w:eastAsia="zh-CN"/>
        </w:rPr>
        <w:t>一</w:t>
      </w:r>
      <w:r>
        <w:rPr>
          <w:rFonts w:hint="eastAsia" w:asciiTheme="minorEastAsia" w:hAnsiTheme="minorEastAsia" w:eastAsiaTheme="minorEastAsia" w:cstheme="minorEastAsia"/>
          <w:sz w:val="24"/>
          <w:szCs w:val="24"/>
        </w:rPr>
        <w:t>次</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并提交巡检记录</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zh-CN" w:eastAsia="zh-CN"/>
        </w:rPr>
        <w:t>质保期内</w:t>
      </w:r>
      <w:r>
        <w:rPr>
          <w:rFonts w:hint="eastAsia" w:asciiTheme="minorEastAsia" w:hAnsiTheme="minorEastAsia" w:eastAsiaTheme="minorEastAsia" w:cstheme="minorEastAsia"/>
          <w:sz w:val="24"/>
          <w:szCs w:val="24"/>
          <w:lang w:val="en-US" w:eastAsia="zh-CN"/>
        </w:rPr>
        <w:t>出现故障，1小时响应，响应后24小时上门服务。</w:t>
      </w:r>
    </w:p>
    <w:p w14:paraId="05FBDBE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在投标文件中必须提供相关技术资料并加盖投标人公章（如技术参数、技术白皮书、说明书、彩页等），并在响应表中对技术参数中“★”、“▲”以及要求提供佐证材料的条款备注该条参数响应或正偏离的佐证资料所在页码。</w:t>
      </w:r>
    </w:p>
    <w:p w14:paraId="7167665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★7、设备如涉及网络接口费用，由中标人承担，采购人不再出具任何费用。</w:t>
      </w:r>
    </w:p>
    <w:p w14:paraId="46A704C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2A43F4F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合同编号：</w:t>
      </w:r>
    </w:p>
    <w:p w14:paraId="397E0CB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4E0A135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702B9FF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04CFFB5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2BEB770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2784CB5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45E91B7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联系人：彭春涛</w:t>
      </w:r>
    </w:p>
    <w:p w14:paraId="1D9801D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联系电话：13027388172</w:t>
      </w:r>
    </w:p>
    <w:p w14:paraId="59B25EE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CED870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1BE3294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4171EE5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680C42A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6045C2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1CDE748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4D45A8C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显微镜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显微镜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3D36237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831850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3"/>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4C32F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474141A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5B400ED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139651C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046D871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651950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41BBF9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6CC9E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73A418F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显微镜</w:t>
            </w:r>
          </w:p>
        </w:tc>
        <w:tc>
          <w:tcPr>
            <w:tcW w:w="1220" w:type="dxa"/>
            <w:vAlign w:val="center"/>
          </w:tcPr>
          <w:p w14:paraId="041FAD7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36A1765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9FEE7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5E0BD28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2台</w:t>
            </w:r>
          </w:p>
        </w:tc>
        <w:tc>
          <w:tcPr>
            <w:tcW w:w="1654" w:type="dxa"/>
            <w:vAlign w:val="top"/>
          </w:tcPr>
          <w:p w14:paraId="317B31C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6A68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06738EB8">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31AA6B9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0710F74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6D4364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1E6659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1B099DF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09F05D0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1B23E70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A14CDE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w:t>
      </w:r>
      <w:r>
        <w:rPr>
          <w:rFonts w:hint="eastAsia" w:ascii="宋体" w:hAnsi="宋体" w:eastAsia="宋体" w:cs="宋体"/>
          <w:color w:val="auto"/>
          <w:sz w:val="24"/>
          <w:szCs w:val="24"/>
          <w:highlight w:val="none"/>
          <w:lang w:val="en-US" w:eastAsia="zh-CN"/>
        </w:rPr>
        <w:t>准；如乙方应交付的设备属于国产</w:t>
      </w:r>
      <w:r>
        <w:rPr>
          <w:rFonts w:hint="eastAsia" w:ascii="宋体" w:hAnsi="宋体" w:cs="宋体"/>
          <w:color w:val="auto"/>
          <w:sz w:val="24"/>
          <w:szCs w:val="24"/>
          <w:highlight w:val="none"/>
          <w:lang w:val="en-US" w:eastAsia="zh-CN"/>
        </w:rPr>
        <w:t>设备，则应保证该设备为交付时起近</w:t>
      </w:r>
      <w:r>
        <w:rPr>
          <w:rFonts w:hint="eastAsia" w:ascii="宋体" w:hAnsi="宋体" w:cs="宋体"/>
          <w:color w:val="auto"/>
          <w:sz w:val="24"/>
          <w:szCs w:val="24"/>
          <w:highlight w:val="none"/>
          <w:lang w:eastAsia="zh-CN"/>
        </w:rPr>
        <w:t>6个月内生产的产品；</w:t>
      </w:r>
      <w:r>
        <w:rPr>
          <w:rFonts w:hint="eastAsia" w:ascii="宋体" w:hAnsi="宋体" w:cs="宋体"/>
          <w:color w:val="auto"/>
          <w:sz w:val="24"/>
          <w:szCs w:val="24"/>
          <w:highlight w:val="none"/>
          <w:lang w:val="en-US" w:eastAsia="zh-CN"/>
        </w:rPr>
        <w:t>如乙方</w:t>
      </w:r>
      <w:r>
        <w:rPr>
          <w:rFonts w:hint="eastAsia" w:ascii="宋体" w:hAnsi="宋体" w:eastAsia="宋体" w:cs="宋体"/>
          <w:color w:val="auto"/>
          <w:sz w:val="24"/>
          <w:szCs w:val="24"/>
          <w:highlight w:val="none"/>
          <w:lang w:val="en-US" w:eastAsia="zh-CN"/>
        </w:rPr>
        <w:t>应</w:t>
      </w:r>
      <w:r>
        <w:rPr>
          <w:rFonts w:hint="eastAsia" w:ascii="宋体" w:hAnsi="宋体" w:cs="宋体"/>
          <w:color w:val="auto"/>
          <w:sz w:val="24"/>
          <w:szCs w:val="24"/>
          <w:highlight w:val="none"/>
          <w:lang w:val="en-US" w:eastAsia="zh-CN"/>
        </w:rPr>
        <w:t>交付的设备属于</w:t>
      </w:r>
      <w:r>
        <w:rPr>
          <w:rFonts w:hint="eastAsia" w:ascii="宋体" w:hAnsi="宋体" w:eastAsia="宋体" w:cs="宋体"/>
          <w:color w:val="auto"/>
          <w:sz w:val="24"/>
          <w:szCs w:val="24"/>
          <w:highlight w:val="none"/>
          <w:lang w:val="en-US" w:eastAsia="zh-CN"/>
        </w:rPr>
        <w:t>进口设备</w:t>
      </w:r>
      <w:r>
        <w:rPr>
          <w:rFonts w:hint="eastAsia" w:ascii="宋体" w:hAnsi="宋体" w:cs="宋体"/>
          <w:color w:val="auto"/>
          <w:sz w:val="24"/>
          <w:szCs w:val="24"/>
          <w:highlight w:val="none"/>
          <w:lang w:val="en-US" w:eastAsia="zh-CN"/>
        </w:rPr>
        <w:t>，则应保证该设备</w:t>
      </w:r>
      <w:r>
        <w:rPr>
          <w:rFonts w:hint="eastAsia" w:ascii="宋体" w:hAnsi="宋体" w:cs="宋体"/>
          <w:color w:val="auto"/>
          <w:sz w:val="24"/>
          <w:szCs w:val="24"/>
          <w:highlight w:val="none"/>
          <w:lang w:eastAsia="zh-CN"/>
        </w:rPr>
        <w:t>为</w:t>
      </w:r>
      <w:r>
        <w:rPr>
          <w:rFonts w:hint="eastAsia" w:ascii="宋体" w:hAnsi="宋体" w:cs="宋体"/>
          <w:color w:val="auto"/>
          <w:sz w:val="24"/>
          <w:szCs w:val="24"/>
          <w:highlight w:val="none"/>
          <w:lang w:val="en-US" w:eastAsia="zh-CN"/>
        </w:rPr>
        <w:t>交付时起近一年</w:t>
      </w:r>
      <w:r>
        <w:rPr>
          <w:rFonts w:hint="eastAsia" w:ascii="宋体" w:hAnsi="宋体" w:cs="宋体"/>
          <w:color w:val="auto"/>
          <w:sz w:val="24"/>
          <w:szCs w:val="24"/>
          <w:highlight w:val="none"/>
          <w:lang w:eastAsia="zh-CN"/>
        </w:rPr>
        <w:t>内生产的产品</w:t>
      </w:r>
      <w:r>
        <w:rPr>
          <w:rFonts w:hint="eastAsia" w:ascii="宋体" w:hAnsi="宋体" w:eastAsia="宋体" w:cs="宋体"/>
          <w:color w:val="auto"/>
          <w:sz w:val="24"/>
          <w:szCs w:val="24"/>
          <w:highlight w:val="none"/>
          <w:lang w:val="en-US" w:eastAsia="zh-CN"/>
        </w:rPr>
        <w:t>。</w:t>
      </w:r>
    </w:p>
    <w:p w14:paraId="147C2C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3.2 质量验收：以本合同约定标准按以下方式进行验收： </w:t>
      </w:r>
    </w:p>
    <w:p w14:paraId="1A982C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auto"/>
          <w:sz w:val="24"/>
          <w:szCs w:val="24"/>
          <w:highlight w:val="none"/>
          <w:lang w:val="en-US" w:eastAsia="zh-CN"/>
        </w:rPr>
        <w:t>3.2.1 到货验收：乙方将设备运至指定交货地点后，应通知甲方，并向甲方提供厂家标准资料文件（进口设备需提供真实有效的海关报关单，其他设备需提供产品合格证）和原厂</w:t>
      </w:r>
      <w:r>
        <w:rPr>
          <w:rFonts w:hint="eastAsia" w:ascii="宋体" w:hAnsi="宋体" w:eastAsia="宋体" w:cs="宋体"/>
          <w:color w:val="000000" w:themeColor="text1"/>
          <w:sz w:val="24"/>
          <w:szCs w:val="24"/>
          <w:highlight w:val="none"/>
          <w:lang w:val="en-US" w:eastAsia="zh-CN"/>
          <w14:textFill>
            <w14:solidFill>
              <w14:schemeClr w14:val="tx1"/>
            </w14:solidFill>
          </w14:textFill>
        </w:rPr>
        <w:t>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42F8F14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D45A2D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261EF64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16C99E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0D56B3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03EC28C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0A581AF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3C71C86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043BC7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18839F95">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4A64EAF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392BEB7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274AE7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730E4A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23FE8AE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0E3BEF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771793B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3C7722E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7089EE2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7228F9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033E571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1C622FF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0EDF2E1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7FB3DA7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4AF548D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64BE521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5F8800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5F3BEE2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0A2668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6A6953D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75C6545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19272D6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81DA35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348771E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彭春涛</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721294732@qq.com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2CB3527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561E9D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4DCF478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22B97C7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1FD2B1E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182C8D1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6DD57F5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471CB5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69567D9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5CEDC96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05E77C4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63C846A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230F3F8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1DC72E7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2242E6D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497D769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w:t>
      </w:r>
      <w:r>
        <w:rPr>
          <w:rFonts w:hint="eastAsia" w:ascii="宋体" w:hAnsi="宋体" w:eastAsia="宋体" w:cs="宋体"/>
          <w:b/>
          <w:bCs/>
          <w:color w:val="auto"/>
          <w:sz w:val="24"/>
          <w:szCs w:val="24"/>
          <w:highlight w:val="none"/>
          <w:u w:val="single"/>
          <w:lang w:val="en-US" w:eastAsia="zh-CN"/>
        </w:rPr>
        <w:t>现存在违反本合同廉洁条款及供应商考核管理制度约定的行为，乙方均须向甲方支付一次性惩罚性违约金，该违约金金额按以下较高者确定：（1）本合同总费用的10%；（2）根据《娄底市中心医院医疗器械供应商考核管理制度》规定计算的廉政违约金金额。如乙方除需承担违反廉洁条款及供应商考核管理制度的违约责任外，同时存在其他违约行为，乙方仍须就其他违约行为</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承担相应违约责任。</w:t>
      </w:r>
    </w:p>
    <w:p w14:paraId="21D091F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9EC66C8">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0A5E899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0A196AD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56911FC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664A17B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0849757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A0BE3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32E40BC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0BE301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5A3FB3B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0F51B8B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B3625A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67D4EC1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09C605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47ACE6D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0D3ED46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E73D50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F55EB0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2026</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690CD13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729FA45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46178DD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4195693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76B9AE15">
      <w:pPr>
        <w:spacing w:line="480" w:lineRule="exact"/>
        <w:rPr>
          <w:rFonts w:hint="eastAsia" w:ascii="黑体" w:hAnsi="黑体" w:eastAsia="黑体" w:cs="黑体"/>
          <w:sz w:val="32"/>
          <w:szCs w:val="32"/>
        </w:rPr>
      </w:pPr>
    </w:p>
    <w:p w14:paraId="07B141D5">
      <w:pPr>
        <w:spacing w:line="480" w:lineRule="exact"/>
        <w:rPr>
          <w:rFonts w:hint="eastAsia" w:ascii="黑体" w:hAnsi="黑体" w:eastAsia="黑体" w:cs="黑体"/>
          <w:sz w:val="32"/>
          <w:szCs w:val="32"/>
        </w:rPr>
      </w:pPr>
    </w:p>
    <w:p w14:paraId="26D1E816">
      <w:pPr>
        <w:spacing w:line="480" w:lineRule="exact"/>
        <w:rPr>
          <w:rFonts w:hint="eastAsia" w:ascii="黑体" w:hAnsi="黑体" w:eastAsia="黑体" w:cs="黑体"/>
          <w:sz w:val="32"/>
          <w:szCs w:val="32"/>
        </w:rPr>
      </w:pPr>
    </w:p>
    <w:p w14:paraId="44226F89">
      <w:pPr>
        <w:spacing w:line="480" w:lineRule="exact"/>
        <w:rPr>
          <w:rFonts w:hint="eastAsia" w:ascii="黑体" w:hAnsi="黑体" w:eastAsia="黑体" w:cs="黑体"/>
          <w:sz w:val="32"/>
          <w:szCs w:val="32"/>
        </w:rPr>
      </w:pPr>
    </w:p>
    <w:p w14:paraId="20B7AE6B">
      <w:pPr>
        <w:spacing w:line="480" w:lineRule="exact"/>
        <w:rPr>
          <w:rFonts w:hint="eastAsia" w:ascii="黑体" w:hAnsi="黑体" w:eastAsia="黑体" w:cs="黑体"/>
          <w:sz w:val="32"/>
          <w:szCs w:val="32"/>
        </w:rPr>
      </w:pPr>
    </w:p>
    <w:p w14:paraId="764B8DD9">
      <w:pPr>
        <w:spacing w:line="480" w:lineRule="exact"/>
        <w:rPr>
          <w:rFonts w:hint="eastAsia" w:ascii="黑体" w:hAnsi="黑体" w:eastAsia="黑体" w:cs="黑体"/>
          <w:sz w:val="32"/>
          <w:szCs w:val="32"/>
        </w:rPr>
      </w:pPr>
    </w:p>
    <w:p w14:paraId="6B06F021">
      <w:pPr>
        <w:spacing w:line="480" w:lineRule="exact"/>
        <w:rPr>
          <w:rFonts w:hint="eastAsia" w:ascii="黑体" w:hAnsi="黑体" w:eastAsia="黑体" w:cs="黑体"/>
          <w:sz w:val="32"/>
          <w:szCs w:val="32"/>
        </w:rPr>
      </w:pPr>
      <w:r>
        <w:rPr>
          <w:rFonts w:ascii="宋体" w:hAnsi="宋体" w:eastAsia="宋体" w:cs="宋体"/>
          <w:sz w:val="24"/>
        </w:rPr>
        <w:drawing>
          <wp:anchor distT="0" distB="0" distL="114300" distR="114300" simplePos="0" relativeHeight="251659264" behindDoc="0" locked="0" layoutInCell="1" allowOverlap="1">
            <wp:simplePos x="0" y="0"/>
            <wp:positionH relativeFrom="column">
              <wp:posOffset>38100</wp:posOffset>
            </wp:positionH>
            <wp:positionV relativeFrom="paragraph">
              <wp:posOffset>377190</wp:posOffset>
            </wp:positionV>
            <wp:extent cx="5615305" cy="7988935"/>
            <wp:effectExtent l="0" t="0" r="4445" b="12065"/>
            <wp:wrapSquare wrapText="bothSides"/>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15305" cy="7988935"/>
                    </a:xfrm>
                    <a:prstGeom prst="rect">
                      <a:avLst/>
                    </a:prstGeom>
                  </pic:spPr>
                </pic:pic>
              </a:graphicData>
            </a:graphic>
          </wp:anchor>
        </w:drawing>
      </w:r>
      <w:r>
        <w:rPr>
          <w:rFonts w:hint="eastAsia" w:ascii="黑体" w:hAnsi="黑体" w:eastAsia="黑体" w:cs="黑体"/>
          <w:sz w:val="32"/>
          <w:szCs w:val="32"/>
        </w:rPr>
        <w:t>附件：</w:t>
      </w:r>
    </w:p>
    <w:p w14:paraId="227001E0">
      <w:pPr>
        <w:spacing w:line="480" w:lineRule="exact"/>
        <w:rPr>
          <w:rFonts w:hint="eastAsia" w:ascii="宋体" w:hAnsi="宋体" w:eastAsia="宋体" w:cs="宋体"/>
          <w:sz w:val="24"/>
        </w:rPr>
      </w:pPr>
    </w:p>
    <w:p w14:paraId="55002253">
      <w:pPr>
        <w:spacing w:line="480" w:lineRule="exact"/>
        <w:rPr>
          <w:rFonts w:hint="eastAsia" w:ascii="宋体" w:hAnsi="宋体" w:eastAsia="宋体" w:cs="宋体"/>
          <w:sz w:val="24"/>
        </w:rPr>
      </w:pPr>
    </w:p>
    <w:p w14:paraId="2848D38D">
      <w:pPr>
        <w:spacing w:line="480" w:lineRule="exact"/>
        <w:rPr>
          <w:rFonts w:hint="eastAsia" w:ascii="宋体" w:hAnsi="宋体" w:eastAsia="宋体" w:cs="宋体"/>
          <w:sz w:val="24"/>
        </w:rPr>
      </w:pPr>
    </w:p>
    <w:p w14:paraId="1609F11D">
      <w:pPr>
        <w:spacing w:line="480" w:lineRule="exact"/>
        <w:rPr>
          <w:rFonts w:hint="eastAsia" w:ascii="宋体" w:hAnsi="宋体" w:eastAsia="宋体" w:cs="宋体"/>
          <w:sz w:val="24"/>
        </w:rPr>
      </w:pPr>
    </w:p>
    <w:p w14:paraId="5531761F">
      <w:pPr>
        <w:spacing w:line="480" w:lineRule="exact"/>
        <w:rPr>
          <w:rFonts w:hint="eastAsia" w:ascii="宋体" w:hAnsi="宋体" w:eastAsia="宋体" w:cs="宋体"/>
          <w:sz w:val="24"/>
        </w:rPr>
      </w:pPr>
    </w:p>
    <w:p w14:paraId="1D5C0BF1">
      <w:pPr>
        <w:spacing w:line="480" w:lineRule="exact"/>
        <w:rPr>
          <w:rFonts w:hint="eastAsia" w:ascii="宋体" w:hAnsi="宋体" w:eastAsia="宋体" w:cs="宋体"/>
          <w:sz w:val="24"/>
        </w:rPr>
      </w:pPr>
    </w:p>
    <w:p w14:paraId="33EAFCC5">
      <w:pPr>
        <w:spacing w:line="480" w:lineRule="exact"/>
        <w:rPr>
          <w:rFonts w:hint="eastAsia" w:ascii="宋体" w:hAnsi="宋体" w:eastAsia="宋体" w:cs="宋体"/>
          <w:sz w:val="24"/>
        </w:rPr>
      </w:pPr>
    </w:p>
    <w:p w14:paraId="0DAE4335">
      <w:pPr>
        <w:spacing w:line="480" w:lineRule="exact"/>
        <w:rPr>
          <w:rFonts w:hint="eastAsia" w:ascii="宋体" w:hAnsi="宋体" w:eastAsia="宋体" w:cs="宋体"/>
          <w:sz w:val="24"/>
        </w:rPr>
      </w:pPr>
    </w:p>
    <w:p w14:paraId="34A2261D">
      <w:pPr>
        <w:spacing w:line="480" w:lineRule="exact"/>
        <w:rPr>
          <w:rFonts w:hint="eastAsia" w:ascii="宋体" w:hAnsi="宋体" w:eastAsia="宋体" w:cs="宋体"/>
          <w:sz w:val="24"/>
        </w:rPr>
      </w:pPr>
    </w:p>
    <w:p w14:paraId="113A1CF0">
      <w:pPr>
        <w:spacing w:line="480" w:lineRule="exact"/>
        <w:rPr>
          <w:rFonts w:hint="eastAsia" w:ascii="宋体" w:hAnsi="宋体" w:eastAsia="宋体" w:cs="宋体"/>
          <w:sz w:val="24"/>
        </w:rPr>
      </w:pPr>
    </w:p>
    <w:p w14:paraId="59E42C74">
      <w:pPr>
        <w:spacing w:line="480" w:lineRule="exact"/>
        <w:rPr>
          <w:rFonts w:hint="eastAsia" w:ascii="宋体" w:hAnsi="宋体" w:eastAsia="宋体" w:cs="宋体"/>
          <w:sz w:val="24"/>
        </w:rPr>
      </w:pPr>
    </w:p>
    <w:p w14:paraId="1D205281">
      <w:pPr>
        <w:spacing w:line="480" w:lineRule="exact"/>
        <w:rPr>
          <w:rFonts w:hint="eastAsia" w:ascii="宋体" w:hAnsi="宋体" w:eastAsia="宋体" w:cs="宋体"/>
          <w:sz w:val="24"/>
        </w:rPr>
      </w:pPr>
    </w:p>
    <w:p w14:paraId="588942DA">
      <w:pPr>
        <w:spacing w:line="480" w:lineRule="exact"/>
        <w:rPr>
          <w:rFonts w:hint="eastAsia" w:ascii="宋体" w:hAnsi="宋体" w:eastAsia="宋体" w:cs="宋体"/>
          <w:sz w:val="24"/>
        </w:rPr>
      </w:pPr>
    </w:p>
    <w:p w14:paraId="14EEB46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2336" behindDoc="0" locked="0" layoutInCell="1" allowOverlap="1">
            <wp:simplePos x="0" y="0"/>
            <wp:positionH relativeFrom="column">
              <wp:posOffset>-116840</wp:posOffset>
            </wp:positionH>
            <wp:positionV relativeFrom="paragraph">
              <wp:posOffset>1338580</wp:posOffset>
            </wp:positionV>
            <wp:extent cx="5888990" cy="8423910"/>
            <wp:effectExtent l="0" t="0" r="16510" b="15240"/>
            <wp:wrapTopAndBottom/>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888990" cy="8423910"/>
                    </a:xfrm>
                    <a:prstGeom prst="rect">
                      <a:avLst/>
                    </a:prstGeom>
                  </pic:spPr>
                </pic:pic>
              </a:graphicData>
            </a:graphic>
          </wp:anchor>
        </w:drawing>
      </w:r>
    </w:p>
    <w:p w14:paraId="58EBEBF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585365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67EF959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70641E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3360" behindDoc="0" locked="0" layoutInCell="1" allowOverlap="1">
            <wp:simplePos x="0" y="0"/>
            <wp:positionH relativeFrom="column">
              <wp:posOffset>-38100</wp:posOffset>
            </wp:positionH>
            <wp:positionV relativeFrom="paragraph">
              <wp:posOffset>224790</wp:posOffset>
            </wp:positionV>
            <wp:extent cx="5995670" cy="8456930"/>
            <wp:effectExtent l="0" t="0" r="5080" b="1270"/>
            <wp:wrapSquare wrapText="bothSides"/>
            <wp:docPr id="9" name="图片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
                    <pic:cNvPicPr>
                      <a:picLocks noChangeAspect="1"/>
                    </pic:cNvPicPr>
                  </pic:nvPicPr>
                  <pic:blipFill>
                    <a:blip r:embed="rId9"/>
                    <a:stretch>
                      <a:fillRect/>
                    </a:stretch>
                  </pic:blipFill>
                  <pic:spPr>
                    <a:xfrm>
                      <a:off x="647700" y="1139190"/>
                      <a:ext cx="5995670" cy="8456930"/>
                    </a:xfrm>
                    <a:prstGeom prst="rect">
                      <a:avLst/>
                    </a:prstGeom>
                  </pic:spPr>
                </pic:pic>
              </a:graphicData>
            </a:graphic>
          </wp:anchor>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1312" behindDoc="0" locked="0" layoutInCell="1" allowOverlap="1">
            <wp:simplePos x="0" y="0"/>
            <wp:positionH relativeFrom="column">
              <wp:posOffset>236220</wp:posOffset>
            </wp:positionH>
            <wp:positionV relativeFrom="paragraph">
              <wp:posOffset>113030</wp:posOffset>
            </wp:positionV>
            <wp:extent cx="5976620" cy="8301355"/>
            <wp:effectExtent l="0" t="0" r="5080" b="4445"/>
            <wp:wrapSquare wrapText="bothSides"/>
            <wp:docPr id="10" name="图片 1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
                    <pic:cNvPicPr>
                      <a:picLocks noChangeAspect="1"/>
                    </pic:cNvPicPr>
                  </pic:nvPicPr>
                  <pic:blipFill>
                    <a:blip r:embed="rId10"/>
                    <a:stretch>
                      <a:fillRect/>
                    </a:stretch>
                  </pic:blipFill>
                  <pic:spPr>
                    <a:xfrm>
                      <a:off x="0" y="0"/>
                      <a:ext cx="5976620" cy="8301355"/>
                    </a:xfrm>
                    <a:prstGeom prst="rect">
                      <a:avLst/>
                    </a:prstGeom>
                  </pic:spPr>
                </pic:pic>
              </a:graphicData>
            </a:graphic>
          </wp:anchor>
        </w:drawing>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auto"/>
          <w:sz w:val="44"/>
          <w:szCs w:val="44"/>
          <w:lang w:val="en-US" w:eastAsia="zh-CN"/>
        </w:rPr>
      </w:pPr>
      <w:bookmarkStart w:id="1" w:name="_Toc16523574"/>
      <w:r>
        <w:rPr>
          <w:rFonts w:hint="eastAsia" w:ascii="方正小标宋简体" w:hAnsi="方正小标宋简体" w:eastAsia="方正小标宋简体" w:cs="方正小标宋简体"/>
          <w:color w:val="auto"/>
          <w:sz w:val="44"/>
          <w:szCs w:val="44"/>
          <w:lang w:val="en-US" w:eastAsia="zh-CN"/>
        </w:rPr>
        <w:t>第三章</w:t>
      </w:r>
      <w:bookmarkStart w:id="2" w:name="_Toc16523573"/>
      <w:r>
        <w:rPr>
          <w:rFonts w:hint="eastAsia" w:ascii="方正小标宋简体" w:hAnsi="方正小标宋简体" w:eastAsia="方正小标宋简体" w:cs="方正小标宋简体"/>
          <w:color w:val="auto"/>
          <w:sz w:val="44"/>
          <w:szCs w:val="44"/>
          <w:lang w:val="en-US" w:eastAsia="zh-CN"/>
        </w:rPr>
        <w:t>评标方法及标准</w:t>
      </w:r>
      <w:bookmarkEnd w:id="2"/>
    </w:p>
    <w:p w14:paraId="6505C827">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3"/>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4FD447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7EE8710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173B3D4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5A04CB7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22A72C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BF3074D">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72F9EC0B">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E3AA480">
            <w:pPr>
              <w:jc w:val="center"/>
              <w:rPr>
                <w:rFonts w:hint="eastAsia" w:ascii="仿宋" w:hAnsi="仿宋" w:eastAsia="仿宋" w:cs="仿宋"/>
                <w:sz w:val="24"/>
                <w:szCs w:val="24"/>
              </w:rPr>
            </w:pPr>
            <w:r>
              <w:rPr>
                <w:rFonts w:hint="eastAsia" w:ascii="仿宋" w:hAnsi="仿宋" w:eastAsia="仿宋" w:cs="仿宋"/>
                <w:sz w:val="24"/>
                <w:szCs w:val="24"/>
              </w:rPr>
              <w:t>50%</w:t>
            </w:r>
          </w:p>
        </w:tc>
      </w:tr>
      <w:tr w14:paraId="0323DC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1B7889E7">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51BC837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0D15E51">
            <w:pPr>
              <w:jc w:val="center"/>
              <w:rPr>
                <w:rFonts w:hint="eastAsia" w:ascii="仿宋" w:hAnsi="仿宋" w:eastAsia="仿宋" w:cs="仿宋"/>
                <w:sz w:val="24"/>
                <w:szCs w:val="24"/>
              </w:rPr>
            </w:pPr>
            <w:r>
              <w:rPr>
                <w:rFonts w:hint="eastAsia" w:ascii="仿宋" w:hAnsi="仿宋" w:eastAsia="仿宋" w:cs="仿宋"/>
                <w:sz w:val="24"/>
                <w:szCs w:val="24"/>
              </w:rPr>
              <w:t>40%</w:t>
            </w:r>
          </w:p>
        </w:tc>
      </w:tr>
      <w:tr w14:paraId="3B382F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8C16F54">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18F2ACE">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EE02E85">
            <w:pPr>
              <w:jc w:val="center"/>
              <w:rPr>
                <w:rFonts w:hint="eastAsia" w:ascii="仿宋" w:hAnsi="仿宋" w:eastAsia="仿宋" w:cs="仿宋"/>
                <w:sz w:val="24"/>
                <w:szCs w:val="24"/>
              </w:rPr>
            </w:pPr>
            <w:r>
              <w:rPr>
                <w:rFonts w:hint="eastAsia" w:ascii="仿宋" w:hAnsi="仿宋" w:eastAsia="仿宋" w:cs="仿宋"/>
                <w:sz w:val="24"/>
                <w:szCs w:val="24"/>
              </w:rPr>
              <w:t>10%</w:t>
            </w:r>
          </w:p>
        </w:tc>
      </w:tr>
      <w:tr w14:paraId="170FAB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5D2BDF2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665494A7">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44721463">
      <w:pPr>
        <w:jc w:val="center"/>
        <w:rPr>
          <w:rFonts w:hint="eastAsia" w:ascii="仿宋" w:hAnsi="仿宋" w:eastAsia="仿宋" w:cs="仿宋"/>
          <w:sz w:val="24"/>
          <w:szCs w:val="24"/>
        </w:rPr>
      </w:pPr>
    </w:p>
    <w:p w14:paraId="14DB9668">
      <w:pPr>
        <w:jc w:val="center"/>
        <w:rPr>
          <w:rFonts w:hint="eastAsia" w:ascii="仿宋" w:hAnsi="仿宋" w:eastAsia="仿宋" w:cs="仿宋"/>
          <w:sz w:val="24"/>
          <w:szCs w:val="24"/>
        </w:rPr>
      </w:pPr>
    </w:p>
    <w:p w14:paraId="33DADF36">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3"/>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1463"/>
        <w:gridCol w:w="6945"/>
      </w:tblGrid>
      <w:tr w14:paraId="423DB7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1B0455E2">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463" w:type="dxa"/>
            <w:tcBorders>
              <w:top w:val="double" w:color="auto" w:sz="4" w:space="0"/>
              <w:left w:val="single" w:color="auto" w:sz="4" w:space="0"/>
              <w:bottom w:val="single" w:color="auto" w:sz="6" w:space="0"/>
              <w:right w:val="single" w:color="auto" w:sz="4" w:space="0"/>
            </w:tcBorders>
            <w:noWrap w:val="0"/>
            <w:vAlign w:val="center"/>
          </w:tcPr>
          <w:p w14:paraId="63431F5F">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945" w:type="dxa"/>
            <w:tcBorders>
              <w:top w:val="double" w:color="auto" w:sz="4" w:space="0"/>
              <w:left w:val="single" w:color="auto" w:sz="4" w:space="0"/>
              <w:bottom w:val="single" w:color="auto" w:sz="6" w:space="0"/>
              <w:right w:val="double" w:color="auto" w:sz="4" w:space="0"/>
            </w:tcBorders>
            <w:noWrap w:val="0"/>
            <w:vAlign w:val="center"/>
          </w:tcPr>
          <w:p w14:paraId="108F38D1">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AB5E7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741B3036">
            <w:pPr>
              <w:jc w:val="center"/>
              <w:rPr>
                <w:rFonts w:hint="eastAsia" w:ascii="仿宋" w:hAnsi="仿宋" w:eastAsia="仿宋" w:cs="仿宋"/>
                <w:sz w:val="24"/>
                <w:szCs w:val="24"/>
              </w:rPr>
            </w:pPr>
            <w:r>
              <w:rPr>
                <w:rFonts w:hint="eastAsia" w:ascii="仿宋" w:hAnsi="仿宋" w:eastAsia="仿宋" w:cs="仿宋"/>
                <w:sz w:val="24"/>
                <w:szCs w:val="24"/>
              </w:rPr>
              <w:t>1</w:t>
            </w:r>
          </w:p>
        </w:tc>
        <w:tc>
          <w:tcPr>
            <w:tcW w:w="1463" w:type="dxa"/>
            <w:tcBorders>
              <w:top w:val="single" w:color="auto" w:sz="6" w:space="0"/>
              <w:left w:val="single" w:color="auto" w:sz="4" w:space="0"/>
              <w:bottom w:val="single" w:color="auto" w:sz="6" w:space="0"/>
              <w:right w:val="single" w:color="auto" w:sz="4" w:space="0"/>
            </w:tcBorders>
            <w:noWrap w:val="0"/>
            <w:vAlign w:val="center"/>
          </w:tcPr>
          <w:p w14:paraId="30BC638F">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16E7717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945" w:type="dxa"/>
            <w:tcBorders>
              <w:top w:val="single" w:color="auto" w:sz="6" w:space="0"/>
              <w:left w:val="single" w:color="auto" w:sz="4" w:space="0"/>
              <w:bottom w:val="single" w:color="auto" w:sz="6" w:space="0"/>
              <w:right w:val="double" w:color="auto" w:sz="4" w:space="0"/>
            </w:tcBorders>
            <w:noWrap w:val="0"/>
            <w:vAlign w:val="center"/>
          </w:tcPr>
          <w:p w14:paraId="277AAA12">
            <w:pPr>
              <w:jc w:val="left"/>
              <w:rPr>
                <w:rFonts w:hint="eastAsia" w:ascii="仿宋" w:hAnsi="仿宋" w:eastAsia="仿宋" w:cs="仿宋"/>
                <w:sz w:val="24"/>
                <w:szCs w:val="24"/>
              </w:rPr>
            </w:pPr>
            <w:r>
              <w:rPr>
                <w:rFonts w:hint="eastAsia" w:ascii="仿宋" w:hAnsi="仿宋" w:eastAsia="仿宋" w:cs="仿宋"/>
                <w:sz w:val="24"/>
                <w:szCs w:val="24"/>
              </w:rPr>
              <w:t>1、满足招标文件要求且投标报价中最低的投标报价为评标基准价其价格分为满分；其他投标人的价格分统一按照以下公式计算：</w:t>
            </w:r>
          </w:p>
          <w:p w14:paraId="382993C6">
            <w:pPr>
              <w:jc w:val="left"/>
              <w:rPr>
                <w:rFonts w:hint="eastAsia" w:ascii="仿宋" w:hAnsi="仿宋" w:eastAsia="仿宋" w:cs="仿宋"/>
                <w:sz w:val="24"/>
                <w:szCs w:val="24"/>
              </w:rPr>
            </w:pPr>
            <w:r>
              <w:rPr>
                <w:rFonts w:hint="eastAsia" w:ascii="仿宋" w:hAnsi="仿宋" w:eastAsia="仿宋" w:cs="仿宋"/>
                <w:sz w:val="24"/>
                <w:szCs w:val="24"/>
              </w:rPr>
              <w:t>投标报价得分=（评标基准价/投标报价）×价格权值×100</w:t>
            </w:r>
          </w:p>
          <w:p w14:paraId="6E82FE21">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B0BA615">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29D6D6CC">
      <w:pPr>
        <w:jc w:val="center"/>
        <w:rPr>
          <w:rFonts w:hint="eastAsia" w:ascii="仿宋" w:hAnsi="仿宋" w:eastAsia="仿宋" w:cs="仿宋"/>
          <w:sz w:val="24"/>
          <w:szCs w:val="24"/>
        </w:rPr>
      </w:pPr>
    </w:p>
    <w:p w14:paraId="7EAB5543">
      <w:pPr>
        <w:jc w:val="center"/>
        <w:rPr>
          <w:rFonts w:hint="eastAsia" w:ascii="仿宋" w:hAnsi="仿宋" w:eastAsia="仿宋" w:cs="仿宋"/>
          <w:sz w:val="24"/>
          <w:szCs w:val="24"/>
        </w:rPr>
      </w:pPr>
    </w:p>
    <w:p w14:paraId="5DE4AB9C">
      <w:pPr>
        <w:jc w:val="center"/>
        <w:rPr>
          <w:rFonts w:hint="eastAsia" w:ascii="仿宋" w:hAnsi="仿宋" w:eastAsia="仿宋" w:cs="仿宋"/>
          <w:sz w:val="24"/>
          <w:szCs w:val="24"/>
        </w:rPr>
      </w:pPr>
    </w:p>
    <w:p w14:paraId="03133162">
      <w:pPr>
        <w:jc w:val="center"/>
        <w:rPr>
          <w:rFonts w:hint="eastAsia" w:ascii="仿宋" w:hAnsi="仿宋" w:eastAsia="仿宋" w:cs="仿宋"/>
          <w:sz w:val="24"/>
          <w:szCs w:val="24"/>
        </w:rPr>
      </w:pPr>
    </w:p>
    <w:p w14:paraId="1554B452">
      <w:pPr>
        <w:jc w:val="center"/>
        <w:rPr>
          <w:rFonts w:hint="eastAsia" w:ascii="仿宋" w:hAnsi="仿宋" w:eastAsia="仿宋" w:cs="仿宋"/>
          <w:sz w:val="24"/>
          <w:szCs w:val="24"/>
        </w:rPr>
      </w:pPr>
      <w:r>
        <w:rPr>
          <w:rFonts w:hint="eastAsia" w:ascii="仿宋" w:hAnsi="仿宋" w:eastAsia="仿宋" w:cs="仿宋"/>
          <w:sz w:val="24"/>
          <w:szCs w:val="24"/>
        </w:rPr>
        <w:br w:type="page"/>
      </w:r>
    </w:p>
    <w:p w14:paraId="5F766B0E">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3"/>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1643"/>
        <w:gridCol w:w="763"/>
        <w:gridCol w:w="641"/>
        <w:gridCol w:w="5390"/>
      </w:tblGrid>
      <w:tr w14:paraId="68C4F3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02784703">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643" w:type="dxa"/>
            <w:tcBorders>
              <w:top w:val="double" w:color="auto" w:sz="4" w:space="0"/>
              <w:left w:val="single" w:color="auto" w:sz="4" w:space="0"/>
              <w:bottom w:val="single" w:color="auto" w:sz="6" w:space="0"/>
              <w:right w:val="single" w:color="auto" w:sz="4" w:space="0"/>
            </w:tcBorders>
            <w:noWrap w:val="0"/>
            <w:vAlign w:val="center"/>
          </w:tcPr>
          <w:p w14:paraId="2FEA214F">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794" w:type="dxa"/>
            <w:gridSpan w:val="3"/>
            <w:tcBorders>
              <w:top w:val="double" w:color="auto" w:sz="4" w:space="0"/>
              <w:left w:val="single" w:color="auto" w:sz="4" w:space="0"/>
              <w:bottom w:val="single" w:color="auto" w:sz="6" w:space="0"/>
              <w:right w:val="double" w:color="auto" w:sz="4" w:space="0"/>
            </w:tcBorders>
            <w:noWrap w:val="0"/>
            <w:vAlign w:val="center"/>
          </w:tcPr>
          <w:p w14:paraId="25D71E13">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96E01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67B4B751">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643" w:type="dxa"/>
            <w:tcBorders>
              <w:top w:val="single" w:color="auto" w:sz="6" w:space="0"/>
              <w:left w:val="single" w:color="auto" w:sz="4" w:space="0"/>
              <w:bottom w:val="single" w:color="auto" w:sz="6" w:space="0"/>
              <w:right w:val="single" w:color="auto" w:sz="6" w:space="0"/>
            </w:tcBorders>
            <w:noWrap w:val="0"/>
            <w:vAlign w:val="center"/>
          </w:tcPr>
          <w:p w14:paraId="12DB6FE3">
            <w:pPr>
              <w:jc w:val="center"/>
              <w:rPr>
                <w:rFonts w:hint="eastAsia" w:ascii="仿宋" w:hAnsi="仿宋" w:eastAsia="仿宋" w:cs="仿宋"/>
                <w:color w:val="auto"/>
                <w:sz w:val="24"/>
                <w:szCs w:val="24"/>
              </w:rPr>
            </w:pPr>
            <w:r>
              <w:rPr>
                <w:rFonts w:hint="eastAsia" w:ascii="仿宋" w:hAnsi="仿宋" w:eastAsia="仿宋" w:cs="仿宋"/>
                <w:color w:val="auto"/>
                <w:sz w:val="24"/>
                <w:szCs w:val="24"/>
              </w:rPr>
              <w:t>技术评价项</w:t>
            </w:r>
          </w:p>
          <w:p w14:paraId="305BF3AF">
            <w:pPr>
              <w:jc w:val="center"/>
              <w:rPr>
                <w:rFonts w:hint="eastAsia" w:ascii="仿宋" w:hAnsi="仿宋" w:eastAsia="仿宋" w:cs="仿宋"/>
                <w:color w:val="auto"/>
                <w:sz w:val="24"/>
                <w:szCs w:val="24"/>
              </w:rPr>
            </w:pPr>
            <w:r>
              <w:rPr>
                <w:rFonts w:hint="eastAsia" w:ascii="仿宋" w:hAnsi="仿宋" w:eastAsia="仿宋" w:cs="仿宋"/>
                <w:color w:val="auto"/>
                <w:sz w:val="24"/>
                <w:szCs w:val="24"/>
              </w:rPr>
              <w:t>（F=100分）</w:t>
            </w:r>
          </w:p>
        </w:tc>
        <w:tc>
          <w:tcPr>
            <w:tcW w:w="763" w:type="dxa"/>
            <w:tcBorders>
              <w:top w:val="single" w:color="auto" w:sz="6" w:space="0"/>
              <w:left w:val="single" w:color="auto" w:sz="6" w:space="0"/>
              <w:bottom w:val="single" w:color="auto" w:sz="6" w:space="0"/>
              <w:right w:val="single" w:color="auto" w:sz="4" w:space="0"/>
            </w:tcBorders>
            <w:noWrap w:val="0"/>
            <w:vAlign w:val="center"/>
          </w:tcPr>
          <w:p w14:paraId="20DC8CC7">
            <w:pPr>
              <w:jc w:val="center"/>
              <w:rPr>
                <w:rFonts w:hint="eastAsia" w:ascii="仿宋" w:hAnsi="仿宋" w:eastAsia="仿宋" w:cs="仿宋"/>
                <w:color w:val="auto"/>
                <w:sz w:val="24"/>
                <w:szCs w:val="24"/>
              </w:rPr>
            </w:pPr>
            <w:r>
              <w:rPr>
                <w:rFonts w:hint="eastAsia" w:ascii="仿宋" w:hAnsi="仿宋" w:eastAsia="仿宋" w:cs="仿宋"/>
                <w:color w:val="auto"/>
                <w:sz w:val="24"/>
                <w:szCs w:val="24"/>
              </w:rPr>
              <w:t>技术参数</w:t>
            </w:r>
          </w:p>
        </w:tc>
        <w:tc>
          <w:tcPr>
            <w:tcW w:w="641" w:type="dxa"/>
            <w:tcBorders>
              <w:top w:val="single" w:color="auto" w:sz="6" w:space="0"/>
              <w:left w:val="single" w:color="auto" w:sz="4" w:space="0"/>
              <w:bottom w:val="single" w:color="auto" w:sz="6" w:space="0"/>
              <w:right w:val="single" w:color="auto" w:sz="6" w:space="0"/>
            </w:tcBorders>
            <w:noWrap w:val="0"/>
            <w:vAlign w:val="center"/>
          </w:tcPr>
          <w:p w14:paraId="769012A3">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100</w:t>
            </w:r>
          </w:p>
        </w:tc>
        <w:tc>
          <w:tcPr>
            <w:tcW w:w="5390" w:type="dxa"/>
            <w:tcBorders>
              <w:top w:val="single" w:color="auto" w:sz="6" w:space="0"/>
              <w:left w:val="single" w:color="auto" w:sz="6" w:space="0"/>
              <w:bottom w:val="single" w:color="auto" w:sz="6" w:space="0"/>
              <w:right w:val="double" w:color="auto" w:sz="4" w:space="0"/>
            </w:tcBorders>
            <w:noWrap w:val="0"/>
            <w:vAlign w:val="center"/>
          </w:tcPr>
          <w:p w14:paraId="3A9DD5A5">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6D3F4D7A">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76C8FD84">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41B3645E">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33178DC7">
            <w:pPr>
              <w:jc w:val="left"/>
              <w:rPr>
                <w:rFonts w:hint="eastAsia" w:ascii="仿宋" w:hAnsi="仿宋" w:eastAsia="仿宋" w:cs="仿宋"/>
                <w:color w:val="auto"/>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bookmarkStart w:id="5" w:name="_GoBack"/>
            <w:bookmarkEnd w:id="5"/>
          </w:p>
        </w:tc>
      </w:tr>
    </w:tbl>
    <w:p w14:paraId="523BA3D2">
      <w:pPr>
        <w:jc w:val="center"/>
        <w:rPr>
          <w:rFonts w:hint="eastAsia" w:ascii="仿宋" w:hAnsi="仿宋" w:eastAsia="仿宋" w:cs="仿宋"/>
          <w:color w:val="auto"/>
          <w:sz w:val="24"/>
          <w:szCs w:val="24"/>
        </w:rPr>
      </w:pPr>
    </w:p>
    <w:p w14:paraId="44449688">
      <w:pPr>
        <w:jc w:val="center"/>
        <w:rPr>
          <w:rFonts w:hint="eastAsia" w:ascii="仿宋" w:hAnsi="仿宋" w:eastAsia="仿宋" w:cs="仿宋"/>
          <w:color w:val="auto"/>
          <w:sz w:val="24"/>
          <w:szCs w:val="24"/>
        </w:rPr>
      </w:pPr>
      <w:r>
        <w:rPr>
          <w:rFonts w:hint="eastAsia" w:ascii="仿宋" w:hAnsi="仿宋" w:eastAsia="仿宋" w:cs="仿宋"/>
          <w:color w:val="auto"/>
          <w:sz w:val="24"/>
          <w:szCs w:val="24"/>
        </w:rPr>
        <w:br w:type="page"/>
      </w:r>
      <w:r>
        <w:rPr>
          <w:rFonts w:hint="eastAsia" w:ascii="仿宋" w:hAnsi="仿宋" w:eastAsia="仿宋" w:cs="仿宋"/>
          <w:color w:val="auto"/>
          <w:sz w:val="24"/>
          <w:szCs w:val="24"/>
        </w:rPr>
        <w:t>附表1.3商务部分评审标准表</w:t>
      </w:r>
    </w:p>
    <w:tbl>
      <w:tblPr>
        <w:tblStyle w:val="13"/>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473"/>
        <w:gridCol w:w="1486"/>
        <w:gridCol w:w="682"/>
        <w:gridCol w:w="4841"/>
      </w:tblGrid>
      <w:tr w14:paraId="2AFA90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4FAA5EC1">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473" w:type="dxa"/>
            <w:tcBorders>
              <w:tl2br w:val="nil"/>
              <w:tr2bl w:val="nil"/>
            </w:tcBorders>
            <w:noWrap w:val="0"/>
            <w:vAlign w:val="center"/>
          </w:tcPr>
          <w:p w14:paraId="0113CA81">
            <w:pPr>
              <w:jc w:val="center"/>
              <w:rPr>
                <w:rFonts w:hint="eastAsia" w:ascii="仿宋" w:hAnsi="仿宋" w:eastAsia="仿宋" w:cs="仿宋"/>
                <w:color w:val="auto"/>
                <w:sz w:val="24"/>
                <w:szCs w:val="24"/>
              </w:rPr>
            </w:pPr>
            <w:r>
              <w:rPr>
                <w:rFonts w:hint="eastAsia" w:ascii="仿宋" w:hAnsi="仿宋" w:eastAsia="仿宋" w:cs="仿宋"/>
                <w:color w:val="auto"/>
                <w:sz w:val="24"/>
                <w:szCs w:val="24"/>
              </w:rPr>
              <w:t>评标因素（分值）</w:t>
            </w:r>
          </w:p>
        </w:tc>
        <w:tc>
          <w:tcPr>
            <w:tcW w:w="7009" w:type="dxa"/>
            <w:gridSpan w:val="3"/>
            <w:tcBorders>
              <w:tl2br w:val="nil"/>
              <w:tr2bl w:val="nil"/>
            </w:tcBorders>
            <w:noWrap w:val="0"/>
            <w:vAlign w:val="center"/>
          </w:tcPr>
          <w:p w14:paraId="7286AA18">
            <w:pPr>
              <w:jc w:val="center"/>
              <w:rPr>
                <w:rFonts w:hint="eastAsia" w:ascii="仿宋" w:hAnsi="仿宋" w:eastAsia="仿宋" w:cs="仿宋"/>
                <w:color w:val="auto"/>
                <w:sz w:val="24"/>
                <w:szCs w:val="24"/>
              </w:rPr>
            </w:pPr>
            <w:r>
              <w:rPr>
                <w:rFonts w:hint="eastAsia" w:ascii="仿宋" w:hAnsi="仿宋" w:eastAsia="仿宋" w:cs="仿宋"/>
                <w:color w:val="auto"/>
                <w:sz w:val="24"/>
                <w:szCs w:val="24"/>
              </w:rPr>
              <w:t>评标标准</w:t>
            </w:r>
          </w:p>
        </w:tc>
      </w:tr>
      <w:tr w14:paraId="38E5C2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1F869E5F">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473" w:type="dxa"/>
            <w:vMerge w:val="restart"/>
            <w:tcBorders>
              <w:tl2br w:val="nil"/>
              <w:tr2bl w:val="nil"/>
            </w:tcBorders>
            <w:noWrap w:val="0"/>
            <w:vAlign w:val="center"/>
          </w:tcPr>
          <w:p w14:paraId="05A61FC6">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商务评价项</w:t>
            </w:r>
          </w:p>
          <w:p w14:paraId="36C83338">
            <w:pPr>
              <w:jc w:val="center"/>
              <w:rPr>
                <w:rFonts w:hint="eastAsia" w:ascii="仿宋" w:hAnsi="仿宋" w:eastAsia="仿宋" w:cs="仿宋"/>
                <w:color w:val="auto"/>
                <w:sz w:val="24"/>
                <w:szCs w:val="24"/>
              </w:rPr>
            </w:pPr>
            <w:r>
              <w:rPr>
                <w:rFonts w:hint="eastAsia" w:ascii="仿宋" w:hAnsi="仿宋" w:eastAsia="仿宋" w:cs="仿宋"/>
                <w:color w:val="auto"/>
                <w:sz w:val="24"/>
                <w:szCs w:val="24"/>
              </w:rPr>
              <w:t>（F=100分）</w:t>
            </w:r>
          </w:p>
        </w:tc>
        <w:tc>
          <w:tcPr>
            <w:tcW w:w="1486" w:type="dxa"/>
            <w:tcBorders>
              <w:tl2br w:val="nil"/>
              <w:tr2bl w:val="nil"/>
            </w:tcBorders>
            <w:noWrap w:val="0"/>
            <w:vAlign w:val="center"/>
          </w:tcPr>
          <w:p w14:paraId="43F9E75B">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售后服务</w:t>
            </w:r>
          </w:p>
        </w:tc>
        <w:tc>
          <w:tcPr>
            <w:tcW w:w="682" w:type="dxa"/>
            <w:tcBorders>
              <w:tl2br w:val="nil"/>
              <w:tr2bl w:val="nil"/>
            </w:tcBorders>
            <w:noWrap w:val="0"/>
            <w:vAlign w:val="center"/>
          </w:tcPr>
          <w:p w14:paraId="46050400">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55</w:t>
            </w:r>
          </w:p>
        </w:tc>
        <w:tc>
          <w:tcPr>
            <w:tcW w:w="4841" w:type="dxa"/>
            <w:tcBorders>
              <w:tl2br w:val="nil"/>
              <w:tr2bl w:val="nil"/>
            </w:tcBorders>
            <w:noWrap w:val="0"/>
            <w:vAlign w:val="center"/>
          </w:tcPr>
          <w:p w14:paraId="4C14F0A6">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5A737568">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51E3BA4F">
            <w:pPr>
              <w:jc w:val="left"/>
              <w:rPr>
                <w:rFonts w:hint="eastAsia" w:ascii="仿宋" w:hAnsi="仿宋" w:eastAsia="仿宋" w:cs="仿宋"/>
                <w:color w:val="auto"/>
                <w:sz w:val="24"/>
                <w:szCs w:val="24"/>
              </w:rPr>
            </w:pPr>
            <w:r>
              <w:rPr>
                <w:rFonts w:hint="eastAsia" w:ascii="仿宋" w:hAnsi="仿宋" w:eastAsia="仿宋" w:cs="仿宋"/>
                <w:color w:val="auto"/>
                <w:sz w:val="24"/>
                <w:szCs w:val="24"/>
              </w:rPr>
              <w:t>2、质保期在招标要求基础上再增加1年的加10分，增加2年以上的加20分，最高可加20分。</w:t>
            </w:r>
          </w:p>
        </w:tc>
      </w:tr>
      <w:tr w14:paraId="26EED3B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38305688">
            <w:pPr>
              <w:jc w:val="center"/>
              <w:rPr>
                <w:rFonts w:hint="eastAsia" w:ascii="仿宋" w:hAnsi="仿宋" w:eastAsia="仿宋" w:cs="仿宋"/>
                <w:color w:val="auto"/>
                <w:sz w:val="24"/>
                <w:szCs w:val="24"/>
              </w:rPr>
            </w:pPr>
          </w:p>
        </w:tc>
        <w:tc>
          <w:tcPr>
            <w:tcW w:w="1473" w:type="dxa"/>
            <w:vMerge w:val="continue"/>
            <w:tcBorders>
              <w:tl2br w:val="nil"/>
              <w:tr2bl w:val="nil"/>
            </w:tcBorders>
            <w:noWrap w:val="0"/>
            <w:vAlign w:val="center"/>
          </w:tcPr>
          <w:p w14:paraId="2C8BFC02">
            <w:pPr>
              <w:jc w:val="center"/>
              <w:rPr>
                <w:rFonts w:hint="eastAsia" w:ascii="仿宋" w:hAnsi="仿宋" w:eastAsia="仿宋" w:cs="仿宋"/>
                <w:color w:val="auto"/>
                <w:sz w:val="24"/>
                <w:szCs w:val="24"/>
              </w:rPr>
            </w:pPr>
          </w:p>
        </w:tc>
        <w:tc>
          <w:tcPr>
            <w:tcW w:w="1486" w:type="dxa"/>
            <w:tcBorders>
              <w:tl2br w:val="nil"/>
              <w:tr2bl w:val="nil"/>
            </w:tcBorders>
            <w:noWrap w:val="0"/>
            <w:vAlign w:val="center"/>
          </w:tcPr>
          <w:p w14:paraId="1EECC22E">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培训方案</w:t>
            </w:r>
          </w:p>
        </w:tc>
        <w:tc>
          <w:tcPr>
            <w:tcW w:w="682" w:type="dxa"/>
            <w:tcBorders>
              <w:tl2br w:val="nil"/>
              <w:tr2bl w:val="nil"/>
            </w:tcBorders>
            <w:noWrap w:val="0"/>
            <w:vAlign w:val="center"/>
          </w:tcPr>
          <w:p w14:paraId="4BF791B0">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15</w:t>
            </w:r>
          </w:p>
        </w:tc>
        <w:tc>
          <w:tcPr>
            <w:tcW w:w="4841" w:type="dxa"/>
            <w:tcBorders>
              <w:tl2br w:val="nil"/>
              <w:tr2bl w:val="nil"/>
            </w:tcBorders>
            <w:noWrap w:val="0"/>
            <w:vAlign w:val="center"/>
          </w:tcPr>
          <w:p w14:paraId="1A280959">
            <w:pPr>
              <w:jc w:val="left"/>
              <w:rPr>
                <w:rFonts w:hint="eastAsia" w:ascii="仿宋" w:hAnsi="仿宋" w:eastAsia="仿宋" w:cs="仿宋"/>
                <w:color w:val="auto"/>
                <w:sz w:val="24"/>
                <w:szCs w:val="24"/>
              </w:rPr>
            </w:pPr>
            <w:r>
              <w:rPr>
                <w:rFonts w:hint="eastAsia" w:ascii="仿宋" w:hAnsi="仿宋" w:eastAsia="仿宋" w:cs="仿宋"/>
                <w:color w:val="auto"/>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4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④</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t>培训</w:t>
            </w:r>
            <w:r>
              <w:rPr>
                <w:rFonts w:hint="eastAsia" w:ascii="仿宋" w:hAnsi="仿宋" w:eastAsia="仿宋" w:cs="仿宋"/>
                <w:color w:val="auto"/>
                <w:sz w:val="24"/>
                <w:szCs w:val="24"/>
                <w:lang w:eastAsia="zh-CN"/>
              </w:rPr>
              <w:t>计划安排</w:t>
            </w:r>
            <w:r>
              <w:rPr>
                <w:rFonts w:hint="eastAsia" w:ascii="仿宋" w:hAnsi="仿宋" w:eastAsia="仿宋" w:cs="仿宋"/>
                <w:color w:val="auto"/>
                <w:sz w:val="24"/>
                <w:szCs w:val="24"/>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5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⑤</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eastAsia="zh-CN"/>
              </w:rPr>
              <w:t>培训效果</w:t>
            </w:r>
            <w:r>
              <w:rPr>
                <w:rFonts w:hint="eastAsia" w:ascii="仿宋" w:hAnsi="仿宋" w:eastAsia="仿宋" w:cs="仿宋"/>
                <w:color w:val="auto"/>
                <w:sz w:val="24"/>
                <w:szCs w:val="24"/>
              </w:rPr>
              <w:t>等。</w:t>
            </w:r>
          </w:p>
          <w:p w14:paraId="2C91FE55">
            <w:pPr>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432DEB2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44D8C28A">
            <w:pPr>
              <w:jc w:val="center"/>
              <w:rPr>
                <w:rFonts w:hint="eastAsia" w:ascii="仿宋" w:hAnsi="仿宋" w:eastAsia="仿宋" w:cs="仿宋"/>
                <w:color w:val="auto"/>
                <w:sz w:val="24"/>
                <w:szCs w:val="24"/>
              </w:rPr>
            </w:pPr>
          </w:p>
        </w:tc>
        <w:tc>
          <w:tcPr>
            <w:tcW w:w="1473" w:type="dxa"/>
            <w:vMerge w:val="continue"/>
            <w:tcBorders>
              <w:tl2br w:val="nil"/>
              <w:tr2bl w:val="nil"/>
            </w:tcBorders>
            <w:noWrap w:val="0"/>
            <w:vAlign w:val="center"/>
          </w:tcPr>
          <w:p w14:paraId="4E96D9C5">
            <w:pPr>
              <w:jc w:val="center"/>
              <w:rPr>
                <w:rFonts w:hint="eastAsia" w:ascii="仿宋" w:hAnsi="仿宋" w:eastAsia="仿宋" w:cs="仿宋"/>
                <w:color w:val="auto"/>
                <w:sz w:val="24"/>
                <w:szCs w:val="24"/>
              </w:rPr>
            </w:pPr>
          </w:p>
        </w:tc>
        <w:tc>
          <w:tcPr>
            <w:tcW w:w="1486" w:type="dxa"/>
            <w:tcBorders>
              <w:tl2br w:val="nil"/>
              <w:tr2bl w:val="nil"/>
            </w:tcBorders>
            <w:noWrap w:val="0"/>
            <w:vAlign w:val="center"/>
          </w:tcPr>
          <w:p w14:paraId="40DDE5FA">
            <w:pPr>
              <w:jc w:val="center"/>
              <w:rPr>
                <w:rFonts w:hint="eastAsia" w:ascii="仿宋" w:hAnsi="仿宋" w:eastAsia="仿宋" w:cs="仿宋"/>
                <w:color w:val="auto"/>
                <w:sz w:val="24"/>
                <w:szCs w:val="24"/>
              </w:rPr>
            </w:pPr>
            <w:r>
              <w:rPr>
                <w:rFonts w:hint="eastAsia" w:ascii="仿宋" w:hAnsi="仿宋" w:eastAsia="仿宋" w:cs="仿宋"/>
                <w:color w:val="auto"/>
                <w:sz w:val="24"/>
                <w:szCs w:val="24"/>
              </w:rPr>
              <w:t>类似业绩</w:t>
            </w:r>
          </w:p>
        </w:tc>
        <w:tc>
          <w:tcPr>
            <w:tcW w:w="682" w:type="dxa"/>
            <w:tcBorders>
              <w:tl2br w:val="nil"/>
              <w:tr2bl w:val="nil"/>
            </w:tcBorders>
            <w:noWrap w:val="0"/>
            <w:vAlign w:val="center"/>
          </w:tcPr>
          <w:p w14:paraId="505C34E4">
            <w:pPr>
              <w:jc w:val="center"/>
              <w:rPr>
                <w:rFonts w:hint="eastAsia" w:ascii="仿宋" w:hAnsi="仿宋" w:eastAsia="仿宋" w:cs="仿宋"/>
                <w:color w:val="auto"/>
                <w:sz w:val="24"/>
                <w:szCs w:val="24"/>
              </w:rPr>
            </w:pPr>
            <w:r>
              <w:rPr>
                <w:rFonts w:hint="eastAsia" w:ascii="仿宋" w:hAnsi="仿宋" w:eastAsia="仿宋" w:cs="仿宋"/>
                <w:color w:val="auto"/>
                <w:sz w:val="24"/>
                <w:szCs w:val="24"/>
              </w:rPr>
              <w:t>30</w:t>
            </w:r>
          </w:p>
        </w:tc>
        <w:tc>
          <w:tcPr>
            <w:tcW w:w="4841" w:type="dxa"/>
            <w:tcBorders>
              <w:tl2br w:val="nil"/>
              <w:tr2bl w:val="nil"/>
            </w:tcBorders>
            <w:noWrap w:val="0"/>
            <w:vAlign w:val="center"/>
          </w:tcPr>
          <w:p w14:paraId="6C0D023C">
            <w:pPr>
              <w:jc w:val="left"/>
              <w:rPr>
                <w:rFonts w:hint="eastAsia" w:ascii="仿宋" w:hAnsi="仿宋" w:eastAsia="仿宋" w:cs="仿宋"/>
                <w:color w:val="auto"/>
                <w:sz w:val="24"/>
                <w:szCs w:val="24"/>
              </w:rPr>
            </w:pPr>
            <w:r>
              <w:rPr>
                <w:rFonts w:hint="eastAsia" w:ascii="仿宋" w:hAnsi="仿宋" w:eastAsia="仿宋" w:cs="仿宋"/>
                <w:color w:val="auto"/>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分，计满30分为止，未按要求提供不得分。</w:t>
            </w:r>
          </w:p>
        </w:tc>
      </w:tr>
    </w:tbl>
    <w:p w14:paraId="39124244">
      <w:pPr>
        <w:jc w:val="center"/>
        <w:rPr>
          <w:rFonts w:hint="eastAsia" w:ascii="仿宋" w:hAnsi="仿宋" w:eastAsia="仿宋" w:cs="仿宋"/>
          <w:sz w:val="24"/>
          <w:szCs w:val="24"/>
        </w:rPr>
      </w:pPr>
    </w:p>
    <w:p w14:paraId="4092A6A2">
      <w:pPr>
        <w:pStyle w:val="2"/>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第四章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34583E1">
      <w:pPr>
        <w:rPr>
          <w:rFonts w:hint="eastAsia" w:ascii="宋体" w:hAnsi="宋体" w:cs="宋体"/>
          <w:color w:val="auto"/>
        </w:rPr>
      </w:pPr>
    </w:p>
    <w:p w14:paraId="0C36B7E3">
      <w:pPr>
        <w:rPr>
          <w:rFonts w:hint="eastAsia"/>
          <w:color w:val="auto"/>
        </w:rPr>
      </w:pPr>
    </w:p>
    <w:p w14:paraId="642A6E11">
      <w:pPr>
        <w:jc w:val="center"/>
        <w:rPr>
          <w:b/>
          <w:color w:val="auto"/>
          <w:sz w:val="24"/>
        </w:rPr>
      </w:pPr>
      <w:r>
        <w:rPr>
          <w:b/>
          <w:color w:val="auto"/>
          <w:sz w:val="28"/>
          <w:szCs w:val="28"/>
        </w:rPr>
        <w:t>第一部分、开标一览表</w:t>
      </w:r>
    </w:p>
    <w:p w14:paraId="31CF1AE0">
      <w:pPr>
        <w:jc w:val="center"/>
        <w:rPr>
          <w:b/>
          <w:color w:val="auto"/>
          <w:sz w:val="24"/>
        </w:rPr>
      </w:pPr>
    </w:p>
    <w:p w14:paraId="6D74B725">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5F8096E0">
      <w:pPr>
        <w:pStyle w:val="19"/>
        <w:rPr>
          <w:color w:val="auto"/>
        </w:rPr>
      </w:pPr>
    </w:p>
    <w:p w14:paraId="3009323F">
      <w:pPr>
        <w:adjustRightInd w:val="0"/>
        <w:snapToGrid w:val="0"/>
        <w:spacing w:line="360" w:lineRule="auto"/>
        <w:jc w:val="center"/>
        <w:rPr>
          <w:rFonts w:hint="eastAsia" w:ascii="宋体" w:hAnsi="宋体" w:cs="宋体"/>
          <w:b/>
          <w:color w:val="auto"/>
          <w:sz w:val="28"/>
          <w:szCs w:val="28"/>
        </w:rPr>
      </w:pPr>
    </w:p>
    <w:p w14:paraId="60B9049D">
      <w:pPr>
        <w:adjustRightInd w:val="0"/>
        <w:snapToGrid w:val="0"/>
        <w:spacing w:line="360" w:lineRule="auto"/>
        <w:jc w:val="center"/>
        <w:rPr>
          <w:rFonts w:hint="eastAsia" w:ascii="宋体" w:hAnsi="宋体" w:cs="宋体"/>
          <w:b/>
          <w:color w:val="auto"/>
          <w:sz w:val="28"/>
          <w:szCs w:val="28"/>
        </w:rPr>
      </w:pPr>
    </w:p>
    <w:p w14:paraId="47A9E7E6">
      <w:pPr>
        <w:adjustRightInd w:val="0"/>
        <w:snapToGrid w:val="0"/>
        <w:spacing w:line="360" w:lineRule="auto"/>
        <w:jc w:val="center"/>
        <w:rPr>
          <w:rFonts w:hint="eastAsia" w:ascii="宋体" w:hAnsi="宋体" w:cs="宋体"/>
          <w:b/>
          <w:color w:val="auto"/>
          <w:sz w:val="28"/>
          <w:szCs w:val="28"/>
        </w:rPr>
      </w:pPr>
    </w:p>
    <w:p w14:paraId="0B851203">
      <w:pPr>
        <w:adjustRightInd w:val="0"/>
        <w:snapToGrid w:val="0"/>
        <w:spacing w:line="360" w:lineRule="auto"/>
        <w:jc w:val="center"/>
        <w:rPr>
          <w:rFonts w:hint="eastAsia" w:ascii="宋体" w:hAnsi="宋体" w:cs="宋体"/>
          <w:b/>
          <w:color w:val="auto"/>
          <w:sz w:val="28"/>
          <w:szCs w:val="28"/>
        </w:rPr>
      </w:pPr>
    </w:p>
    <w:p w14:paraId="5B522B1B">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6BE0168">
      <w:pPr>
        <w:pStyle w:val="18"/>
        <w:rPr>
          <w:rFonts w:hint="eastAsia"/>
          <w:lang w:eastAsia="zh-CN"/>
        </w:rPr>
      </w:pPr>
    </w:p>
    <w:p w14:paraId="1C4CE19E">
      <w:pPr>
        <w:adjustRightInd w:val="0"/>
        <w:snapToGrid w:val="0"/>
        <w:spacing w:line="360" w:lineRule="auto"/>
        <w:jc w:val="center"/>
        <w:rPr>
          <w:rFonts w:hint="eastAsia" w:ascii="宋体" w:hAnsi="宋体" w:cs="宋体"/>
          <w:b/>
          <w:color w:val="auto"/>
          <w:sz w:val="24"/>
          <w:szCs w:val="20"/>
        </w:rPr>
      </w:pPr>
    </w:p>
    <w:p w14:paraId="5F76F163">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CD8A2E9">
      <w:pPr>
        <w:adjustRightInd w:val="0"/>
        <w:snapToGrid w:val="0"/>
        <w:spacing w:line="360" w:lineRule="auto"/>
        <w:rPr>
          <w:rFonts w:hint="eastAsia" w:ascii="宋体" w:hAnsi="宋体" w:cs="宋体"/>
          <w:b/>
          <w:color w:val="auto"/>
          <w:sz w:val="28"/>
          <w:szCs w:val="28"/>
        </w:rPr>
      </w:pPr>
    </w:p>
    <w:p w14:paraId="57FDFFD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5DC957A3">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EF331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9B331C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387948B">
      <w:pPr>
        <w:adjustRightInd w:val="0"/>
        <w:snapToGrid w:val="0"/>
        <w:spacing w:line="360" w:lineRule="auto"/>
        <w:ind w:firstLine="480" w:firstLineChars="200"/>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FD0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5E52C6EF">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346FCCD3">
      <w:pPr>
        <w:adjustRightInd w:val="0"/>
        <w:snapToGrid w:val="0"/>
        <w:spacing w:line="360" w:lineRule="auto"/>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7CB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44E9FC1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1ED57AA">
      <w:pPr>
        <w:adjustRightInd w:val="0"/>
        <w:snapToGrid w:val="0"/>
        <w:spacing w:line="360" w:lineRule="auto"/>
        <w:rPr>
          <w:rFonts w:hint="eastAsia" w:ascii="宋体" w:hAnsi="宋体" w:cs="宋体"/>
          <w:color w:val="auto"/>
          <w:sz w:val="24"/>
        </w:rPr>
      </w:pPr>
    </w:p>
    <w:p w14:paraId="73683F9B">
      <w:pPr>
        <w:adjustRightInd w:val="0"/>
        <w:snapToGrid w:val="0"/>
        <w:spacing w:line="360" w:lineRule="auto"/>
        <w:rPr>
          <w:rFonts w:hint="eastAsia" w:ascii="宋体" w:hAnsi="宋体" w:cs="宋体"/>
          <w:color w:val="auto"/>
          <w:sz w:val="24"/>
        </w:rPr>
      </w:pPr>
    </w:p>
    <w:p w14:paraId="74E54024">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1F56670">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83F8CB4">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24EF6AB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E41FF70">
      <w:pPr>
        <w:adjustRightInd w:val="0"/>
        <w:snapToGrid w:val="0"/>
        <w:spacing w:line="360" w:lineRule="auto"/>
        <w:rPr>
          <w:rFonts w:hint="eastAsia" w:ascii="宋体" w:hAnsi="宋体" w:cs="宋体"/>
          <w:b/>
          <w:color w:val="auto"/>
          <w:sz w:val="28"/>
          <w:szCs w:val="28"/>
        </w:rPr>
      </w:pPr>
    </w:p>
    <w:p w14:paraId="0F5DBA54">
      <w:pPr>
        <w:rPr>
          <w:rFonts w:hint="eastAsia" w:ascii="宋体" w:hAnsi="宋体" w:cs="宋体"/>
          <w:b/>
          <w:color w:val="auto"/>
          <w:sz w:val="24"/>
          <w:szCs w:val="20"/>
        </w:rPr>
      </w:pPr>
      <w:r>
        <w:rPr>
          <w:rFonts w:hint="eastAsia" w:ascii="宋体" w:hAnsi="宋体" w:cs="宋体"/>
          <w:b/>
          <w:color w:val="auto"/>
          <w:sz w:val="24"/>
          <w:szCs w:val="20"/>
        </w:rPr>
        <w:br w:type="page"/>
      </w:r>
    </w:p>
    <w:p w14:paraId="2A1D0F17">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09B775A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DD6DC6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0DB7BF5D">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53678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98527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218121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265A087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2E36ED8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E4EEB9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0226D39D">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35752034">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60EB918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024C14A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ADBE667">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64DDD70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55D549B2">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2C3DEF84">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6F3D623">
      <w:pPr>
        <w:adjustRightInd w:val="0"/>
        <w:snapToGrid w:val="0"/>
        <w:spacing w:line="360" w:lineRule="auto"/>
        <w:jc w:val="center"/>
        <w:rPr>
          <w:rFonts w:hint="eastAsia" w:ascii="宋体" w:hAnsi="宋体" w:cs="宋体"/>
          <w:b/>
          <w:color w:val="auto"/>
          <w:sz w:val="24"/>
          <w:szCs w:val="20"/>
        </w:rPr>
      </w:pPr>
    </w:p>
    <w:p w14:paraId="40F1283F">
      <w:pPr>
        <w:adjustRightInd w:val="0"/>
        <w:snapToGrid w:val="0"/>
        <w:spacing w:line="360" w:lineRule="auto"/>
        <w:rPr>
          <w:rFonts w:hint="eastAsia" w:ascii="宋体" w:hAnsi="宋体" w:cs="宋体"/>
          <w:b/>
          <w:color w:val="auto"/>
          <w:sz w:val="24"/>
          <w:szCs w:val="20"/>
        </w:rPr>
      </w:pPr>
    </w:p>
    <w:p w14:paraId="5128EA67">
      <w:pPr>
        <w:adjustRightInd w:val="0"/>
        <w:snapToGrid w:val="0"/>
        <w:spacing w:line="360" w:lineRule="auto"/>
        <w:rPr>
          <w:rFonts w:hint="eastAsia" w:ascii="宋体" w:hAnsi="宋体" w:cs="宋体"/>
          <w:b/>
          <w:color w:val="auto"/>
          <w:sz w:val="24"/>
          <w:szCs w:val="20"/>
        </w:rPr>
      </w:pPr>
    </w:p>
    <w:p w14:paraId="27E5A23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8E56FA9">
      <w:pPr>
        <w:adjustRightInd w:val="0"/>
        <w:snapToGrid w:val="0"/>
        <w:spacing w:line="360" w:lineRule="auto"/>
        <w:jc w:val="center"/>
        <w:rPr>
          <w:rFonts w:hint="eastAsia" w:ascii="宋体" w:hAnsi="宋体" w:cs="宋体"/>
          <w:b/>
          <w:color w:val="auto"/>
          <w:sz w:val="24"/>
          <w:szCs w:val="20"/>
        </w:rPr>
      </w:pPr>
    </w:p>
    <w:p w14:paraId="675A77B9">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3EFCC07C">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802804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9A5AFCB">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8865E0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D7A1C8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8FD500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6D76AF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6755BE39">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2DEE619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663AA6F9">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15BE5D0A">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CEF50E">
      <w:pPr>
        <w:jc w:val="left"/>
        <w:rPr>
          <w:rFonts w:hint="eastAsia" w:ascii="宋体" w:hAnsi="宋体" w:eastAsia="宋体" w:cs="Times New Roman"/>
          <w:b w:val="0"/>
          <w:bCs w:val="0"/>
          <w:color w:val="auto"/>
          <w:kern w:val="2"/>
          <w:sz w:val="24"/>
          <w:szCs w:val="24"/>
          <w:lang w:val="en-US" w:eastAsia="zh-CN" w:bidi="ar-SA"/>
        </w:rPr>
      </w:pPr>
    </w:p>
    <w:p w14:paraId="30756FE5">
      <w:pPr>
        <w:jc w:val="left"/>
        <w:rPr>
          <w:rFonts w:hint="eastAsia" w:ascii="宋体" w:hAnsi="宋体" w:eastAsia="宋体" w:cs="Times New Roman"/>
          <w:b w:val="0"/>
          <w:bCs w:val="0"/>
          <w:color w:val="auto"/>
          <w:kern w:val="2"/>
          <w:sz w:val="24"/>
          <w:szCs w:val="24"/>
          <w:lang w:val="en-US" w:eastAsia="zh-CN" w:bidi="ar-SA"/>
        </w:rPr>
      </w:pPr>
    </w:p>
    <w:p w14:paraId="15990E6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97D7B90">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2D0C4DC7">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14:paraId="62A84631">
      <w:pPr>
        <w:pStyle w:val="18"/>
        <w:rPr>
          <w:rFonts w:hint="eastAsia"/>
          <w:lang w:eastAsia="zh-CN"/>
        </w:rPr>
      </w:pPr>
    </w:p>
    <w:p w14:paraId="7C3A650F">
      <w:pPr>
        <w:spacing w:before="120" w:beforeLines="50" w:after="120" w:afterLines="50" w:line="276" w:lineRule="auto"/>
        <w:jc w:val="center"/>
        <w:rPr>
          <w:b/>
          <w:color w:val="auto"/>
          <w:sz w:val="24"/>
        </w:rPr>
      </w:pPr>
      <w:r>
        <w:rPr>
          <w:b/>
          <w:color w:val="auto"/>
          <w:sz w:val="24"/>
        </w:rPr>
        <w:t>采购需求响应/偏离表</w:t>
      </w:r>
    </w:p>
    <w:p w14:paraId="08E5B6D6">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7E6D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35B2D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2E39D26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08D2C1B3">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515E670">
            <w:pPr>
              <w:adjustRightInd w:val="0"/>
              <w:snapToGrid w:val="0"/>
              <w:spacing w:before="50" w:line="360" w:lineRule="auto"/>
              <w:jc w:val="center"/>
              <w:rPr>
                <w:color w:val="auto"/>
              </w:rPr>
            </w:pPr>
            <w:r>
              <w:rPr>
                <w:color w:val="auto"/>
              </w:rPr>
              <w:t>投标文件应答</w:t>
            </w:r>
          </w:p>
        </w:tc>
        <w:tc>
          <w:tcPr>
            <w:tcW w:w="1513" w:type="dxa"/>
            <w:noWrap w:val="0"/>
            <w:vAlign w:val="center"/>
          </w:tcPr>
          <w:p w14:paraId="5FDFAC2D">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52B13AE">
            <w:pPr>
              <w:adjustRightInd w:val="0"/>
              <w:snapToGrid w:val="0"/>
              <w:spacing w:before="50" w:line="360" w:lineRule="auto"/>
              <w:ind w:left="-88" w:leftChars="-42"/>
              <w:jc w:val="center"/>
              <w:rPr>
                <w:color w:val="auto"/>
                <w:szCs w:val="21"/>
              </w:rPr>
            </w:pPr>
            <w:r>
              <w:rPr>
                <w:color w:val="auto"/>
                <w:szCs w:val="21"/>
              </w:rPr>
              <w:t>偏离说明</w:t>
            </w:r>
          </w:p>
        </w:tc>
      </w:tr>
      <w:tr w14:paraId="36F3D4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29A584E">
            <w:pPr>
              <w:adjustRightInd w:val="0"/>
              <w:snapToGrid w:val="0"/>
              <w:spacing w:before="50" w:line="360" w:lineRule="auto"/>
              <w:ind w:left="-88" w:leftChars="-42"/>
              <w:jc w:val="center"/>
              <w:rPr>
                <w:color w:val="auto"/>
                <w:szCs w:val="21"/>
              </w:rPr>
            </w:pPr>
          </w:p>
        </w:tc>
        <w:tc>
          <w:tcPr>
            <w:tcW w:w="1877" w:type="dxa"/>
            <w:noWrap w:val="0"/>
            <w:vAlign w:val="center"/>
          </w:tcPr>
          <w:p w14:paraId="04FA1F79">
            <w:pPr>
              <w:adjustRightInd w:val="0"/>
              <w:snapToGrid w:val="0"/>
              <w:spacing w:before="50" w:line="360" w:lineRule="auto"/>
              <w:ind w:left="-88" w:leftChars="-42"/>
              <w:jc w:val="center"/>
              <w:rPr>
                <w:color w:val="auto"/>
                <w:szCs w:val="21"/>
              </w:rPr>
            </w:pPr>
          </w:p>
        </w:tc>
        <w:tc>
          <w:tcPr>
            <w:tcW w:w="1671" w:type="dxa"/>
            <w:noWrap w:val="0"/>
            <w:vAlign w:val="center"/>
          </w:tcPr>
          <w:p w14:paraId="111429EA">
            <w:pPr>
              <w:adjustRightInd w:val="0"/>
              <w:snapToGrid w:val="0"/>
              <w:spacing w:before="50" w:line="360" w:lineRule="auto"/>
              <w:ind w:left="-88" w:leftChars="-42"/>
              <w:jc w:val="center"/>
              <w:rPr>
                <w:color w:val="auto"/>
                <w:szCs w:val="21"/>
              </w:rPr>
            </w:pPr>
          </w:p>
        </w:tc>
        <w:tc>
          <w:tcPr>
            <w:tcW w:w="1608" w:type="dxa"/>
            <w:noWrap w:val="0"/>
            <w:vAlign w:val="center"/>
          </w:tcPr>
          <w:p w14:paraId="3F5C712D">
            <w:pPr>
              <w:adjustRightInd w:val="0"/>
              <w:snapToGrid w:val="0"/>
              <w:spacing w:before="50" w:line="360" w:lineRule="auto"/>
              <w:ind w:left="-88" w:leftChars="-42"/>
              <w:jc w:val="center"/>
              <w:rPr>
                <w:color w:val="auto"/>
                <w:szCs w:val="21"/>
              </w:rPr>
            </w:pPr>
          </w:p>
        </w:tc>
        <w:tc>
          <w:tcPr>
            <w:tcW w:w="1513" w:type="dxa"/>
            <w:noWrap w:val="0"/>
            <w:vAlign w:val="center"/>
          </w:tcPr>
          <w:p w14:paraId="1FD267E1">
            <w:pPr>
              <w:adjustRightInd w:val="0"/>
              <w:snapToGrid w:val="0"/>
              <w:spacing w:before="50" w:line="360" w:lineRule="auto"/>
              <w:ind w:left="-88" w:leftChars="-42"/>
              <w:jc w:val="center"/>
              <w:rPr>
                <w:color w:val="auto"/>
                <w:szCs w:val="21"/>
              </w:rPr>
            </w:pPr>
          </w:p>
        </w:tc>
        <w:tc>
          <w:tcPr>
            <w:tcW w:w="1061" w:type="dxa"/>
            <w:noWrap w:val="0"/>
            <w:vAlign w:val="center"/>
          </w:tcPr>
          <w:p w14:paraId="1B0463B5">
            <w:pPr>
              <w:adjustRightInd w:val="0"/>
              <w:snapToGrid w:val="0"/>
              <w:spacing w:before="50" w:line="360" w:lineRule="auto"/>
              <w:ind w:left="-88" w:leftChars="-42"/>
              <w:jc w:val="center"/>
              <w:rPr>
                <w:color w:val="auto"/>
                <w:szCs w:val="21"/>
              </w:rPr>
            </w:pPr>
          </w:p>
        </w:tc>
      </w:tr>
      <w:tr w14:paraId="3C6C57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DE623C7">
            <w:pPr>
              <w:adjustRightInd w:val="0"/>
              <w:snapToGrid w:val="0"/>
              <w:spacing w:before="50" w:line="360" w:lineRule="auto"/>
              <w:ind w:left="-88" w:leftChars="-42"/>
              <w:jc w:val="center"/>
              <w:rPr>
                <w:color w:val="auto"/>
                <w:szCs w:val="21"/>
              </w:rPr>
            </w:pPr>
          </w:p>
        </w:tc>
        <w:tc>
          <w:tcPr>
            <w:tcW w:w="1877" w:type="dxa"/>
            <w:noWrap w:val="0"/>
            <w:vAlign w:val="center"/>
          </w:tcPr>
          <w:p w14:paraId="0139CDB7">
            <w:pPr>
              <w:adjustRightInd w:val="0"/>
              <w:snapToGrid w:val="0"/>
              <w:spacing w:before="50" w:line="360" w:lineRule="auto"/>
              <w:ind w:left="-88" w:leftChars="-42"/>
              <w:jc w:val="center"/>
              <w:rPr>
                <w:color w:val="auto"/>
                <w:szCs w:val="21"/>
              </w:rPr>
            </w:pPr>
          </w:p>
        </w:tc>
        <w:tc>
          <w:tcPr>
            <w:tcW w:w="1671" w:type="dxa"/>
            <w:noWrap w:val="0"/>
            <w:vAlign w:val="center"/>
          </w:tcPr>
          <w:p w14:paraId="74FA9D80">
            <w:pPr>
              <w:adjustRightInd w:val="0"/>
              <w:snapToGrid w:val="0"/>
              <w:spacing w:before="50" w:line="360" w:lineRule="auto"/>
              <w:ind w:left="-88" w:leftChars="-42"/>
              <w:jc w:val="center"/>
              <w:rPr>
                <w:color w:val="auto"/>
                <w:szCs w:val="21"/>
              </w:rPr>
            </w:pPr>
          </w:p>
        </w:tc>
        <w:tc>
          <w:tcPr>
            <w:tcW w:w="1608" w:type="dxa"/>
            <w:noWrap w:val="0"/>
            <w:vAlign w:val="center"/>
          </w:tcPr>
          <w:p w14:paraId="4DF49294">
            <w:pPr>
              <w:adjustRightInd w:val="0"/>
              <w:snapToGrid w:val="0"/>
              <w:spacing w:before="50" w:line="360" w:lineRule="auto"/>
              <w:ind w:left="-88" w:leftChars="-42"/>
              <w:jc w:val="center"/>
              <w:rPr>
                <w:color w:val="auto"/>
                <w:szCs w:val="21"/>
              </w:rPr>
            </w:pPr>
          </w:p>
        </w:tc>
        <w:tc>
          <w:tcPr>
            <w:tcW w:w="1513" w:type="dxa"/>
            <w:noWrap w:val="0"/>
            <w:vAlign w:val="center"/>
          </w:tcPr>
          <w:p w14:paraId="72CDE795">
            <w:pPr>
              <w:adjustRightInd w:val="0"/>
              <w:snapToGrid w:val="0"/>
              <w:spacing w:before="50" w:line="360" w:lineRule="auto"/>
              <w:ind w:left="-88" w:leftChars="-42"/>
              <w:jc w:val="center"/>
              <w:rPr>
                <w:color w:val="auto"/>
                <w:szCs w:val="21"/>
              </w:rPr>
            </w:pPr>
          </w:p>
        </w:tc>
        <w:tc>
          <w:tcPr>
            <w:tcW w:w="1061" w:type="dxa"/>
            <w:noWrap w:val="0"/>
            <w:vAlign w:val="center"/>
          </w:tcPr>
          <w:p w14:paraId="35D7F53B">
            <w:pPr>
              <w:adjustRightInd w:val="0"/>
              <w:snapToGrid w:val="0"/>
              <w:spacing w:before="50" w:line="360" w:lineRule="auto"/>
              <w:ind w:left="-88" w:leftChars="-42"/>
              <w:jc w:val="center"/>
              <w:rPr>
                <w:color w:val="auto"/>
                <w:szCs w:val="21"/>
              </w:rPr>
            </w:pPr>
          </w:p>
        </w:tc>
      </w:tr>
      <w:tr w14:paraId="6DCDB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C5504F">
            <w:pPr>
              <w:adjustRightInd w:val="0"/>
              <w:snapToGrid w:val="0"/>
              <w:spacing w:before="50" w:line="360" w:lineRule="auto"/>
              <w:ind w:left="-88" w:leftChars="-42"/>
              <w:jc w:val="center"/>
              <w:rPr>
                <w:color w:val="auto"/>
                <w:szCs w:val="21"/>
              </w:rPr>
            </w:pPr>
          </w:p>
        </w:tc>
        <w:tc>
          <w:tcPr>
            <w:tcW w:w="1877" w:type="dxa"/>
            <w:noWrap w:val="0"/>
            <w:vAlign w:val="center"/>
          </w:tcPr>
          <w:p w14:paraId="3FC5B1D9">
            <w:pPr>
              <w:adjustRightInd w:val="0"/>
              <w:snapToGrid w:val="0"/>
              <w:spacing w:before="50" w:line="360" w:lineRule="auto"/>
              <w:ind w:left="-88" w:leftChars="-42"/>
              <w:jc w:val="center"/>
              <w:rPr>
                <w:color w:val="auto"/>
                <w:szCs w:val="21"/>
              </w:rPr>
            </w:pPr>
          </w:p>
        </w:tc>
        <w:tc>
          <w:tcPr>
            <w:tcW w:w="1671" w:type="dxa"/>
            <w:noWrap w:val="0"/>
            <w:vAlign w:val="center"/>
          </w:tcPr>
          <w:p w14:paraId="6B2107E1">
            <w:pPr>
              <w:adjustRightInd w:val="0"/>
              <w:snapToGrid w:val="0"/>
              <w:spacing w:before="50" w:line="360" w:lineRule="auto"/>
              <w:ind w:left="-88" w:leftChars="-42"/>
              <w:jc w:val="center"/>
              <w:rPr>
                <w:color w:val="auto"/>
                <w:szCs w:val="21"/>
              </w:rPr>
            </w:pPr>
          </w:p>
        </w:tc>
        <w:tc>
          <w:tcPr>
            <w:tcW w:w="1608" w:type="dxa"/>
            <w:noWrap w:val="0"/>
            <w:vAlign w:val="center"/>
          </w:tcPr>
          <w:p w14:paraId="50438157">
            <w:pPr>
              <w:adjustRightInd w:val="0"/>
              <w:snapToGrid w:val="0"/>
              <w:spacing w:before="50" w:line="360" w:lineRule="auto"/>
              <w:ind w:left="-88" w:leftChars="-42"/>
              <w:jc w:val="center"/>
              <w:rPr>
                <w:color w:val="auto"/>
                <w:szCs w:val="21"/>
              </w:rPr>
            </w:pPr>
          </w:p>
        </w:tc>
        <w:tc>
          <w:tcPr>
            <w:tcW w:w="1513" w:type="dxa"/>
            <w:noWrap w:val="0"/>
            <w:vAlign w:val="center"/>
          </w:tcPr>
          <w:p w14:paraId="2617429B">
            <w:pPr>
              <w:adjustRightInd w:val="0"/>
              <w:snapToGrid w:val="0"/>
              <w:spacing w:before="50" w:line="360" w:lineRule="auto"/>
              <w:ind w:left="-88" w:leftChars="-42"/>
              <w:jc w:val="center"/>
              <w:rPr>
                <w:color w:val="auto"/>
                <w:szCs w:val="21"/>
              </w:rPr>
            </w:pPr>
          </w:p>
        </w:tc>
        <w:tc>
          <w:tcPr>
            <w:tcW w:w="1061" w:type="dxa"/>
            <w:noWrap w:val="0"/>
            <w:vAlign w:val="center"/>
          </w:tcPr>
          <w:p w14:paraId="469BAD0E">
            <w:pPr>
              <w:adjustRightInd w:val="0"/>
              <w:snapToGrid w:val="0"/>
              <w:spacing w:before="50" w:line="360" w:lineRule="auto"/>
              <w:ind w:left="-88" w:leftChars="-42"/>
              <w:jc w:val="center"/>
              <w:rPr>
                <w:color w:val="auto"/>
                <w:szCs w:val="21"/>
              </w:rPr>
            </w:pPr>
          </w:p>
        </w:tc>
      </w:tr>
      <w:tr w14:paraId="46674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497E606C">
            <w:pPr>
              <w:rPr>
                <w:b/>
                <w:color w:val="auto"/>
              </w:rPr>
            </w:pPr>
          </w:p>
        </w:tc>
      </w:tr>
    </w:tbl>
    <w:p w14:paraId="40556A6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48C94C08">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7C43CBC0">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075DFE47">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w:t>
      </w:r>
      <w:r>
        <w:rPr>
          <w:rFonts w:hint="eastAsia"/>
          <w:color w:val="FF0000"/>
          <w:sz w:val="24"/>
          <w:lang w:eastAsia="zh-CN"/>
        </w:rPr>
        <w:t>（</w:t>
      </w:r>
      <w:r>
        <w:rPr>
          <w:rFonts w:hint="eastAsia"/>
          <w:color w:val="FF0000"/>
          <w:sz w:val="24"/>
          <w:lang w:val="en-US" w:eastAsia="zh-CN"/>
        </w:rPr>
        <w:t>包括商务参数）</w:t>
      </w:r>
      <w:r>
        <w:rPr>
          <w:rFonts w:hint="eastAsia"/>
          <w:color w:val="auto"/>
          <w:sz w:val="24"/>
          <w:lang w:eastAsia="zh-CN"/>
        </w:rPr>
        <w:t>必须在响应表中逐条应答。</w:t>
      </w:r>
    </w:p>
    <w:p w14:paraId="0DA40BA3">
      <w:pPr>
        <w:pStyle w:val="19"/>
        <w:rPr>
          <w:color w:val="auto"/>
        </w:rPr>
      </w:pPr>
    </w:p>
    <w:p w14:paraId="0EFEE20B">
      <w:pPr>
        <w:pStyle w:val="18"/>
        <w:rPr>
          <w:rFonts w:hint="eastAsia"/>
          <w:lang w:eastAsia="zh-CN"/>
        </w:rPr>
      </w:pPr>
    </w:p>
    <w:p w14:paraId="2CB8A4F5"/>
    <w:p w14:paraId="58D1B8B1">
      <w:pPr>
        <w:pStyle w:val="19"/>
        <w:rPr>
          <w:color w:val="auto"/>
        </w:rPr>
      </w:pPr>
    </w:p>
    <w:p w14:paraId="43E00E01">
      <w:pPr>
        <w:pStyle w:val="18"/>
        <w:rPr>
          <w:rFonts w:hint="eastAsia"/>
          <w:lang w:eastAsia="zh-CN"/>
        </w:rPr>
      </w:pPr>
    </w:p>
    <w:p w14:paraId="53FA0AAC"/>
    <w:p w14:paraId="36507233"/>
    <w:p w14:paraId="5AA899CA"/>
    <w:p w14:paraId="2936BFC4"/>
    <w:p w14:paraId="740A0EF9"/>
    <w:p w14:paraId="57A7D16B"/>
    <w:p w14:paraId="003C5A4F"/>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59C88">
    <w:pPr>
      <w:pStyle w:val="9"/>
      <w:rPr>
        <w:rFonts w:hint="eastAsia" w:ascii="仿宋_GB2312" w:eastAsia="仿宋_GB2312"/>
        <w:bCs/>
        <w:u w:val="single"/>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20831">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D20831">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A9478CC">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9"/>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4788">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8A74D4"/>
    <w:rsid w:val="0CAD77BD"/>
    <w:rsid w:val="0E331420"/>
    <w:rsid w:val="0EDD1643"/>
    <w:rsid w:val="0FB9029C"/>
    <w:rsid w:val="10897B23"/>
    <w:rsid w:val="10914EF9"/>
    <w:rsid w:val="10B8663C"/>
    <w:rsid w:val="114A6E83"/>
    <w:rsid w:val="12080B62"/>
    <w:rsid w:val="12994AC5"/>
    <w:rsid w:val="129F447F"/>
    <w:rsid w:val="12C86253"/>
    <w:rsid w:val="15060AC8"/>
    <w:rsid w:val="15125EAE"/>
    <w:rsid w:val="15675A4C"/>
    <w:rsid w:val="17F91BB8"/>
    <w:rsid w:val="193E7D91"/>
    <w:rsid w:val="1943608F"/>
    <w:rsid w:val="19E91315"/>
    <w:rsid w:val="1AF56B46"/>
    <w:rsid w:val="1B7B72C0"/>
    <w:rsid w:val="1D5071B5"/>
    <w:rsid w:val="1D5D59A6"/>
    <w:rsid w:val="1DD7486D"/>
    <w:rsid w:val="1E79119D"/>
    <w:rsid w:val="1EFD25AF"/>
    <w:rsid w:val="1F334F58"/>
    <w:rsid w:val="1F385662"/>
    <w:rsid w:val="1F796B24"/>
    <w:rsid w:val="1FC602A8"/>
    <w:rsid w:val="1FDFE26B"/>
    <w:rsid w:val="1FE73549"/>
    <w:rsid w:val="2038045E"/>
    <w:rsid w:val="20AF0900"/>
    <w:rsid w:val="20B41DA7"/>
    <w:rsid w:val="21C61C7A"/>
    <w:rsid w:val="2383771E"/>
    <w:rsid w:val="23F374DB"/>
    <w:rsid w:val="24881A32"/>
    <w:rsid w:val="24E375C9"/>
    <w:rsid w:val="25266F96"/>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66241E2"/>
    <w:rsid w:val="36B66AAC"/>
    <w:rsid w:val="36E47928"/>
    <w:rsid w:val="372F7378"/>
    <w:rsid w:val="37BA0809"/>
    <w:rsid w:val="37DE919F"/>
    <w:rsid w:val="38F7D690"/>
    <w:rsid w:val="397348CD"/>
    <w:rsid w:val="3A8E0AB7"/>
    <w:rsid w:val="3A994AB7"/>
    <w:rsid w:val="3B3B544D"/>
    <w:rsid w:val="3B654F2B"/>
    <w:rsid w:val="3BB72BAE"/>
    <w:rsid w:val="3BFC7D2B"/>
    <w:rsid w:val="3C7C799C"/>
    <w:rsid w:val="3C8A61A4"/>
    <w:rsid w:val="3D5E17FF"/>
    <w:rsid w:val="3DF93413"/>
    <w:rsid w:val="3DFD1951"/>
    <w:rsid w:val="3DFFD27E"/>
    <w:rsid w:val="3E1F0DA4"/>
    <w:rsid w:val="3E584E51"/>
    <w:rsid w:val="3E62C1E0"/>
    <w:rsid w:val="3E6E70D5"/>
    <w:rsid w:val="3EBE1ADE"/>
    <w:rsid w:val="3F788D05"/>
    <w:rsid w:val="3FEF41F9"/>
    <w:rsid w:val="3FF36FC1"/>
    <w:rsid w:val="403B4B34"/>
    <w:rsid w:val="4140452A"/>
    <w:rsid w:val="414D7889"/>
    <w:rsid w:val="41BB0BAE"/>
    <w:rsid w:val="425629F5"/>
    <w:rsid w:val="4284152B"/>
    <w:rsid w:val="429A4992"/>
    <w:rsid w:val="42FF3888"/>
    <w:rsid w:val="435B161D"/>
    <w:rsid w:val="437EFEE3"/>
    <w:rsid w:val="43B25DAC"/>
    <w:rsid w:val="44771DFD"/>
    <w:rsid w:val="45D569C3"/>
    <w:rsid w:val="475F9F54"/>
    <w:rsid w:val="479B74B7"/>
    <w:rsid w:val="48735221"/>
    <w:rsid w:val="49E92B05"/>
    <w:rsid w:val="4A354E62"/>
    <w:rsid w:val="4AEE1A11"/>
    <w:rsid w:val="4B7F39F4"/>
    <w:rsid w:val="4B9387EE"/>
    <w:rsid w:val="4BAE646F"/>
    <w:rsid w:val="4CAC1559"/>
    <w:rsid w:val="4D1D09A0"/>
    <w:rsid w:val="4D754257"/>
    <w:rsid w:val="4DCD6AB3"/>
    <w:rsid w:val="4E334DF1"/>
    <w:rsid w:val="4EE7662F"/>
    <w:rsid w:val="50216DCD"/>
    <w:rsid w:val="50540C20"/>
    <w:rsid w:val="506258C6"/>
    <w:rsid w:val="51AC28BD"/>
    <w:rsid w:val="52183ACC"/>
    <w:rsid w:val="5275566D"/>
    <w:rsid w:val="53238E8B"/>
    <w:rsid w:val="53B55872"/>
    <w:rsid w:val="544055F2"/>
    <w:rsid w:val="54AD4386"/>
    <w:rsid w:val="55D8243C"/>
    <w:rsid w:val="575FAF7E"/>
    <w:rsid w:val="581A7C72"/>
    <w:rsid w:val="583A4BD7"/>
    <w:rsid w:val="59C74B1F"/>
    <w:rsid w:val="5A886F59"/>
    <w:rsid w:val="5BDF167E"/>
    <w:rsid w:val="5E9BBF88"/>
    <w:rsid w:val="5EBFE873"/>
    <w:rsid w:val="5F153ADC"/>
    <w:rsid w:val="5FBFAB6E"/>
    <w:rsid w:val="5FD50556"/>
    <w:rsid w:val="604D5946"/>
    <w:rsid w:val="611B6B1B"/>
    <w:rsid w:val="61FF68C0"/>
    <w:rsid w:val="62C222C2"/>
    <w:rsid w:val="632D7C40"/>
    <w:rsid w:val="63F39F53"/>
    <w:rsid w:val="64133D6A"/>
    <w:rsid w:val="64245572"/>
    <w:rsid w:val="674A3DD5"/>
    <w:rsid w:val="678E4F5D"/>
    <w:rsid w:val="67F3562A"/>
    <w:rsid w:val="67FFBBE3"/>
    <w:rsid w:val="680E122C"/>
    <w:rsid w:val="6A4E1D63"/>
    <w:rsid w:val="6C486FE4"/>
    <w:rsid w:val="6CA409DF"/>
    <w:rsid w:val="6D9F787E"/>
    <w:rsid w:val="6DE375E4"/>
    <w:rsid w:val="6E8E5287"/>
    <w:rsid w:val="6FAC3B48"/>
    <w:rsid w:val="6FAD463B"/>
    <w:rsid w:val="6FB7ACDA"/>
    <w:rsid w:val="6FBE332C"/>
    <w:rsid w:val="6FFF67CC"/>
    <w:rsid w:val="70CE0BC9"/>
    <w:rsid w:val="71554367"/>
    <w:rsid w:val="71584067"/>
    <w:rsid w:val="71F26E91"/>
    <w:rsid w:val="72FB9D37"/>
    <w:rsid w:val="735201FF"/>
    <w:rsid w:val="737B50A4"/>
    <w:rsid w:val="73F40E72"/>
    <w:rsid w:val="74566F5C"/>
    <w:rsid w:val="750117A8"/>
    <w:rsid w:val="755B2270"/>
    <w:rsid w:val="75E27514"/>
    <w:rsid w:val="76920D75"/>
    <w:rsid w:val="76C47877"/>
    <w:rsid w:val="77423DFF"/>
    <w:rsid w:val="77EE6ED4"/>
    <w:rsid w:val="77FD832A"/>
    <w:rsid w:val="783B5EA9"/>
    <w:rsid w:val="78B114A6"/>
    <w:rsid w:val="79EB699D"/>
    <w:rsid w:val="79FFEA3A"/>
    <w:rsid w:val="7A3E5854"/>
    <w:rsid w:val="7ABA298D"/>
    <w:rsid w:val="7B0620DE"/>
    <w:rsid w:val="7B7D7C18"/>
    <w:rsid w:val="7BBF44BB"/>
    <w:rsid w:val="7BF15CE4"/>
    <w:rsid w:val="7C3A27E5"/>
    <w:rsid w:val="7D9727DD"/>
    <w:rsid w:val="7DDF8A36"/>
    <w:rsid w:val="7DFE74A2"/>
    <w:rsid w:val="7E8BAD0B"/>
    <w:rsid w:val="7ED7DBED"/>
    <w:rsid w:val="7EFB4F6E"/>
    <w:rsid w:val="7F164138"/>
    <w:rsid w:val="7F1A5E95"/>
    <w:rsid w:val="7FA75B91"/>
    <w:rsid w:val="7FBC7699"/>
    <w:rsid w:val="7FCFF1E1"/>
    <w:rsid w:val="7FFB0877"/>
    <w:rsid w:val="7FFE88A1"/>
    <w:rsid w:val="87EFD207"/>
    <w:rsid w:val="8B7D3439"/>
    <w:rsid w:val="8EFAA180"/>
    <w:rsid w:val="A4FC5874"/>
    <w:rsid w:val="A99BC227"/>
    <w:rsid w:val="ADFDDBA5"/>
    <w:rsid w:val="AFDF5C35"/>
    <w:rsid w:val="AFEFD62F"/>
    <w:rsid w:val="B7FBACA6"/>
    <w:rsid w:val="BBDFF490"/>
    <w:rsid w:val="BF59071B"/>
    <w:rsid w:val="BF7D9491"/>
    <w:rsid w:val="BFF77D2B"/>
    <w:rsid w:val="CDFF7760"/>
    <w:rsid w:val="CFFF8E32"/>
    <w:rsid w:val="D6D5AD7C"/>
    <w:rsid w:val="DBDE3CFA"/>
    <w:rsid w:val="DFF97BBC"/>
    <w:rsid w:val="DFFEDE01"/>
    <w:rsid w:val="DFFF05F4"/>
    <w:rsid w:val="E6F7C8DE"/>
    <w:rsid w:val="ED6D9162"/>
    <w:rsid w:val="EF7B1925"/>
    <w:rsid w:val="EFF91F3A"/>
    <w:rsid w:val="EFFF278C"/>
    <w:rsid w:val="F1347A70"/>
    <w:rsid w:val="F7D57869"/>
    <w:rsid w:val="F91F5623"/>
    <w:rsid w:val="F99F179C"/>
    <w:rsid w:val="FB6F87D3"/>
    <w:rsid w:val="FB7D52BD"/>
    <w:rsid w:val="FBBD03F1"/>
    <w:rsid w:val="FDF7EAA8"/>
    <w:rsid w:val="FDFF9C76"/>
    <w:rsid w:val="FEAFF452"/>
    <w:rsid w:val="FED7AE9E"/>
    <w:rsid w:val="FEE34724"/>
    <w:rsid w:val="FF1EFC35"/>
    <w:rsid w:val="FF477DD4"/>
    <w:rsid w:val="FF5F7F20"/>
    <w:rsid w:val="FF7B9B69"/>
    <w:rsid w:val="FFAFFB84"/>
    <w:rsid w:val="FFBF9032"/>
    <w:rsid w:val="FFC8EF32"/>
    <w:rsid w:val="FFD76697"/>
    <w:rsid w:val="FFDF81E1"/>
    <w:rsid w:val="FFE13652"/>
    <w:rsid w:val="FFECE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0"/>
    <w:pPr>
      <w:keepNext/>
      <w:keepLines/>
      <w:spacing w:line="360" w:lineRule="auto"/>
      <w:outlineLvl w:val="1"/>
    </w:pPr>
    <w:rPr>
      <w:b/>
      <w:bCs/>
      <w:sz w:val="24"/>
      <w:szCs w:val="32"/>
    </w:rPr>
  </w:style>
  <w:style w:type="paragraph" w:styleId="4">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Body Text Indent"/>
    <w:basedOn w:val="1"/>
    <w:autoRedefine/>
    <w:qFormat/>
    <w:uiPriority w:val="99"/>
    <w:pPr>
      <w:spacing w:line="400" w:lineRule="exact"/>
      <w:ind w:left="630"/>
    </w:pPr>
    <w:rPr>
      <w:rFonts w:ascii="楷体_GB2312"/>
      <w:sz w:val="30"/>
      <w:szCs w:val="30"/>
    </w:rPr>
  </w:style>
  <w:style w:type="paragraph" w:styleId="8">
    <w:name w:val="Date"/>
    <w:basedOn w:val="1"/>
    <w:next w:val="1"/>
    <w:qFormat/>
    <w:uiPriority w:val="0"/>
    <w:rPr>
      <w:color w:val="000000"/>
      <w:kern w:val="0"/>
      <w:sz w:val="30"/>
    </w:rPr>
  </w:style>
  <w:style w:type="paragraph" w:styleId="9">
    <w:name w:val="footer"/>
    <w:basedOn w:val="1"/>
    <w:autoRedefine/>
    <w:qFormat/>
    <w:uiPriority w:val="0"/>
    <w:pPr>
      <w:tabs>
        <w:tab w:val="center" w:pos="4153"/>
        <w:tab w:val="right" w:pos="8306"/>
      </w:tabs>
      <w:snapToGrid w:val="0"/>
      <w:jc w:val="left"/>
    </w:pPr>
    <w:rPr>
      <w:kern w:val="0"/>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autoRedefine/>
    <w:qFormat/>
    <w:uiPriority w:val="0"/>
    <w:rPr>
      <w:sz w:val="24"/>
    </w:rPr>
  </w:style>
  <w:style w:type="paragraph" w:styleId="12">
    <w:name w:val="Body Text First Indent 2"/>
    <w:basedOn w:val="7"/>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大标题"/>
    <w:basedOn w:val="1"/>
    <w:next w:val="12"/>
    <w:autoRedefine/>
    <w:qFormat/>
    <w:uiPriority w:val="0"/>
    <w:pPr>
      <w:jc w:val="center"/>
    </w:pPr>
    <w:rPr>
      <w:rFonts w:ascii="Arial" w:hAnsi="Arial" w:eastAsia="宋体"/>
      <w:b/>
      <w:sz w:val="28"/>
      <w:szCs w:val="24"/>
    </w:rPr>
  </w:style>
  <w:style w:type="paragraph" w:customStyle="1" w:styleId="17">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8">
    <w:name w:val="列出段落1"/>
    <w:basedOn w:val="1"/>
    <w:autoRedefine/>
    <w:qFormat/>
    <w:uiPriority w:val="99"/>
    <w:pPr>
      <w:ind w:firstLine="420" w:firstLineChars="200"/>
    </w:pPr>
  </w:style>
  <w:style w:type="paragraph" w:customStyle="1" w:styleId="19">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0">
    <w:name w:val="List Paragraph"/>
    <w:basedOn w:val="1"/>
    <w:autoRedefine/>
    <w:qFormat/>
    <w:uiPriority w:val="34"/>
    <w:pPr>
      <w:ind w:firstLine="420" w:firstLineChars="200"/>
    </w:pPr>
    <w:rPr>
      <w:rFonts w:ascii="Calibri" w:hAnsi="Calibri"/>
      <w:szCs w:val="22"/>
    </w:rPr>
  </w:style>
  <w:style w:type="character" w:customStyle="1" w:styleId="21">
    <w:name w:val="NormalCharacter"/>
    <w:autoRedefine/>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5790</Words>
  <Characters>6232</Characters>
  <Lines>0</Lines>
  <Paragraphs>0</Paragraphs>
  <TotalTime>0</TotalTime>
  <ScaleCrop>false</ScaleCrop>
  <LinksUpToDate>false</LinksUpToDate>
  <CharactersWithSpaces>6555</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2023-07-23T17:45:00Z</dcterms:created>
  <dc:creator>是小豹子</dc:creator>
  <cp:lastModifiedBy>沁sqr</cp:lastModifiedBy>
  <dcterms:modified xsi:type="dcterms:W3CDTF">2026-07-30T14:18:06Z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76FB0FAE7D39B64E20C5306ACAD8361B_43</vt:lpwstr>
  </property>
  <property fmtid="{D5CDD505-2E9C-101B-9397-08002B2CF9AE}" pid="4" name="KSOTemplateDocerSaveRecord">
    <vt:lpwstr>eyJoZGlkIjoiYjhlYmE2MWY2NTY0MzZmZTc1MzE0ZTI3ZDViMDM4ZWEiLCJ1c2VySWQiOiIxMDY1NzYwODA4In0=</vt:lpwstr>
  </property>
</Properties>
</file>