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6"/>
        <w:snapToGrid w:val="0"/>
        <w:jc w:val="center"/>
        <w:rPr>
          <w:rFonts w:hint="eastAsia" w:ascii="Arial" w:hAnsi="Arial" w:eastAsia="方正小标宋简体" w:cs="Arial"/>
          <w:color w:val="auto"/>
          <w:sz w:val="72"/>
          <w:szCs w:val="72"/>
          <w:lang w:eastAsia="zh-CN"/>
        </w:rPr>
      </w:pPr>
      <w:bookmarkStart w:id="0" w:name="_Toc16523570"/>
    </w:p>
    <w:p w14:paraId="624C34B6">
      <w:pPr>
        <w:pStyle w:val="1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6"/>
        <w:snapToGrid w:val="0"/>
        <w:jc w:val="center"/>
        <w:rPr>
          <w:rFonts w:hint="eastAsia" w:ascii="Arial" w:hAnsi="Arial" w:eastAsia="方正小标宋简体" w:cs="Arial"/>
          <w:sz w:val="72"/>
          <w:szCs w:val="72"/>
        </w:rPr>
      </w:pPr>
    </w:p>
    <w:p w14:paraId="16E58BC0">
      <w:pPr>
        <w:pStyle w:val="16"/>
        <w:snapToGrid w:val="0"/>
        <w:jc w:val="center"/>
        <w:rPr>
          <w:rFonts w:hint="eastAsia" w:ascii="Arial" w:hAnsi="Arial" w:eastAsia="方正小标宋简体" w:cs="Arial"/>
          <w:sz w:val="72"/>
          <w:szCs w:val="72"/>
        </w:rPr>
      </w:pPr>
    </w:p>
    <w:p w14:paraId="7D3C3256">
      <w:pPr>
        <w:pStyle w:val="16"/>
        <w:snapToGrid w:val="0"/>
        <w:jc w:val="center"/>
        <w:rPr>
          <w:rFonts w:hint="eastAsia" w:ascii="Arial" w:hAnsi="Arial" w:eastAsia="方正小标宋简体" w:cs="Arial"/>
          <w:sz w:val="72"/>
          <w:szCs w:val="72"/>
        </w:rPr>
      </w:pPr>
    </w:p>
    <w:p w14:paraId="11608FC0">
      <w:pPr>
        <w:pStyle w:val="1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6"/>
        <w:snapToGrid w:val="0"/>
        <w:jc w:val="center"/>
        <w:rPr>
          <w:rFonts w:ascii="Arial" w:hAnsi="Arial" w:cs="Arial"/>
          <w:sz w:val="32"/>
          <w:szCs w:val="32"/>
        </w:rPr>
      </w:pPr>
    </w:p>
    <w:p w14:paraId="46311545">
      <w:pPr>
        <w:pStyle w:val="17"/>
        <w:rPr>
          <w:rFonts w:ascii="Arial" w:hAnsi="Arial" w:cs="Arial"/>
          <w:sz w:val="32"/>
          <w:szCs w:val="32"/>
        </w:rPr>
      </w:pPr>
    </w:p>
    <w:p w14:paraId="5F00027D">
      <w:pPr>
        <w:pStyle w:val="2"/>
        <w:rPr>
          <w:rFonts w:ascii="Arial" w:hAnsi="Arial" w:cs="Arial"/>
          <w:sz w:val="32"/>
          <w:szCs w:val="32"/>
        </w:rPr>
      </w:pPr>
    </w:p>
    <w:p w14:paraId="790E99FE">
      <w:pPr>
        <w:pStyle w:val="2"/>
        <w:rPr>
          <w:rFonts w:ascii="Arial" w:hAnsi="Arial" w:cs="Arial"/>
          <w:sz w:val="32"/>
          <w:szCs w:val="32"/>
        </w:rPr>
      </w:pPr>
    </w:p>
    <w:p w14:paraId="6D6CF557">
      <w:pPr>
        <w:pStyle w:val="2"/>
        <w:rPr>
          <w:rFonts w:ascii="Arial" w:hAnsi="Arial" w:cs="Arial"/>
          <w:sz w:val="32"/>
          <w:szCs w:val="32"/>
        </w:rPr>
      </w:pPr>
    </w:p>
    <w:p w14:paraId="77BABE1C">
      <w:pPr>
        <w:pStyle w:val="2"/>
        <w:rPr>
          <w:rFonts w:ascii="Arial" w:hAnsi="Arial" w:cs="Arial"/>
          <w:sz w:val="32"/>
          <w:szCs w:val="32"/>
        </w:rPr>
      </w:pPr>
    </w:p>
    <w:p w14:paraId="1C0FB295">
      <w:pPr>
        <w:pStyle w:val="2"/>
        <w:rPr>
          <w:rFonts w:ascii="Arial" w:hAnsi="Arial" w:cs="Arial"/>
          <w:sz w:val="32"/>
          <w:szCs w:val="32"/>
        </w:rPr>
      </w:pPr>
    </w:p>
    <w:p w14:paraId="4C96CB97">
      <w:pPr>
        <w:pStyle w:val="2"/>
        <w:rPr>
          <w:rFonts w:ascii="Arial" w:hAnsi="Arial" w:cs="Arial"/>
          <w:sz w:val="32"/>
          <w:szCs w:val="32"/>
        </w:rPr>
      </w:pPr>
    </w:p>
    <w:p w14:paraId="1825AAC5">
      <w:pPr>
        <w:pStyle w:val="2"/>
        <w:rPr>
          <w:rFonts w:ascii="Arial" w:hAnsi="Arial" w:cs="Arial"/>
          <w:sz w:val="32"/>
          <w:szCs w:val="32"/>
        </w:rPr>
      </w:pPr>
    </w:p>
    <w:p w14:paraId="1B92FFA5">
      <w:pPr>
        <w:pStyle w:val="16"/>
        <w:snapToGrid w:val="0"/>
        <w:jc w:val="center"/>
        <w:rPr>
          <w:rFonts w:ascii="Arial" w:hAnsi="Arial" w:cs="Arial"/>
          <w:sz w:val="32"/>
          <w:szCs w:val="32"/>
        </w:rPr>
      </w:pPr>
    </w:p>
    <w:p w14:paraId="3EB4A47A">
      <w:pPr>
        <w:pStyle w:val="1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（医用血液冷藏箱</w:t>
      </w:r>
      <w:r>
        <w:rPr>
          <w:rFonts w:hint="eastAsia" w:ascii="Times New Roman" w:hAnsi="Times New Roman" w:eastAsia="宋体" w:cs="Times New Roman"/>
          <w:b/>
          <w:bCs/>
          <w:kern w:val="44"/>
          <w:sz w:val="32"/>
          <w:szCs w:val="32"/>
          <w:lang w:val="en-US" w:eastAsia="zh-CN" w:bidi="ar-SA"/>
        </w:rPr>
        <w:t>2-6°+</w:t>
      </w:r>
      <w:r>
        <w:rPr>
          <w:rFonts w:hint="eastAsia" w:cs="Times New Roman"/>
          <w:b/>
          <w:bCs/>
          <w:kern w:val="44"/>
          <w:sz w:val="32"/>
          <w:szCs w:val="32"/>
          <w:lang w:val="en-US" w:eastAsia="zh-CN" w:bidi="ar-SA"/>
        </w:rPr>
        <w:t>血小板恒温振荡保存箱 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val="en-US" w:eastAsia="zh-CN"/>
        </w:rPr>
        <w:t>七</w:t>
      </w:r>
      <w:r>
        <w:rPr>
          <w:rFonts w:hint="eastAsia" w:ascii="宋体" w:hAnsi="宋体" w:cs="宋体"/>
          <w:bCs/>
          <w:sz w:val="32"/>
          <w:szCs w:val="32"/>
        </w:rPr>
        <w:t>月</w:t>
      </w:r>
    </w:p>
    <w:p w14:paraId="4F5472A4">
      <w:pPr>
        <w:pStyle w:val="4"/>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医用血液冷藏箱2-6°+血小板恒温振荡保存箱</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医用血液冷藏箱2-6°</w:t>
      </w:r>
      <w:r>
        <w:rPr>
          <w:rFonts w:hint="eastAsia" w:asciiTheme="minorEastAsia" w:hAnsiTheme="minorEastAsia" w:eastAsiaTheme="minorEastAsia" w:cstheme="minorEastAsia"/>
          <w:b w:val="0"/>
          <w:bCs/>
          <w:color w:val="auto"/>
          <w:sz w:val="24"/>
          <w:szCs w:val="24"/>
          <w:u w:val="single"/>
          <w:lang w:val="en-US" w:eastAsia="zh-CN"/>
        </w:rPr>
        <w:t>+血小板恒温振荡保存箱</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1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E28611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1、投标截止时间、开标时间：见医院官网公开挂网表</w:t>
      </w:r>
    </w:p>
    <w:p w14:paraId="0808AD5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6A7334E">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FF0000"/>
          <w:sz w:val="24"/>
          <w:szCs w:val="24"/>
          <w:lang w:val="en-US" w:eastAsia="zh-CN" w:bidi="ar-SA"/>
        </w:rPr>
      </w:pPr>
      <w:r>
        <w:rPr>
          <w:rFonts w:hint="eastAsia" w:asciiTheme="minorEastAsia" w:hAnsiTheme="minorEastAsia" w:eastAsiaTheme="minorEastAsia" w:cstheme="minorEastAsia"/>
          <w:b w:val="0"/>
          <w:bCs/>
          <w:color w:val="FF0000"/>
          <w:sz w:val="24"/>
          <w:szCs w:val="24"/>
          <w:lang w:val="en-US" w:eastAsia="zh-CN" w:bidi="ar-SA"/>
        </w:rPr>
        <w:t>1.7、技术参数负偏离大于5条的。</w:t>
      </w:r>
    </w:p>
    <w:p w14:paraId="731CB78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7"/>
        <w:rPr>
          <w:rFonts w:hint="eastAsia"/>
          <w:lang w:val="en-US" w:eastAsia="zh-CN"/>
        </w:rPr>
      </w:pPr>
    </w:p>
    <w:p w14:paraId="687E9235">
      <w:pPr>
        <w:pStyle w:val="17"/>
        <w:jc w:val="both"/>
        <w:rPr>
          <w:rFonts w:hint="default"/>
          <w:lang w:val="en-US" w:eastAsia="zh-CN"/>
        </w:rPr>
      </w:pPr>
    </w:p>
    <w:p w14:paraId="7AECD5DA">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7"/>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831"/>
        <w:gridCol w:w="2676"/>
        <w:gridCol w:w="1486"/>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83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67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设备</w:t>
            </w:r>
            <w:r>
              <w:rPr>
                <w:rFonts w:hint="eastAsia" w:asciiTheme="minorEastAsia" w:hAnsiTheme="minorEastAsia" w:eastAsiaTheme="minorEastAsia" w:cstheme="minorEastAsia"/>
                <w:kern w:val="2"/>
                <w:sz w:val="24"/>
                <w:szCs w:val="24"/>
              </w:rPr>
              <w:t>名称</w:t>
            </w:r>
          </w:p>
        </w:tc>
        <w:tc>
          <w:tcPr>
            <w:tcW w:w="148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51" w:hRule="atLeast"/>
          <w:jc w:val="center"/>
        </w:trPr>
        <w:tc>
          <w:tcPr>
            <w:tcW w:w="83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67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b w:val="0"/>
                <w:bCs/>
                <w:color w:val="auto"/>
                <w:sz w:val="24"/>
                <w:szCs w:val="24"/>
                <w:u w:val="none"/>
                <w:lang w:val="en-US" w:eastAsia="zh-CN"/>
              </w:rPr>
              <w:t>医用血液冷藏箱2-6°</w:t>
            </w:r>
          </w:p>
        </w:tc>
        <w:tc>
          <w:tcPr>
            <w:tcW w:w="148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4.5</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r w14:paraId="46AF00A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83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B8D475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67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6CF0166">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b w:val="0"/>
                <w:bCs/>
                <w:color w:val="auto"/>
                <w:sz w:val="24"/>
                <w:szCs w:val="24"/>
                <w:u w:val="none"/>
                <w:lang w:val="en-US" w:eastAsia="zh-CN"/>
              </w:rPr>
              <w:t>血小板恒温振荡保存箱</w:t>
            </w:r>
          </w:p>
        </w:tc>
        <w:tc>
          <w:tcPr>
            <w:tcW w:w="148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DD11C9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6147BE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3.3</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62A21B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1AFC2B2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83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FFBF2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p>
        </w:tc>
        <w:tc>
          <w:tcPr>
            <w:tcW w:w="267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90AEA8B">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center"/>
              <w:rPr>
                <w:rFonts w:hint="eastAsia" w:asciiTheme="minorEastAsia" w:hAnsiTheme="minorEastAsia" w:eastAsiaTheme="minorEastAsia" w:cstheme="minorEastAsia"/>
                <w:bCs/>
                <w:color w:val="auto"/>
                <w:kern w:val="0"/>
                <w:sz w:val="24"/>
                <w:szCs w:val="24"/>
                <w:lang w:val="en-US" w:eastAsia="zh-CN" w:bidi="ar-SA"/>
              </w:rPr>
            </w:pPr>
          </w:p>
        </w:tc>
        <w:tc>
          <w:tcPr>
            <w:tcW w:w="148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667382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合计</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FF4BD6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7.8</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6C6295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p>
        </w:tc>
      </w:tr>
    </w:tbl>
    <w:p w14:paraId="21E9F08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970FE5">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二、项目内容及要求</w:t>
      </w:r>
    </w:p>
    <w:p w14:paraId="2D5D711C">
      <w:pPr>
        <w:pStyle w:val="7"/>
        <w:keepNext w:val="0"/>
        <w:keepLines w:val="0"/>
        <w:pageBreakBefore w:val="0"/>
        <w:numPr>
          <w:ilvl w:val="0"/>
          <w:numId w:val="0"/>
        </w:numPr>
        <w:kinsoku/>
        <w:wordWrap/>
        <w:overflowPunct/>
        <w:topLinePunct w:val="0"/>
        <w:bidi w:val="0"/>
        <w:snapToGrid/>
        <w:spacing w:line="400" w:lineRule="exact"/>
        <w:jc w:val="both"/>
        <w:textAlignment w:val="auto"/>
        <w:rPr>
          <w:rFonts w:hint="default" w:hAnsi="Times New Roman" w:eastAsia="宋体" w:cs="Times New Roman"/>
          <w:b w:val="0"/>
          <w:bCs w:val="0"/>
          <w:sz w:val="24"/>
          <w:szCs w:val="24"/>
          <w:lang w:val="en-US" w:eastAsia="zh-CN"/>
        </w:rPr>
      </w:pPr>
      <w:r>
        <w:rPr>
          <w:rFonts w:hint="eastAsia" w:hAnsi="Times New Roman" w:eastAsia="宋体" w:cs="Times New Roman"/>
          <w:b w:val="0"/>
          <w:bCs w:val="0"/>
          <w:sz w:val="24"/>
          <w:szCs w:val="24"/>
          <w:lang w:val="en-US" w:eastAsia="zh-CN"/>
        </w:rPr>
        <w:t>（一）</w:t>
      </w:r>
      <w:r>
        <w:rPr>
          <w:rFonts w:hint="eastAsia"/>
          <w:b w:val="0"/>
          <w:bCs w:val="0"/>
          <w:sz w:val="24"/>
          <w:szCs w:val="24"/>
          <w:lang w:val="en-US" w:eastAsia="zh-CN"/>
        </w:rPr>
        <w:t>医用血液冷藏箱2-6°技术参数</w:t>
      </w:r>
    </w:p>
    <w:p w14:paraId="2D6B8651">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★1.立式单门设计，</w:t>
      </w:r>
      <w:r>
        <w:rPr>
          <w:rFonts w:hint="eastAsia" w:ascii="宋体" w:hAnsi="宋体" w:eastAsia="宋体" w:cs="Times New Roman"/>
          <w:color w:val="auto"/>
          <w:sz w:val="24"/>
          <w:szCs w:val="24"/>
          <w:lang w:val="en-US" w:eastAsia="zh-CN"/>
        </w:rPr>
        <w:t>有效容积≥</w:t>
      </w:r>
      <w:r>
        <w:rPr>
          <w:rFonts w:hint="eastAsia" w:ascii="宋体" w:hAnsi="宋体" w:eastAsia="宋体" w:cs="Times New Roman"/>
          <w:color w:val="auto"/>
          <w:sz w:val="24"/>
          <w:szCs w:val="24"/>
        </w:rPr>
        <w:t>6</w:t>
      </w:r>
      <w:r>
        <w:rPr>
          <w:rFonts w:hint="eastAsia" w:ascii="宋体" w:hAnsi="宋体" w:eastAsia="宋体" w:cs="Times New Roman"/>
          <w:color w:val="auto"/>
          <w:sz w:val="24"/>
          <w:szCs w:val="24"/>
          <w:lang w:val="en-US" w:eastAsia="zh-CN"/>
        </w:rPr>
        <w:t>00</w:t>
      </w:r>
      <w:r>
        <w:rPr>
          <w:rFonts w:hint="eastAsia" w:ascii="宋体" w:hAnsi="宋体" w:eastAsia="宋体" w:cs="Times New Roman"/>
          <w:color w:val="auto"/>
          <w:sz w:val="24"/>
          <w:szCs w:val="24"/>
        </w:rPr>
        <w:t>L</w:t>
      </w:r>
      <w:r>
        <w:rPr>
          <w:rFonts w:hint="eastAsia" w:ascii="宋体" w:hAnsi="宋体" w:eastAsia="宋体" w:cs="Times New Roman"/>
          <w:color w:val="auto"/>
          <w:sz w:val="24"/>
          <w:szCs w:val="24"/>
          <w:lang w:eastAsia="zh-CN"/>
        </w:rPr>
        <w:t>。</w:t>
      </w:r>
    </w:p>
    <w:p w14:paraId="270B0D6F">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2.微电脑控制，箱内温度恒定控制在4±1℃范围内，控温精度0.1℃。</w:t>
      </w:r>
    </w:p>
    <w:p w14:paraId="03CFE893">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▲3.显示：</w:t>
      </w:r>
      <w:r>
        <w:rPr>
          <w:rFonts w:hint="eastAsia" w:ascii="宋体" w:hAnsi="宋体" w:eastAsia="宋体" w:cs="Times New Roman"/>
          <w:color w:val="auto"/>
          <w:sz w:val="24"/>
          <w:szCs w:val="24"/>
          <w:lang w:val="en-US" w:eastAsia="zh-CN"/>
        </w:rPr>
        <w:t>配备</w:t>
      </w:r>
      <w:r>
        <w:rPr>
          <w:rFonts w:hint="eastAsia" w:ascii="宋体" w:hAnsi="宋体" w:eastAsia="宋体" w:cs="Times New Roman"/>
          <w:color w:val="auto"/>
          <w:sz w:val="24"/>
          <w:szCs w:val="24"/>
        </w:rPr>
        <w:t>液晶触摸屏，数字显示箱内温度，可查询工作状态</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lang w:val="en-US" w:eastAsia="zh-CN"/>
        </w:rPr>
        <w:t>温度</w:t>
      </w:r>
      <w:r>
        <w:rPr>
          <w:rFonts w:hint="eastAsia" w:ascii="宋体" w:hAnsi="宋体" w:eastAsia="宋体" w:cs="Times New Roman"/>
          <w:color w:val="auto"/>
          <w:sz w:val="24"/>
          <w:szCs w:val="24"/>
        </w:rPr>
        <w:t>曲线</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报警和事件记录等信息。</w:t>
      </w:r>
    </w:p>
    <w:p w14:paraId="0D41BDC8">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4.风冷设计，保证箱内任意角落的温度都维持在标定的温度范围内，</w:t>
      </w:r>
      <w:r>
        <w:rPr>
          <w:rFonts w:hint="eastAsia" w:ascii="宋体" w:hAnsi="宋体" w:eastAsia="宋体" w:cs="Times New Roman"/>
          <w:color w:val="auto"/>
          <w:sz w:val="24"/>
          <w:szCs w:val="24"/>
          <w:lang w:val="en-US" w:eastAsia="zh-CN"/>
        </w:rPr>
        <w:t>标配</w:t>
      </w:r>
      <w:r>
        <w:rPr>
          <w:rFonts w:hint="eastAsia" w:ascii="宋体" w:hAnsi="宋体" w:eastAsia="宋体" w:cs="Times New Roman"/>
          <w:color w:val="auto"/>
          <w:sz w:val="24"/>
          <w:szCs w:val="24"/>
        </w:rPr>
        <w:t>测试孔。</w:t>
      </w:r>
    </w:p>
    <w:p w14:paraId="1AF7D88E">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5.多种故障报警：高低温报警、断电报警、开门报警、传感器故障报警、电池电量低报警</w:t>
      </w:r>
      <w:r>
        <w:rPr>
          <w:rFonts w:hint="eastAsia" w:ascii="宋体" w:hAnsi="宋体" w:eastAsia="宋体" w:cs="Times New Roman"/>
          <w:color w:val="auto"/>
          <w:sz w:val="24"/>
          <w:szCs w:val="24"/>
          <w:lang w:eastAsia="zh-CN"/>
        </w:rPr>
        <w:t>等</w:t>
      </w:r>
      <w:r>
        <w:rPr>
          <w:rFonts w:hint="eastAsia" w:ascii="宋体" w:hAnsi="宋体" w:eastAsia="宋体" w:cs="Times New Roman"/>
          <w:color w:val="auto"/>
          <w:sz w:val="24"/>
          <w:szCs w:val="24"/>
        </w:rPr>
        <w:t>。</w:t>
      </w:r>
      <w:r>
        <w:rPr>
          <w:rFonts w:hint="eastAsia" w:ascii="宋体" w:hAnsi="宋体" w:eastAsia="宋体" w:cs="Times New Roman"/>
          <w:color w:val="auto"/>
          <w:sz w:val="24"/>
          <w:szCs w:val="24"/>
          <w:lang w:eastAsia="zh-CN"/>
        </w:rPr>
        <w:t>不少于</w:t>
      </w:r>
      <w:r>
        <w:rPr>
          <w:rFonts w:hint="eastAsia" w:ascii="宋体" w:hAnsi="宋体" w:eastAsia="宋体" w:cs="Times New Roman"/>
          <w:color w:val="auto"/>
          <w:sz w:val="24"/>
          <w:szCs w:val="24"/>
        </w:rPr>
        <w:t>两种报警方式（声音蜂鸣报警和灯光闪烁报警）。</w:t>
      </w:r>
    </w:p>
    <w:p w14:paraId="7C553755">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6.多重保护功能：开机延时保护、停机间隔保护、显示面板密码保护、断电记忆数据保护、传感器故障保护运行等。</w:t>
      </w:r>
    </w:p>
    <w:p w14:paraId="5F99333E">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7.冷凝水汇集后自动电加热蒸发，免除人工处理冷凝水。</w:t>
      </w:r>
    </w:p>
    <w:p w14:paraId="0E4E401F">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8.</w:t>
      </w:r>
      <w:r>
        <w:rPr>
          <w:rFonts w:hint="eastAsia" w:ascii="宋体" w:hAnsi="宋体" w:eastAsia="宋体" w:cs="Times New Roman"/>
          <w:color w:val="auto"/>
          <w:sz w:val="24"/>
          <w:szCs w:val="24"/>
          <w:lang w:val="en-US" w:eastAsia="zh-CN"/>
        </w:rPr>
        <w:t>标配</w:t>
      </w:r>
      <w:r>
        <w:rPr>
          <w:rFonts w:hint="eastAsia" w:ascii="宋体" w:hAnsi="宋体" w:eastAsia="宋体" w:cs="Times New Roman"/>
          <w:color w:val="auto"/>
          <w:sz w:val="24"/>
          <w:szCs w:val="24"/>
        </w:rPr>
        <w:t>RS485网络接口，连接后可以将温度数据传输到用户监控软件端。</w:t>
      </w:r>
    </w:p>
    <w:p w14:paraId="6BBA5E4D">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9. 配备四个脚轮，两个底脚；可移动、可通过底脚锁定。</w:t>
      </w:r>
    </w:p>
    <w:p w14:paraId="2F5D4722">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10.压缩机：变频压缩机，环保制冷剂。通电开机温差大时高转速，快速降温，稳定运行时低转速</w:t>
      </w:r>
      <w:r>
        <w:rPr>
          <w:rFonts w:hint="eastAsia" w:ascii="宋体" w:hAnsi="宋体" w:eastAsia="宋体" w:cs="Times New Roman"/>
          <w:color w:val="auto"/>
          <w:sz w:val="24"/>
          <w:szCs w:val="24"/>
          <w:lang w:eastAsia="zh-CN"/>
        </w:rPr>
        <w:t>。</w:t>
      </w:r>
    </w:p>
    <w:p w14:paraId="3FCB6631">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11.冷凝风机。</w:t>
      </w:r>
    </w:p>
    <w:p w14:paraId="52A7A967">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12.噪声低于国家标准，声压级≤4</w:t>
      </w:r>
      <w:r>
        <w:rPr>
          <w:rFonts w:hint="eastAsia" w:ascii="宋体" w:hAnsi="宋体" w:eastAsia="宋体" w:cs="Times New Roman"/>
          <w:color w:val="auto"/>
          <w:sz w:val="24"/>
          <w:szCs w:val="24"/>
          <w:lang w:val="en-US" w:eastAsia="zh-CN"/>
        </w:rPr>
        <w:t>0</w:t>
      </w:r>
      <w:r>
        <w:rPr>
          <w:rFonts w:hint="eastAsia" w:ascii="宋体" w:hAnsi="宋体" w:eastAsia="宋体" w:cs="Times New Roman"/>
          <w:color w:val="auto"/>
          <w:sz w:val="24"/>
          <w:szCs w:val="24"/>
        </w:rPr>
        <w:t>dB（A）。</w:t>
      </w:r>
    </w:p>
    <w:p w14:paraId="23F72DDC">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13.不锈钢内胆设计。</w:t>
      </w:r>
    </w:p>
    <w:p w14:paraId="2334A30D">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14.</w:t>
      </w:r>
      <w:r>
        <w:rPr>
          <w:rFonts w:hint="eastAsia" w:ascii="宋体" w:hAnsi="宋体" w:eastAsia="宋体" w:cs="Times New Roman"/>
          <w:color w:val="auto"/>
          <w:sz w:val="24"/>
          <w:szCs w:val="24"/>
          <w:lang w:val="en-US" w:eastAsia="zh-CN"/>
        </w:rPr>
        <w:t>采用</w:t>
      </w:r>
      <w:r>
        <w:rPr>
          <w:rFonts w:hint="eastAsia" w:ascii="宋体" w:hAnsi="宋体" w:eastAsia="宋体" w:cs="Times New Roman"/>
          <w:color w:val="auto"/>
          <w:sz w:val="24"/>
          <w:szCs w:val="24"/>
        </w:rPr>
        <w:t>三层玻璃发泡门，内外层LOW-E玻璃，降低传热效率，提升门体表面的防凝露能力，</w:t>
      </w:r>
      <w:r>
        <w:rPr>
          <w:rFonts w:hint="eastAsia" w:ascii="宋体" w:hAnsi="宋体" w:eastAsia="宋体" w:cs="Times New Roman"/>
          <w:color w:val="auto"/>
          <w:sz w:val="24"/>
          <w:szCs w:val="24"/>
          <w:lang w:val="en-US" w:eastAsia="zh-CN"/>
        </w:rPr>
        <w:t>支持</w:t>
      </w:r>
      <w:r>
        <w:rPr>
          <w:rFonts w:hint="eastAsia" w:ascii="宋体" w:hAnsi="宋体" w:eastAsia="宋体" w:cs="Times New Roman"/>
          <w:color w:val="auto"/>
          <w:sz w:val="24"/>
          <w:szCs w:val="24"/>
        </w:rPr>
        <w:t>自关门功能</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门体配置机械锁。</w:t>
      </w:r>
    </w:p>
    <w:p w14:paraId="76B6CC77">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15.后备电池设计，满足断电后报警并继续显示箱内实时温度需求。</w:t>
      </w:r>
    </w:p>
    <w:p w14:paraId="44AC447C">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16.箱内7路传感器，主控传感器为高精度PT100，环境温湿度传感器可显示环境温湿度，防低温机械温控器，电控板故障时可直接控制压机开停，防止温低影响血液安全。</w:t>
      </w:r>
    </w:p>
    <w:p w14:paraId="6E99A4F7">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17.箱内设置LED照明灯，外部独立灯开关。</w:t>
      </w:r>
    </w:p>
    <w:p w14:paraId="71DB93CE">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18.标配USB接口，可下载温度数据，报警记录等信息，可以存储箱内温度数据≥10年，实现产品整个生命周期的温度数据可追溯。</w:t>
      </w:r>
    </w:p>
    <w:p w14:paraId="7E267D91">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19. </w:t>
      </w:r>
      <w:r>
        <w:rPr>
          <w:rFonts w:hint="eastAsia" w:ascii="宋体" w:hAnsi="宋体" w:eastAsia="宋体" w:cs="Times New Roman"/>
          <w:color w:val="auto"/>
          <w:sz w:val="24"/>
          <w:szCs w:val="24"/>
          <w:lang w:val="en-US" w:eastAsia="zh-CN"/>
        </w:rPr>
        <w:t>配备不小于</w:t>
      </w:r>
      <w:r>
        <w:rPr>
          <w:rFonts w:hint="eastAsia" w:ascii="宋体" w:hAnsi="宋体" w:eastAsia="宋体" w:cs="Times New Roman"/>
          <w:color w:val="auto"/>
          <w:sz w:val="24"/>
          <w:szCs w:val="24"/>
        </w:rPr>
        <w:t>6个蘸塑搁架</w:t>
      </w:r>
      <w:r>
        <w:rPr>
          <w:rFonts w:hint="eastAsia" w:ascii="宋体" w:hAnsi="宋体" w:eastAsia="宋体" w:cs="Times New Roman"/>
          <w:color w:val="auto"/>
          <w:sz w:val="24"/>
          <w:szCs w:val="24"/>
          <w:lang w:val="en-US" w:eastAsia="zh-CN"/>
        </w:rPr>
        <w:t>和</w:t>
      </w:r>
      <w:r>
        <w:rPr>
          <w:rFonts w:hint="eastAsia" w:ascii="宋体" w:hAnsi="宋体" w:eastAsia="宋体" w:cs="Times New Roman"/>
          <w:color w:val="auto"/>
          <w:sz w:val="24"/>
          <w:szCs w:val="24"/>
        </w:rPr>
        <w:t>6个内门，可减</w:t>
      </w:r>
      <w:r>
        <w:rPr>
          <w:rFonts w:hint="eastAsia" w:ascii="宋体" w:hAnsi="宋体" w:eastAsia="宋体" w:cs="Times New Roman"/>
          <w:color w:val="auto"/>
          <w:sz w:val="24"/>
          <w:szCs w:val="24"/>
          <w:lang w:val="en-US" w:eastAsia="zh-CN"/>
        </w:rPr>
        <w:t>少</w:t>
      </w:r>
      <w:r>
        <w:rPr>
          <w:rFonts w:hint="eastAsia" w:ascii="宋体" w:hAnsi="宋体" w:eastAsia="宋体" w:cs="Times New Roman"/>
          <w:color w:val="auto"/>
          <w:sz w:val="24"/>
          <w:szCs w:val="24"/>
        </w:rPr>
        <w:t>开门取血的冷量散失。</w:t>
      </w:r>
    </w:p>
    <w:p w14:paraId="7B205291">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▲20.血筐：</w:t>
      </w:r>
      <w:r>
        <w:rPr>
          <w:rFonts w:hint="eastAsia" w:ascii="宋体" w:hAnsi="宋体" w:eastAsia="宋体" w:cs="Times New Roman"/>
          <w:color w:val="auto"/>
          <w:sz w:val="24"/>
          <w:szCs w:val="24"/>
          <w:lang w:val="en-US" w:eastAsia="zh-CN"/>
        </w:rPr>
        <w:t>配备≥</w:t>
      </w:r>
      <w:r>
        <w:rPr>
          <w:rFonts w:hint="eastAsia" w:ascii="宋体" w:hAnsi="宋体" w:eastAsia="宋体" w:cs="Times New Roman"/>
          <w:color w:val="auto"/>
          <w:sz w:val="24"/>
          <w:szCs w:val="24"/>
        </w:rPr>
        <w:t>24个一体成型注塑血袋筐, 带标识卡槽，配隔板可保持血袋不满筐时立放。标配血型标贴，便于分类标记。</w:t>
      </w:r>
    </w:p>
    <w:p w14:paraId="2AD011CE">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▲21.标配物联模块，</w:t>
      </w:r>
      <w:r>
        <w:rPr>
          <w:rFonts w:hint="eastAsia" w:ascii="宋体" w:hAnsi="宋体" w:eastAsia="宋体" w:cs="Times New Roman"/>
          <w:color w:val="auto"/>
          <w:sz w:val="24"/>
          <w:szCs w:val="24"/>
          <w:lang w:val="en-US" w:eastAsia="zh-CN"/>
        </w:rPr>
        <w:t>连接网络</w:t>
      </w:r>
      <w:r>
        <w:rPr>
          <w:rFonts w:hint="eastAsia" w:ascii="宋体" w:hAnsi="宋体" w:eastAsia="宋体" w:cs="Times New Roman"/>
          <w:color w:val="auto"/>
          <w:sz w:val="24"/>
          <w:szCs w:val="24"/>
        </w:rPr>
        <w:t>上传数据至云平台后，</w:t>
      </w:r>
      <w:r>
        <w:rPr>
          <w:rFonts w:hint="eastAsia" w:ascii="宋体" w:hAnsi="宋体" w:eastAsia="宋体" w:cs="Times New Roman"/>
          <w:color w:val="auto"/>
          <w:sz w:val="24"/>
          <w:szCs w:val="24"/>
          <w:lang w:val="en-US" w:eastAsia="zh-CN"/>
        </w:rPr>
        <w:t>可</w:t>
      </w:r>
      <w:r>
        <w:rPr>
          <w:rFonts w:hint="eastAsia" w:ascii="宋体" w:hAnsi="宋体" w:eastAsia="宋体" w:cs="Times New Roman"/>
          <w:color w:val="auto"/>
          <w:sz w:val="24"/>
          <w:szCs w:val="24"/>
        </w:rPr>
        <w:t>通过电脑端和手机端随时随地查看</w:t>
      </w:r>
      <w:r>
        <w:rPr>
          <w:rFonts w:hint="eastAsia" w:ascii="宋体" w:hAnsi="宋体" w:eastAsia="宋体" w:cs="Times New Roman"/>
          <w:color w:val="auto"/>
          <w:sz w:val="24"/>
          <w:szCs w:val="24"/>
          <w:lang w:val="en-US" w:eastAsia="zh-CN"/>
        </w:rPr>
        <w:t>设备温度</w:t>
      </w:r>
      <w:r>
        <w:rPr>
          <w:rFonts w:hint="eastAsia" w:ascii="宋体" w:hAnsi="宋体" w:eastAsia="宋体" w:cs="Times New Roman"/>
          <w:color w:val="auto"/>
          <w:sz w:val="24"/>
          <w:szCs w:val="24"/>
        </w:rPr>
        <w:t>信息</w:t>
      </w:r>
      <w:r>
        <w:rPr>
          <w:rFonts w:hint="eastAsia" w:ascii="宋体" w:hAnsi="宋体" w:eastAsia="宋体" w:cs="Times New Roman"/>
          <w:color w:val="auto"/>
          <w:sz w:val="24"/>
          <w:szCs w:val="24"/>
          <w:lang w:val="en-US" w:eastAsia="zh-CN"/>
        </w:rPr>
        <w:t>及报警信息</w:t>
      </w:r>
      <w:r>
        <w:rPr>
          <w:rFonts w:hint="eastAsia" w:ascii="宋体" w:hAnsi="宋体" w:eastAsia="宋体" w:cs="Times New Roman"/>
          <w:color w:val="auto"/>
          <w:sz w:val="24"/>
          <w:szCs w:val="24"/>
        </w:rPr>
        <w:t>。</w:t>
      </w:r>
    </w:p>
    <w:p w14:paraId="391CDBF1">
      <w:pPr>
        <w:pStyle w:val="12"/>
        <w:keepNext w:val="0"/>
        <w:keepLines w:val="0"/>
        <w:pageBreakBefore w:val="0"/>
        <w:numPr>
          <w:ilvl w:val="0"/>
          <w:numId w:val="3"/>
        </w:numPr>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auto"/>
          <w:sz w:val="24"/>
          <w:szCs w:val="24"/>
        </w:rPr>
      </w:pPr>
      <w:r>
        <w:rPr>
          <w:rFonts w:hint="eastAsia" w:ascii="宋体" w:hAnsi="宋体" w:eastAsia="宋体" w:cs="Times New Roman"/>
          <w:color w:val="auto"/>
          <w:sz w:val="24"/>
          <w:szCs w:val="24"/>
        </w:rPr>
        <w:t>生产厂家通过ISO9001系列质量体系认证、ISO14001环境体系认证、ISO13485医疗器械质量体系认证、职业安全健康ISO 45001认证，符合国家相关质量管理标准，具有产品质量合格证。</w:t>
      </w:r>
    </w:p>
    <w:p w14:paraId="07BAC523">
      <w:pPr>
        <w:pStyle w:val="12"/>
        <w:keepNext w:val="0"/>
        <w:keepLines w:val="0"/>
        <w:pageBreakBefore w:val="0"/>
        <w:numPr>
          <w:ilvl w:val="0"/>
          <w:numId w:val="0"/>
        </w:numPr>
        <w:kinsoku/>
        <w:wordWrap/>
        <w:overflowPunct/>
        <w:topLinePunct w:val="0"/>
        <w:bidi w:val="0"/>
        <w:snapToGrid/>
        <w:spacing w:before="0" w:beforeAutospacing="0" w:after="0" w:afterAutospacing="0" w:line="400" w:lineRule="exact"/>
        <w:jc w:val="left"/>
        <w:textAlignment w:val="auto"/>
        <w:rPr>
          <w:rFonts w:hint="eastAsia" w:ascii="宋体" w:hAnsi="宋体" w:eastAsia="宋体" w:cs="Times New Roman"/>
          <w:color w:val="FF0000"/>
          <w:sz w:val="24"/>
          <w:szCs w:val="24"/>
        </w:rPr>
      </w:pPr>
      <w:r>
        <w:rPr>
          <w:rFonts w:hint="eastAsia"/>
          <w:color w:val="FF0000"/>
          <w:sz w:val="24"/>
          <w:szCs w:val="24"/>
        </w:rPr>
        <w:t>★</w:t>
      </w:r>
      <w:r>
        <w:rPr>
          <w:rFonts w:hint="eastAsia"/>
          <w:color w:val="FF0000"/>
          <w:sz w:val="24"/>
          <w:szCs w:val="24"/>
          <w:lang w:val="en-US" w:eastAsia="zh-CN"/>
        </w:rPr>
        <w:t>23.</w:t>
      </w:r>
      <w:r>
        <w:rPr>
          <w:rFonts w:hint="eastAsia" w:ascii="宋体" w:hAnsi="宋体" w:eastAsia="宋体" w:cs="Times New Roman"/>
          <w:color w:val="FF0000"/>
          <w:sz w:val="24"/>
          <w:szCs w:val="24"/>
          <w:lang w:eastAsia="zh-CN"/>
        </w:rPr>
        <w:t>提供厂家</w:t>
      </w:r>
      <w:r>
        <w:rPr>
          <w:rFonts w:hint="eastAsia" w:ascii="宋体" w:hAnsi="宋体" w:eastAsia="宋体" w:cs="Times New Roman"/>
          <w:color w:val="FF0000"/>
          <w:sz w:val="24"/>
          <w:szCs w:val="24"/>
        </w:rPr>
        <w:t>医疗器械生产许可证</w:t>
      </w:r>
      <w:r>
        <w:rPr>
          <w:rFonts w:hint="eastAsia" w:ascii="宋体" w:hAnsi="宋体" w:eastAsia="宋体" w:cs="Times New Roman"/>
          <w:color w:val="FF0000"/>
          <w:sz w:val="24"/>
          <w:szCs w:val="24"/>
          <w:lang w:eastAsia="zh-CN"/>
        </w:rPr>
        <w:t>和</w:t>
      </w:r>
      <w:r>
        <w:rPr>
          <w:rFonts w:hint="eastAsia" w:ascii="宋体" w:hAnsi="宋体" w:eastAsia="宋体" w:cs="Times New Roman"/>
          <w:color w:val="FF0000"/>
          <w:sz w:val="24"/>
          <w:szCs w:val="24"/>
          <w:lang w:val="en-US" w:eastAsia="zh-CN"/>
        </w:rPr>
        <w:t>产品</w:t>
      </w:r>
      <w:r>
        <w:rPr>
          <w:rFonts w:hint="eastAsia" w:ascii="宋体" w:hAnsi="宋体" w:eastAsia="宋体" w:cs="Times New Roman"/>
          <w:color w:val="FF0000"/>
          <w:sz w:val="24"/>
          <w:szCs w:val="24"/>
        </w:rPr>
        <w:t>医疗器械注册证</w:t>
      </w:r>
      <w:r>
        <w:rPr>
          <w:rFonts w:hint="eastAsia" w:ascii="宋体" w:hAnsi="宋体" w:eastAsia="宋体" w:cs="Times New Roman"/>
          <w:color w:val="FF0000"/>
          <w:sz w:val="24"/>
          <w:szCs w:val="24"/>
          <w:lang w:eastAsia="zh-CN"/>
        </w:rPr>
        <w:t>。</w:t>
      </w:r>
    </w:p>
    <w:p w14:paraId="15634D2D">
      <w:pPr>
        <w:pStyle w:val="7"/>
        <w:keepNext w:val="0"/>
        <w:keepLines w:val="0"/>
        <w:pageBreakBefore w:val="0"/>
        <w:numPr>
          <w:ilvl w:val="0"/>
          <w:numId w:val="0"/>
        </w:numPr>
        <w:kinsoku/>
        <w:wordWrap/>
        <w:overflowPunct/>
        <w:topLinePunct w:val="0"/>
        <w:bidi w:val="0"/>
        <w:snapToGrid/>
        <w:spacing w:line="400" w:lineRule="exact"/>
        <w:jc w:val="both"/>
        <w:textAlignment w:val="auto"/>
        <w:rPr>
          <w:rFonts w:hint="eastAsia" w:ascii="宋体" w:hAnsi="Times New Roman" w:eastAsia="宋体" w:cs="Times New Roman"/>
          <w:b w:val="0"/>
          <w:bCs w:val="0"/>
          <w:sz w:val="24"/>
          <w:szCs w:val="24"/>
          <w:lang w:val="en-US" w:eastAsia="zh-CN"/>
        </w:rPr>
      </w:pPr>
      <w:r>
        <w:rPr>
          <w:rFonts w:hint="eastAsia" w:ascii="宋体" w:hAnsi="Times New Roman" w:eastAsia="宋体" w:cs="Times New Roman"/>
          <w:b w:val="0"/>
          <w:bCs w:val="0"/>
          <w:sz w:val="24"/>
          <w:szCs w:val="24"/>
          <w:lang w:val="en-US" w:eastAsia="zh-CN"/>
        </w:rPr>
        <w:t>（二）血小板恒温振荡保存箱技术参数</w:t>
      </w:r>
    </w:p>
    <w:p w14:paraId="73ADDFC1">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ascii="宋体" w:hAnsi="宋体"/>
          <w:b/>
          <w:color w:val="auto"/>
          <w:sz w:val="24"/>
          <w:szCs w:val="24"/>
        </w:rPr>
      </w:pPr>
      <w:r>
        <w:rPr>
          <w:rFonts w:hint="eastAsia" w:ascii="宋体" w:hAnsi="宋体"/>
          <w:color w:val="auto"/>
          <w:sz w:val="24"/>
          <w:szCs w:val="24"/>
        </w:rPr>
        <w:t>1.门体：采用立式单门设计，自关门设计，开门角度大于90度时悬停，方便存取操作。</w:t>
      </w:r>
    </w:p>
    <w:p w14:paraId="3DF34C16">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ascii="宋体" w:hAnsi="宋体"/>
          <w:color w:val="auto"/>
          <w:sz w:val="24"/>
          <w:szCs w:val="24"/>
        </w:rPr>
      </w:pPr>
      <w:r>
        <w:rPr>
          <w:rFonts w:hint="eastAsia" w:ascii="宋体" w:hAnsi="宋体"/>
          <w:color w:val="auto"/>
          <w:sz w:val="24"/>
          <w:szCs w:val="24"/>
        </w:rPr>
        <w:t>2.微电脑控制，箱内温度恒定控制在22±1℃范围内，控温精度0.1°C。</w:t>
      </w:r>
    </w:p>
    <w:p w14:paraId="264835C7">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sz w:val="24"/>
          <w:szCs w:val="24"/>
        </w:rPr>
        <w:t>▲</w:t>
      </w:r>
      <w:r>
        <w:rPr>
          <w:rFonts w:hint="eastAsia" w:ascii="宋体" w:hAnsi="宋体"/>
          <w:color w:val="auto"/>
          <w:sz w:val="24"/>
          <w:szCs w:val="24"/>
        </w:rPr>
        <w:t>3.显示：</w:t>
      </w:r>
      <w:r>
        <w:rPr>
          <w:rFonts w:hint="eastAsia" w:ascii="宋体" w:hAnsi="宋体"/>
          <w:color w:val="auto"/>
          <w:sz w:val="24"/>
          <w:szCs w:val="24"/>
          <w:lang w:val="en-US" w:eastAsia="zh-CN"/>
        </w:rPr>
        <w:t>配备</w:t>
      </w:r>
      <w:r>
        <w:rPr>
          <w:rFonts w:hint="eastAsia" w:ascii="Times New Roman" w:hAnsi="Times New Roman" w:cs="Times New Roman"/>
          <w:sz w:val="24"/>
          <w:szCs w:val="24"/>
          <w:highlight w:val="none"/>
          <w:lang w:val="en-US" w:eastAsia="zh-CN"/>
        </w:rPr>
        <w:t>≥</w:t>
      </w:r>
      <w:r>
        <w:rPr>
          <w:rFonts w:hint="eastAsia" w:ascii="宋体" w:hAnsi="宋体"/>
          <w:color w:val="auto"/>
          <w:sz w:val="24"/>
          <w:szCs w:val="24"/>
        </w:rPr>
        <w:t>7寸液晶触摸屏，数字显示箱内温度，</w:t>
      </w:r>
      <w:r>
        <w:rPr>
          <w:rFonts w:hint="eastAsia" w:ascii="宋体" w:hAnsi="宋体"/>
          <w:sz w:val="24"/>
          <w:szCs w:val="24"/>
        </w:rPr>
        <w:t>可查询工作状态</w:t>
      </w:r>
      <w:r>
        <w:rPr>
          <w:rFonts w:hint="eastAsia" w:ascii="宋体" w:hAnsi="宋体"/>
          <w:sz w:val="24"/>
          <w:szCs w:val="24"/>
          <w:lang w:eastAsia="zh-CN"/>
        </w:rPr>
        <w:t>、</w:t>
      </w:r>
      <w:r>
        <w:rPr>
          <w:rFonts w:hint="eastAsia" w:ascii="宋体" w:hAnsi="宋体"/>
          <w:sz w:val="24"/>
          <w:szCs w:val="24"/>
          <w:lang w:val="en-US" w:eastAsia="zh-CN"/>
        </w:rPr>
        <w:t>温度</w:t>
      </w:r>
      <w:r>
        <w:rPr>
          <w:rFonts w:hint="eastAsia" w:ascii="宋体" w:hAnsi="宋体"/>
          <w:sz w:val="24"/>
          <w:szCs w:val="24"/>
        </w:rPr>
        <w:t>曲线</w:t>
      </w:r>
      <w:r>
        <w:rPr>
          <w:rFonts w:hint="eastAsia" w:ascii="宋体" w:hAnsi="宋体"/>
          <w:sz w:val="24"/>
          <w:szCs w:val="24"/>
          <w:lang w:eastAsia="zh-CN"/>
        </w:rPr>
        <w:t>、</w:t>
      </w:r>
      <w:r>
        <w:rPr>
          <w:rFonts w:hint="eastAsia" w:ascii="宋体" w:hAnsi="宋体"/>
          <w:sz w:val="24"/>
          <w:szCs w:val="24"/>
        </w:rPr>
        <w:t>报警和事件记录等信息</w:t>
      </w:r>
      <w:r>
        <w:rPr>
          <w:rFonts w:hint="eastAsia" w:ascii="宋体" w:hAnsi="宋体"/>
          <w:color w:val="auto"/>
          <w:sz w:val="24"/>
          <w:szCs w:val="24"/>
        </w:rPr>
        <w:t>。</w:t>
      </w:r>
    </w:p>
    <w:p w14:paraId="61FAA7BE">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ascii="宋体" w:hAnsi="宋体"/>
          <w:color w:val="auto"/>
          <w:sz w:val="24"/>
          <w:szCs w:val="24"/>
        </w:rPr>
        <w:t>4.风冷设计，保证箱内任意角落的温度都维持在标定的温度范围内，</w:t>
      </w:r>
      <w:r>
        <w:rPr>
          <w:rFonts w:hint="eastAsia" w:ascii="宋体" w:hAnsi="宋体"/>
          <w:sz w:val="24"/>
          <w:szCs w:val="24"/>
          <w:lang w:val="en-US" w:eastAsia="zh-CN"/>
        </w:rPr>
        <w:t>标配</w:t>
      </w:r>
      <w:r>
        <w:rPr>
          <w:rFonts w:hint="eastAsia" w:ascii="宋体" w:hAnsi="宋体"/>
          <w:sz w:val="24"/>
          <w:szCs w:val="24"/>
        </w:rPr>
        <w:t>测试孔</w:t>
      </w:r>
      <w:r>
        <w:rPr>
          <w:rFonts w:hint="eastAsia" w:ascii="宋体" w:hAnsi="宋体"/>
          <w:color w:val="auto"/>
          <w:sz w:val="24"/>
          <w:szCs w:val="24"/>
        </w:rPr>
        <w:t>。</w:t>
      </w:r>
    </w:p>
    <w:p w14:paraId="362686F3">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ascii="宋体" w:hAnsi="宋体"/>
          <w:color w:val="auto"/>
          <w:sz w:val="24"/>
          <w:szCs w:val="24"/>
        </w:rPr>
        <w:t>5.多种故障报警：高低温报警、断电报警、开门报警、传感器故障报警、电机故障报警、电池电量低报警</w:t>
      </w:r>
      <w:r>
        <w:rPr>
          <w:rFonts w:hint="eastAsia" w:ascii="宋体" w:hAnsi="宋体"/>
          <w:color w:val="auto"/>
          <w:sz w:val="24"/>
          <w:szCs w:val="24"/>
          <w:lang w:eastAsia="zh-CN"/>
        </w:rPr>
        <w:t>等</w:t>
      </w:r>
      <w:r>
        <w:rPr>
          <w:rFonts w:hint="eastAsia" w:ascii="宋体" w:hAnsi="宋体"/>
          <w:color w:val="auto"/>
          <w:sz w:val="24"/>
          <w:szCs w:val="24"/>
        </w:rPr>
        <w:t>。</w:t>
      </w:r>
      <w:r>
        <w:rPr>
          <w:rFonts w:hint="eastAsia" w:ascii="宋体" w:hAnsi="宋体"/>
          <w:color w:val="auto"/>
          <w:sz w:val="24"/>
          <w:szCs w:val="24"/>
          <w:lang w:eastAsia="zh-CN"/>
        </w:rPr>
        <w:t>不少于</w:t>
      </w:r>
      <w:r>
        <w:rPr>
          <w:rFonts w:hint="eastAsia" w:ascii="宋体" w:hAnsi="宋体"/>
          <w:color w:val="auto"/>
          <w:sz w:val="24"/>
          <w:szCs w:val="24"/>
        </w:rPr>
        <w:t>两种报警方式（声音蜂鸣报警和屏幕提示报警）</w:t>
      </w:r>
      <w:r>
        <w:rPr>
          <w:rFonts w:hint="eastAsia" w:ascii="宋体" w:hAnsi="宋体"/>
          <w:color w:val="auto"/>
          <w:sz w:val="24"/>
          <w:szCs w:val="24"/>
          <w:lang w:eastAsia="zh-CN"/>
        </w:rPr>
        <w:t>，</w:t>
      </w:r>
      <w:r>
        <w:rPr>
          <w:rFonts w:hint="eastAsia" w:ascii="宋体" w:hAnsi="宋体"/>
          <w:color w:val="auto"/>
          <w:sz w:val="24"/>
          <w:szCs w:val="24"/>
        </w:rPr>
        <w:t>标配远程报警接口及485接口。</w:t>
      </w:r>
    </w:p>
    <w:p w14:paraId="511186B4">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ascii="宋体" w:hAnsi="宋体"/>
          <w:color w:val="auto"/>
          <w:sz w:val="24"/>
          <w:szCs w:val="24"/>
        </w:rPr>
      </w:pPr>
      <w:r>
        <w:rPr>
          <w:rFonts w:hint="eastAsia" w:ascii="宋体" w:hAnsi="宋体"/>
          <w:color w:val="auto"/>
          <w:sz w:val="24"/>
          <w:szCs w:val="24"/>
        </w:rPr>
        <w:t>6.冷凝水汇集后风冷蒸发，免除人工处理冷凝水。</w:t>
      </w:r>
    </w:p>
    <w:p w14:paraId="173FD9E9">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ascii="宋体" w:hAnsi="宋体"/>
          <w:color w:val="auto"/>
          <w:sz w:val="24"/>
          <w:szCs w:val="24"/>
        </w:rPr>
        <w:t>7.配备四个脚轮和两个底脚，方便设备移动和锁定。</w:t>
      </w:r>
    </w:p>
    <w:p w14:paraId="21171500">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sz w:val="24"/>
          <w:szCs w:val="24"/>
        </w:rPr>
        <w:t>▲</w:t>
      </w:r>
      <w:r>
        <w:rPr>
          <w:rFonts w:hint="eastAsia" w:ascii="宋体" w:hAnsi="宋体"/>
          <w:color w:val="auto"/>
          <w:sz w:val="24"/>
          <w:szCs w:val="24"/>
        </w:rPr>
        <w:t>8.半导体：采用半导体控温技术。通电开机温差大时高功率，快速降温，稳定运行时低功率。</w:t>
      </w:r>
    </w:p>
    <w:p w14:paraId="6C8436EA">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ascii="宋体" w:hAnsi="宋体"/>
          <w:color w:val="auto"/>
          <w:sz w:val="24"/>
          <w:szCs w:val="24"/>
        </w:rPr>
        <w:t>9.振荡电机。</w:t>
      </w:r>
    </w:p>
    <w:p w14:paraId="42F58B5D">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ascii="宋体" w:hAnsi="宋体"/>
          <w:color w:val="auto"/>
          <w:sz w:val="24"/>
          <w:szCs w:val="24"/>
        </w:rPr>
        <w:t>10.噪声低，声压级≤55dB（A）。</w:t>
      </w:r>
    </w:p>
    <w:p w14:paraId="3121BE14">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color w:val="000000"/>
          <w:sz w:val="24"/>
          <w:szCs w:val="24"/>
        </w:rPr>
        <w:t>★</w:t>
      </w:r>
      <w:r>
        <w:rPr>
          <w:rFonts w:hint="eastAsia" w:ascii="宋体" w:hAnsi="宋体"/>
          <w:color w:val="auto"/>
          <w:sz w:val="24"/>
          <w:szCs w:val="24"/>
        </w:rPr>
        <w:t>11.有效容积</w:t>
      </w:r>
      <w:r>
        <w:rPr>
          <w:rFonts w:hint="eastAsia" w:ascii="宋体" w:hAnsi="宋体" w:eastAsia="宋体" w:cs="宋体"/>
          <w:color w:val="000000"/>
          <w:kern w:val="0"/>
          <w:sz w:val="24"/>
          <w:szCs w:val="24"/>
        </w:rPr>
        <w:t>≥</w:t>
      </w:r>
      <w:r>
        <w:rPr>
          <w:rFonts w:hint="eastAsia" w:ascii="宋体" w:hAnsi="宋体"/>
          <w:color w:val="auto"/>
          <w:sz w:val="24"/>
          <w:szCs w:val="24"/>
        </w:rPr>
        <w:t>14</w:t>
      </w:r>
      <w:r>
        <w:rPr>
          <w:rFonts w:hint="eastAsia" w:ascii="宋体" w:hAnsi="宋体"/>
          <w:color w:val="auto"/>
          <w:sz w:val="24"/>
          <w:szCs w:val="24"/>
          <w:lang w:val="en-US" w:eastAsia="zh-CN"/>
        </w:rPr>
        <w:t>0</w:t>
      </w:r>
      <w:r>
        <w:rPr>
          <w:rFonts w:hint="eastAsia" w:ascii="宋体" w:hAnsi="宋体"/>
          <w:color w:val="auto"/>
          <w:sz w:val="24"/>
          <w:szCs w:val="24"/>
        </w:rPr>
        <w:t>L，可存放</w:t>
      </w:r>
      <w:r>
        <w:rPr>
          <w:rFonts w:hint="eastAsia" w:ascii="宋体" w:hAnsi="宋体" w:eastAsia="宋体" w:cs="宋体"/>
          <w:color w:val="000000"/>
          <w:kern w:val="0"/>
          <w:sz w:val="24"/>
          <w:szCs w:val="24"/>
        </w:rPr>
        <w:t>≥</w:t>
      </w:r>
      <w:r>
        <w:rPr>
          <w:rFonts w:hint="eastAsia" w:ascii="宋体" w:hAnsi="宋体"/>
          <w:color w:val="auto"/>
          <w:sz w:val="24"/>
          <w:szCs w:val="24"/>
        </w:rPr>
        <w:t>9层（8个活动搁架）</w:t>
      </w:r>
      <w:r>
        <w:rPr>
          <w:rFonts w:hint="eastAsia" w:ascii="宋体" w:hAnsi="宋体"/>
          <w:color w:val="auto"/>
          <w:sz w:val="24"/>
          <w:szCs w:val="24"/>
          <w:lang w:eastAsia="zh-CN"/>
        </w:rPr>
        <w:t>，</w:t>
      </w:r>
      <w:r>
        <w:rPr>
          <w:rFonts w:hint="eastAsia" w:ascii="宋体" w:hAnsi="宋体"/>
          <w:color w:val="auto"/>
          <w:sz w:val="24"/>
          <w:szCs w:val="24"/>
          <w:lang w:val="en-US" w:eastAsia="zh-CN"/>
        </w:rPr>
        <w:t>机采血小板</w:t>
      </w:r>
      <w:r>
        <w:rPr>
          <w:rFonts w:hint="eastAsia" w:ascii="宋体" w:hAnsi="宋体"/>
          <w:color w:val="auto"/>
          <w:sz w:val="24"/>
          <w:szCs w:val="24"/>
        </w:rPr>
        <w:t>（</w:t>
      </w:r>
      <w:r>
        <w:rPr>
          <w:rFonts w:hint="eastAsia" w:ascii="宋体" w:hAnsi="宋体"/>
          <w:color w:val="auto"/>
          <w:sz w:val="24"/>
          <w:szCs w:val="24"/>
          <w:lang w:val="en-US" w:eastAsia="zh-CN"/>
        </w:rPr>
        <w:t>尺寸</w:t>
      </w:r>
      <w:r>
        <w:rPr>
          <w:rFonts w:hint="eastAsia" w:ascii="宋体" w:hAnsi="宋体"/>
          <w:color w:val="auto"/>
          <w:sz w:val="24"/>
          <w:szCs w:val="24"/>
        </w:rPr>
        <w:t>200mm*170mm）</w:t>
      </w:r>
      <w:r>
        <w:rPr>
          <w:rFonts w:hint="eastAsia" w:ascii="宋体" w:hAnsi="宋体"/>
          <w:color w:val="auto"/>
          <w:sz w:val="24"/>
          <w:szCs w:val="24"/>
          <w:lang w:val="en-US" w:eastAsia="zh-CN"/>
        </w:rPr>
        <w:t>存放数量</w:t>
      </w:r>
      <w:r>
        <w:rPr>
          <w:rFonts w:hint="eastAsia" w:ascii="宋体" w:hAnsi="宋体" w:eastAsia="宋体" w:cs="宋体"/>
          <w:color w:val="000000"/>
          <w:kern w:val="0"/>
          <w:sz w:val="24"/>
          <w:szCs w:val="24"/>
        </w:rPr>
        <w:t>≥</w:t>
      </w:r>
      <w:r>
        <w:rPr>
          <w:rFonts w:hint="eastAsia" w:ascii="宋体" w:hAnsi="宋体"/>
          <w:color w:val="auto"/>
          <w:sz w:val="24"/>
          <w:szCs w:val="24"/>
        </w:rPr>
        <w:t>3</w:t>
      </w:r>
      <w:r>
        <w:rPr>
          <w:rFonts w:hint="eastAsia" w:ascii="宋体" w:hAnsi="宋体"/>
          <w:color w:val="auto"/>
          <w:sz w:val="24"/>
          <w:szCs w:val="24"/>
          <w:lang w:val="en-US" w:eastAsia="zh-CN"/>
        </w:rPr>
        <w:t>5</w:t>
      </w:r>
      <w:r>
        <w:rPr>
          <w:rFonts w:hint="eastAsia" w:ascii="宋体" w:hAnsi="宋体"/>
          <w:color w:val="auto"/>
          <w:sz w:val="24"/>
          <w:szCs w:val="24"/>
        </w:rPr>
        <w:t>袋。</w:t>
      </w:r>
    </w:p>
    <w:p w14:paraId="3168455D">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ascii="宋体" w:hAnsi="宋体"/>
          <w:color w:val="auto"/>
          <w:sz w:val="24"/>
          <w:szCs w:val="24"/>
        </w:rPr>
        <w:t>12.不锈钢内胆设计。</w:t>
      </w:r>
    </w:p>
    <w:p w14:paraId="787E6B85">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ascii="宋体" w:hAnsi="宋体"/>
          <w:color w:val="auto"/>
          <w:sz w:val="24"/>
          <w:szCs w:val="24"/>
        </w:rPr>
        <w:t>13.标配机械锁，一把钥匙一把锁，保障存储血小板安全。</w:t>
      </w:r>
    </w:p>
    <w:p w14:paraId="6BCE9904">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ascii="宋体" w:hAnsi="宋体"/>
          <w:color w:val="auto"/>
          <w:sz w:val="24"/>
          <w:szCs w:val="24"/>
        </w:rPr>
        <w:t>14.后备电池设计，满足断电后报警并继续显示箱内实时温度需求。</w:t>
      </w:r>
    </w:p>
    <w:p w14:paraId="00CCBEA4">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ascii="宋体" w:hAnsi="宋体"/>
          <w:color w:val="auto"/>
          <w:sz w:val="24"/>
          <w:szCs w:val="24"/>
        </w:rPr>
        <w:t>15.箱内3个高精度传感器，主控传感器为高精度PT100。</w:t>
      </w:r>
    </w:p>
    <w:p w14:paraId="7F77B1BE">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ascii="宋体" w:hAnsi="宋体"/>
          <w:color w:val="auto"/>
          <w:sz w:val="24"/>
          <w:szCs w:val="24"/>
        </w:rPr>
        <w:t>16.紫外灯：箱体内置紫外灯进行消毒杀菌，可根据需要设置为手动或自动定期定时模式。</w:t>
      </w:r>
    </w:p>
    <w:p w14:paraId="5E3D7107">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ascii="宋体" w:hAnsi="宋体"/>
          <w:color w:val="auto"/>
          <w:sz w:val="24"/>
          <w:szCs w:val="24"/>
        </w:rPr>
        <w:t>17.箱内设置LED照明灯，由屏幕上灯开关控制。</w:t>
      </w:r>
    </w:p>
    <w:p w14:paraId="486BFC39">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ascii="宋体" w:hAnsi="宋体"/>
          <w:color w:val="auto"/>
          <w:sz w:val="24"/>
          <w:szCs w:val="24"/>
        </w:rPr>
        <w:t>18.标配USB接口，可下载设备温度数据、报警记录等信息，</w:t>
      </w:r>
      <w:r>
        <w:rPr>
          <w:rFonts w:hint="eastAsia" w:ascii="宋体" w:hAnsi="宋体" w:cs="宋体"/>
          <w:color w:val="auto"/>
          <w:sz w:val="24"/>
          <w:szCs w:val="24"/>
        </w:rPr>
        <w:t>可以存储箱内温度数据≥10年，实现产品整个生命周期的温度数据可追溯。</w:t>
      </w:r>
    </w:p>
    <w:p w14:paraId="1A7C31A5">
      <w:pPr>
        <w:pStyle w:val="12"/>
        <w:keepNext w:val="0"/>
        <w:keepLines w:val="0"/>
        <w:pageBreakBefore w:val="0"/>
        <w:kinsoku/>
        <w:wordWrap/>
        <w:overflowPunct/>
        <w:topLinePunct w:val="0"/>
        <w:bidi w:val="0"/>
        <w:snapToGrid/>
        <w:spacing w:before="0" w:beforeAutospacing="0" w:after="0" w:afterAutospacing="0" w:line="400" w:lineRule="exact"/>
        <w:jc w:val="left"/>
        <w:textAlignment w:val="auto"/>
        <w:rPr>
          <w:rFonts w:hint="eastAsia" w:ascii="宋体" w:hAnsi="宋体"/>
          <w:color w:val="auto"/>
          <w:sz w:val="24"/>
          <w:szCs w:val="24"/>
        </w:rPr>
      </w:pPr>
      <w:r>
        <w:rPr>
          <w:rFonts w:hint="eastAsia"/>
          <w:sz w:val="24"/>
          <w:szCs w:val="24"/>
        </w:rPr>
        <w:t>▲</w:t>
      </w:r>
      <w:r>
        <w:rPr>
          <w:rFonts w:hint="eastAsia" w:ascii="宋体" w:hAnsi="宋体"/>
          <w:color w:val="auto"/>
          <w:sz w:val="24"/>
          <w:szCs w:val="24"/>
        </w:rPr>
        <w:t>19.标配物联模块，</w:t>
      </w:r>
      <w:r>
        <w:rPr>
          <w:rFonts w:hint="eastAsia" w:ascii="宋体" w:hAnsi="宋体"/>
          <w:color w:val="auto"/>
          <w:sz w:val="24"/>
          <w:szCs w:val="24"/>
          <w:lang w:val="en-US" w:eastAsia="zh-CN"/>
        </w:rPr>
        <w:t>连接网络</w:t>
      </w:r>
      <w:r>
        <w:rPr>
          <w:rFonts w:hint="eastAsia" w:ascii="宋体" w:hAnsi="宋体"/>
          <w:color w:val="auto"/>
          <w:sz w:val="24"/>
          <w:szCs w:val="24"/>
        </w:rPr>
        <w:t>上传数据至云平台后，</w:t>
      </w:r>
      <w:r>
        <w:rPr>
          <w:rFonts w:hint="eastAsia" w:ascii="宋体" w:hAnsi="宋体"/>
          <w:color w:val="auto"/>
          <w:sz w:val="24"/>
          <w:szCs w:val="24"/>
          <w:lang w:val="en-US" w:eastAsia="zh-CN"/>
        </w:rPr>
        <w:t>可</w:t>
      </w:r>
      <w:r>
        <w:rPr>
          <w:rFonts w:hint="eastAsia" w:ascii="宋体" w:hAnsi="宋体"/>
          <w:color w:val="auto"/>
          <w:sz w:val="24"/>
          <w:szCs w:val="24"/>
        </w:rPr>
        <w:t>通过电脑端和手机端随时随地查看</w:t>
      </w:r>
      <w:r>
        <w:rPr>
          <w:rFonts w:hint="eastAsia" w:ascii="宋体" w:hAnsi="宋体"/>
          <w:color w:val="auto"/>
          <w:sz w:val="24"/>
          <w:szCs w:val="24"/>
          <w:lang w:val="en-US" w:eastAsia="zh-CN"/>
        </w:rPr>
        <w:t>设备温度</w:t>
      </w:r>
      <w:r>
        <w:rPr>
          <w:rFonts w:hint="eastAsia" w:ascii="宋体" w:hAnsi="宋体"/>
          <w:color w:val="auto"/>
          <w:sz w:val="24"/>
          <w:szCs w:val="24"/>
        </w:rPr>
        <w:t>信息</w:t>
      </w:r>
      <w:r>
        <w:rPr>
          <w:rFonts w:hint="eastAsia" w:ascii="宋体" w:hAnsi="宋体"/>
          <w:color w:val="auto"/>
          <w:sz w:val="24"/>
          <w:szCs w:val="24"/>
          <w:lang w:val="en-US" w:eastAsia="zh-CN"/>
        </w:rPr>
        <w:t>及报警信息</w:t>
      </w:r>
      <w:r>
        <w:rPr>
          <w:rFonts w:hint="eastAsia" w:ascii="宋体" w:hAnsi="宋体"/>
          <w:color w:val="auto"/>
          <w:sz w:val="24"/>
          <w:szCs w:val="24"/>
        </w:rPr>
        <w:t>。</w:t>
      </w:r>
    </w:p>
    <w:p w14:paraId="023150B8">
      <w:pPr>
        <w:pStyle w:val="12"/>
        <w:keepNext w:val="0"/>
        <w:keepLines w:val="0"/>
        <w:pageBreakBefore w:val="0"/>
        <w:numPr>
          <w:ilvl w:val="0"/>
          <w:numId w:val="4"/>
        </w:numPr>
        <w:kinsoku/>
        <w:wordWrap/>
        <w:overflowPunct/>
        <w:topLinePunct w:val="0"/>
        <w:bidi w:val="0"/>
        <w:snapToGrid/>
        <w:spacing w:before="0" w:beforeAutospacing="0" w:after="0" w:afterAutospacing="0" w:line="400" w:lineRule="exact"/>
        <w:jc w:val="left"/>
        <w:textAlignment w:val="auto"/>
        <w:rPr>
          <w:rFonts w:hint="eastAsia" w:ascii="宋体" w:hAnsi="宋体"/>
          <w:color w:val="auto"/>
          <w:kern w:val="0"/>
          <w:sz w:val="24"/>
          <w:szCs w:val="24"/>
          <w:lang w:eastAsia="zh-CN"/>
        </w:rPr>
      </w:pPr>
      <w:r>
        <w:rPr>
          <w:rFonts w:hint="eastAsia" w:ascii="宋体" w:hAnsi="宋体"/>
          <w:color w:val="auto"/>
          <w:kern w:val="0"/>
          <w:sz w:val="24"/>
          <w:szCs w:val="24"/>
          <w:lang w:val="en-US" w:eastAsia="zh-CN"/>
        </w:rPr>
        <w:t>制造商</w:t>
      </w:r>
      <w:r>
        <w:rPr>
          <w:rFonts w:hint="eastAsia" w:ascii="宋体" w:hAnsi="宋体"/>
          <w:color w:val="auto"/>
          <w:kern w:val="0"/>
          <w:sz w:val="24"/>
          <w:szCs w:val="24"/>
        </w:rPr>
        <w:t>通过ISO9001系列质量体系认证、ISO14001环境体系认证、ISO13485医疗器械质量体系认证、职业安全健康ISO 45001认证</w:t>
      </w:r>
      <w:r>
        <w:rPr>
          <w:rFonts w:hint="eastAsia" w:ascii="宋体" w:hAnsi="宋体"/>
          <w:color w:val="auto"/>
          <w:kern w:val="0"/>
          <w:sz w:val="24"/>
          <w:szCs w:val="24"/>
          <w:lang w:eastAsia="zh-CN"/>
        </w:rPr>
        <w:t>。</w:t>
      </w:r>
    </w:p>
    <w:p w14:paraId="6CE8F877">
      <w:pPr>
        <w:widowControl/>
        <w:adjustRightInd w:val="0"/>
        <w:snapToGrid w:val="0"/>
        <w:spacing w:line="360" w:lineRule="auto"/>
        <w:rPr>
          <w:rFonts w:hint="eastAsia" w:hAnsi="Times New Roman" w:eastAsia="宋体" w:cs="Times New Roman"/>
          <w:b/>
          <w:bCs/>
          <w:color w:val="FF0000"/>
          <w:sz w:val="36"/>
          <w:szCs w:val="36"/>
          <w:lang w:val="en-US" w:eastAsia="zh-CN"/>
        </w:rPr>
      </w:pPr>
      <w:r>
        <w:rPr>
          <w:rFonts w:hint="eastAsia"/>
          <w:color w:val="FF0000"/>
          <w:sz w:val="24"/>
          <w:szCs w:val="24"/>
        </w:rPr>
        <w:t>★</w:t>
      </w:r>
      <w:r>
        <w:rPr>
          <w:rFonts w:hint="eastAsia"/>
          <w:color w:val="FF0000"/>
          <w:sz w:val="24"/>
          <w:szCs w:val="24"/>
          <w:lang w:val="en-US" w:eastAsia="zh-CN"/>
        </w:rPr>
        <w:t>21.</w:t>
      </w:r>
      <w:r>
        <w:rPr>
          <w:rFonts w:hint="eastAsia" w:ascii="宋体" w:hAnsi="宋体" w:eastAsia="宋体" w:cs="Times New Roman"/>
          <w:color w:val="FF0000"/>
          <w:sz w:val="24"/>
          <w:szCs w:val="24"/>
          <w:lang w:eastAsia="zh-CN"/>
        </w:rPr>
        <w:t>提供厂家</w:t>
      </w:r>
      <w:r>
        <w:rPr>
          <w:rFonts w:hint="eastAsia" w:ascii="宋体" w:hAnsi="宋体" w:eastAsia="宋体" w:cs="Times New Roman"/>
          <w:color w:val="FF0000"/>
          <w:sz w:val="24"/>
          <w:szCs w:val="24"/>
        </w:rPr>
        <w:t>医疗器械生产许可证</w:t>
      </w:r>
      <w:r>
        <w:rPr>
          <w:rFonts w:hint="eastAsia" w:ascii="宋体" w:hAnsi="宋体" w:eastAsia="宋体" w:cs="Times New Roman"/>
          <w:color w:val="FF0000"/>
          <w:sz w:val="24"/>
          <w:szCs w:val="24"/>
          <w:lang w:eastAsia="zh-CN"/>
        </w:rPr>
        <w:t>和</w:t>
      </w:r>
      <w:r>
        <w:rPr>
          <w:rFonts w:hint="eastAsia" w:ascii="宋体" w:hAnsi="宋体" w:eastAsia="宋体" w:cs="Times New Roman"/>
          <w:color w:val="FF0000"/>
          <w:sz w:val="24"/>
          <w:szCs w:val="24"/>
          <w:lang w:val="en-US" w:eastAsia="zh-CN"/>
        </w:rPr>
        <w:t>产品</w:t>
      </w:r>
      <w:r>
        <w:rPr>
          <w:rFonts w:hint="eastAsia" w:ascii="宋体" w:hAnsi="宋体" w:eastAsia="宋体" w:cs="Times New Roman"/>
          <w:color w:val="FF0000"/>
          <w:sz w:val="24"/>
          <w:szCs w:val="24"/>
        </w:rPr>
        <w:t>医疗器械注册证</w:t>
      </w:r>
      <w:r>
        <w:rPr>
          <w:rFonts w:hint="eastAsia" w:ascii="宋体" w:hAnsi="宋体" w:eastAsia="宋体" w:cs="Times New Roman"/>
          <w:color w:val="FF0000"/>
          <w:sz w:val="24"/>
          <w:szCs w:val="24"/>
          <w:lang w:eastAsia="zh-CN"/>
        </w:rPr>
        <w:t>。</w:t>
      </w:r>
    </w:p>
    <w:p w14:paraId="77C8CAF2">
      <w:pPr>
        <w:rPr>
          <w:rFonts w:hint="eastAsia" w:ascii="宋体" w:hAnsi="宋体" w:eastAsia="宋体"/>
          <w:szCs w:val="21"/>
          <w:lang w:val="en-US" w:eastAsia="zh-CN"/>
        </w:rPr>
      </w:pPr>
      <w:r>
        <w:rPr>
          <w:rFonts w:hint="eastAsia" w:ascii="宋体" w:hAnsi="Times New Roman" w:eastAsia="宋体" w:cs="Times New Roman"/>
          <w:b/>
          <w:bCs/>
          <w:kern w:val="0"/>
          <w:sz w:val="32"/>
          <w:szCs w:val="32"/>
          <w:lang w:val="en-US" w:eastAsia="zh-CN" w:bidi="ar-SA"/>
        </w:rPr>
        <w:t>（三）商务参数</w:t>
      </w:r>
      <w:r>
        <w:rPr>
          <w:rStyle w:val="22"/>
          <w:rFonts w:hint="eastAsia" w:ascii="宋体" w:hAnsi="宋体"/>
          <w:b/>
          <w:color w:val="auto"/>
          <w:sz w:val="36"/>
          <w:lang w:val="en-US" w:eastAsia="zh-CN"/>
        </w:rPr>
        <w:cr/>
      </w:r>
      <w:r>
        <w:rPr>
          <w:rFonts w:hint="eastAsia" w:ascii="宋体" w:hAnsi="宋体" w:eastAsia="宋体"/>
          <w:szCs w:val="21"/>
          <w:lang w:val="en-US" w:eastAsia="zh-CN"/>
        </w:rPr>
        <w:t>★</w:t>
      </w:r>
      <w:r>
        <w:rPr>
          <w:rFonts w:hint="eastAsia" w:ascii="宋体" w:hAnsi="宋体" w:eastAsia="宋体"/>
          <w:szCs w:val="21"/>
        </w:rPr>
        <w:t>1、运输、装卸、培训、安装调试：由中标人负责承担，最终通过使用科室、设备科及相关部门确认验收交付使用</w:t>
      </w:r>
      <w:r>
        <w:rPr>
          <w:rFonts w:hint="eastAsia" w:ascii="宋体" w:hAnsi="宋体" w:eastAsia="宋体"/>
          <w:szCs w:val="21"/>
          <w:lang w:eastAsia="zh-CN"/>
        </w:rPr>
        <w:t>。</w:t>
      </w:r>
      <w:r>
        <w:rPr>
          <w:rFonts w:hint="eastAsia" w:ascii="宋体" w:hAnsi="宋体" w:eastAsia="宋体"/>
          <w:szCs w:val="21"/>
          <w:lang w:val="en-US" w:eastAsia="zh-CN"/>
        </w:rPr>
        <w:t>国产设备交付，设备必须为6个月内生产的产品；进口设备交付，设备必须为一年内生产的产品</w:t>
      </w:r>
      <w:r>
        <w:rPr>
          <w:rFonts w:hint="eastAsia" w:ascii="宋体" w:hAnsi="宋体" w:eastAsia="宋体"/>
          <w:szCs w:val="21"/>
        </w:rPr>
        <w:t>。</w:t>
      </w:r>
      <w:r>
        <w:rPr>
          <w:rFonts w:hint="eastAsia" w:ascii="宋体" w:hAnsi="宋体" w:eastAsia="宋体"/>
          <w:szCs w:val="21"/>
        </w:rPr>
        <w:cr/>
      </w:r>
      <w:r>
        <w:rPr>
          <w:rFonts w:hint="eastAsia" w:ascii="宋体" w:hAnsi="宋体" w:eastAsia="宋体"/>
          <w:szCs w:val="21"/>
          <w:lang w:val="en-US" w:eastAsia="zh-CN"/>
        </w:rPr>
        <w:t>★</w:t>
      </w:r>
      <w:r>
        <w:rPr>
          <w:rFonts w:hint="eastAsia" w:ascii="宋体" w:hAnsi="宋体" w:eastAsia="宋体"/>
          <w:szCs w:val="21"/>
        </w:rPr>
        <w:t>2、交货时间：按</w:t>
      </w:r>
      <w:r>
        <w:rPr>
          <w:rFonts w:hint="eastAsia" w:ascii="宋体" w:hAnsi="宋体" w:eastAsia="宋体"/>
          <w:szCs w:val="21"/>
          <w:lang w:val="en-US" w:eastAsia="zh-CN"/>
        </w:rPr>
        <w:t>合同约定的日期交货。</w:t>
      </w:r>
    </w:p>
    <w:p w14:paraId="271E4322">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szCs w:val="21"/>
          <w:lang w:val="en-US" w:eastAsia="zh-CN"/>
        </w:rPr>
      </w:pPr>
      <w:r>
        <w:rPr>
          <w:rFonts w:hint="eastAsia" w:ascii="宋体" w:hAnsi="宋体" w:eastAsia="宋体"/>
          <w:szCs w:val="21"/>
          <w:lang w:val="en-US" w:eastAsia="zh-CN"/>
        </w:rPr>
        <w:t>★3</w:t>
      </w:r>
      <w:r>
        <w:rPr>
          <w:rFonts w:hint="eastAsia" w:ascii="宋体" w:hAnsi="宋体" w:eastAsia="宋体"/>
          <w:szCs w:val="21"/>
        </w:rPr>
        <w:t>、交货地点：娄底市中心医院</w:t>
      </w:r>
      <w:r>
        <w:rPr>
          <w:rFonts w:hint="eastAsia" w:ascii="宋体" w:hAnsi="宋体" w:eastAsia="宋体"/>
          <w:szCs w:val="21"/>
          <w:lang w:val="en-US" w:eastAsia="zh-CN"/>
        </w:rPr>
        <w:t>指定地点</w:t>
      </w:r>
      <w:r>
        <w:rPr>
          <w:rFonts w:hint="eastAsia" w:ascii="宋体" w:hAnsi="宋体" w:eastAsia="宋体"/>
          <w:szCs w:val="21"/>
        </w:rPr>
        <w:t>。</w:t>
      </w:r>
    </w:p>
    <w:p w14:paraId="642D160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szCs w:val="21"/>
          <w:lang w:val="en-US" w:eastAsia="zh-CN"/>
        </w:rPr>
      </w:pPr>
      <w:r>
        <w:rPr>
          <w:rFonts w:hint="eastAsia" w:ascii="宋体" w:hAnsi="宋体" w:eastAsia="宋体"/>
          <w:szCs w:val="21"/>
          <w:lang w:val="en-US" w:eastAsia="zh-CN"/>
        </w:rPr>
        <w:t>★4</w:t>
      </w:r>
      <w:r>
        <w:rPr>
          <w:rFonts w:hint="eastAsia" w:ascii="宋体" w:hAnsi="宋体" w:eastAsia="宋体"/>
          <w:szCs w:val="21"/>
        </w:rPr>
        <w:t>、付款方式：设备验收合格后，供应商将发票交到娄底市中心医院后按程序支付货款90%（一般情况下4个月内支付、特殊情况下最多不超过6个月），甲方在设备验收合格</w:t>
      </w:r>
      <w:r>
        <w:rPr>
          <w:rFonts w:hint="eastAsia" w:ascii="宋体" w:hAnsi="宋体" w:eastAsia="宋体"/>
          <w:szCs w:val="21"/>
          <w:lang w:val="en-US" w:eastAsia="zh-CN"/>
        </w:rPr>
        <w:t>满叁年</w:t>
      </w:r>
      <w:r>
        <w:rPr>
          <w:rFonts w:hint="eastAsia" w:ascii="宋体" w:hAnsi="宋体" w:eastAsia="宋体"/>
          <w:szCs w:val="21"/>
        </w:rPr>
        <w:t>后支付10%余款给乙方。</w:t>
      </w:r>
      <w:r>
        <w:rPr>
          <w:rFonts w:hint="eastAsia" w:ascii="宋体" w:hAnsi="宋体" w:eastAsia="宋体"/>
          <w:szCs w:val="21"/>
        </w:rPr>
        <w:cr/>
      </w:r>
      <w:r>
        <w:rPr>
          <w:rFonts w:hint="eastAsia" w:ascii="宋体" w:hAnsi="宋体" w:eastAsia="宋体"/>
          <w:szCs w:val="21"/>
          <w:lang w:val="en-US" w:eastAsia="zh-CN"/>
        </w:rPr>
        <w:t>★</w:t>
      </w:r>
      <w:r>
        <w:rPr>
          <w:rFonts w:hint="eastAsia" w:ascii="宋体" w:hAnsi="宋体" w:eastAsia="宋体"/>
          <w:szCs w:val="21"/>
        </w:rPr>
        <w:t>5、质保与售后：整机保修</w:t>
      </w:r>
      <w:r>
        <w:rPr>
          <w:rFonts w:hint="eastAsia" w:ascii="宋体" w:hAnsi="宋体" w:eastAsia="宋体"/>
          <w:szCs w:val="21"/>
          <w:lang w:val="en-US" w:eastAsia="zh-CN"/>
        </w:rPr>
        <w:t>叁</w:t>
      </w:r>
      <w:r>
        <w:rPr>
          <w:rFonts w:hint="eastAsia" w:ascii="宋体" w:hAnsi="宋体" w:eastAsia="宋体"/>
          <w:szCs w:val="21"/>
        </w:rPr>
        <w:t>年，终身维修。</w:t>
      </w:r>
      <w:r>
        <w:rPr>
          <w:rFonts w:hint="eastAsia" w:ascii="宋体" w:hAnsi="宋体" w:eastAsia="宋体"/>
          <w:szCs w:val="21"/>
          <w:lang w:val="en-US" w:eastAsia="zh-CN"/>
        </w:rPr>
        <w:t>验收时</w:t>
      </w:r>
      <w:r>
        <w:rPr>
          <w:rFonts w:hint="eastAsia" w:ascii="宋体" w:hAnsi="宋体" w:eastAsia="宋体"/>
          <w:szCs w:val="21"/>
        </w:rPr>
        <w:t>出具原厂售后质保承诺书，质保期内每年巡检</w:t>
      </w:r>
      <w:r>
        <w:rPr>
          <w:rFonts w:hint="eastAsia" w:ascii="宋体" w:hAnsi="宋体" w:eastAsia="宋体"/>
          <w:szCs w:val="21"/>
          <w:lang w:val="en-US" w:eastAsia="zh-CN"/>
        </w:rPr>
        <w:t>一</w:t>
      </w:r>
      <w:r>
        <w:rPr>
          <w:rFonts w:hint="eastAsia" w:ascii="宋体" w:hAnsi="宋体" w:eastAsia="宋体"/>
          <w:szCs w:val="21"/>
        </w:rPr>
        <w:t>次</w:t>
      </w:r>
      <w:r>
        <w:rPr>
          <w:rFonts w:hint="eastAsia" w:ascii="宋体" w:hAnsi="宋体" w:eastAsia="宋体"/>
          <w:szCs w:val="21"/>
          <w:lang w:eastAsia="zh-CN"/>
        </w:rPr>
        <w:t>，</w:t>
      </w:r>
      <w:r>
        <w:rPr>
          <w:rFonts w:hint="eastAsia" w:ascii="宋体" w:hAnsi="宋体" w:eastAsia="宋体"/>
          <w:szCs w:val="21"/>
          <w:lang w:val="en-US" w:eastAsia="zh-CN"/>
        </w:rPr>
        <w:t>并提交巡检记录</w:t>
      </w:r>
      <w:r>
        <w:rPr>
          <w:rFonts w:hint="eastAsia" w:ascii="宋体" w:hAnsi="宋体" w:eastAsia="宋体"/>
          <w:szCs w:val="21"/>
        </w:rPr>
        <w:t>。</w:t>
      </w:r>
      <w:r>
        <w:rPr>
          <w:rFonts w:hint="eastAsia" w:ascii="宋体" w:hAnsi="宋体" w:eastAsia="宋体"/>
          <w:szCs w:val="21"/>
          <w:lang w:val="zh-CN" w:eastAsia="zh-CN"/>
        </w:rPr>
        <w:t>质保期内</w:t>
      </w:r>
      <w:r>
        <w:rPr>
          <w:rFonts w:hint="eastAsia" w:ascii="宋体" w:hAnsi="宋体" w:eastAsia="宋体"/>
          <w:szCs w:val="21"/>
          <w:lang w:val="en-US" w:eastAsia="zh-CN"/>
        </w:rPr>
        <w:t>出现故障，1小时响应，响应后24小时上门服务。</w:t>
      </w:r>
    </w:p>
    <w:p w14:paraId="6411503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szCs w:val="21"/>
          <w:lang w:val="en-US" w:eastAsia="zh-CN"/>
        </w:rPr>
      </w:pPr>
      <w:r>
        <w:rPr>
          <w:rFonts w:hint="eastAsia" w:ascii="宋体" w:hAnsi="宋体" w:eastAsia="宋体"/>
          <w:szCs w:val="21"/>
          <w:lang w:val="en-US" w:eastAsia="zh-CN"/>
        </w:rPr>
        <w:t>★6、在投标文件中必须提供相关技术资料并加盖投标人公章（如技术参数、技术白皮书、说明书、彩页等），并在响应表中对“★”、“▲”以及要求提供佐证材料的条款备注该条参数响应或正偏离的佐证资料所在页码。</w:t>
      </w:r>
    </w:p>
    <w:p w14:paraId="08D0E10A">
      <w:pPr>
        <w:pStyle w:val="12"/>
        <w:numPr>
          <w:ilvl w:val="0"/>
          <w:numId w:val="0"/>
        </w:numPr>
        <w:spacing w:before="0" w:beforeAutospacing="0" w:after="0" w:afterAutospacing="0" w:line="360" w:lineRule="auto"/>
        <w:jc w:val="left"/>
        <w:rPr>
          <w:rFonts w:hint="eastAsia" w:ascii="宋体" w:hAnsi="宋体"/>
          <w:color w:val="auto"/>
          <w:kern w:val="0"/>
          <w:sz w:val="22"/>
          <w:szCs w:val="22"/>
          <w:lang w:eastAsia="zh-CN"/>
        </w:rPr>
      </w:pPr>
    </w:p>
    <w:p w14:paraId="5A32EACB">
      <w:pPr>
        <w:widowControl/>
        <w:adjustRightInd w:val="0"/>
        <w:snapToGrid w:val="0"/>
        <w:spacing w:line="360" w:lineRule="auto"/>
        <w:rPr>
          <w:rFonts w:hint="eastAsia" w:hAnsi="Times New Roman" w:eastAsia="宋体" w:cs="Times New Roman"/>
          <w:b/>
          <w:bCs/>
          <w:sz w:val="36"/>
          <w:szCs w:val="36"/>
          <w:lang w:val="en-US" w:eastAsia="zh-CN"/>
        </w:rPr>
      </w:pPr>
    </w:p>
    <w:p w14:paraId="46A704C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2、“三证合一”或“五证合一”营业执照，医疗器械经营许可证或医疗器械经营备案凭证、生产厂家营业执照、生产许可证、产品注册证；</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1386DB4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auto"/>
          <w:kern w:val="0"/>
          <w:sz w:val="28"/>
          <w:szCs w:val="28"/>
          <w:lang w:val="en-US" w:eastAsia="zh-CN" w:bidi="ar-SA"/>
        </w:rPr>
        <w:t>四、合同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医用血液冷藏箱+血小板恒温振荡保存箱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医用血液冷藏箱+血小板恒温振荡保存箱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医用血液冷藏箱</w:t>
            </w:r>
            <w:r>
              <w:rPr>
                <w:rFonts w:hint="eastAsia" w:asciiTheme="minorEastAsia" w:hAnsiTheme="minorEastAsia" w:eastAsiaTheme="minorEastAsia" w:cstheme="minorEastAsia"/>
                <w:b w:val="0"/>
                <w:bCs/>
                <w:color w:val="auto"/>
                <w:sz w:val="24"/>
                <w:szCs w:val="24"/>
                <w:u w:val="none"/>
                <w:lang w:val="en-US" w:eastAsia="zh-CN"/>
              </w:rPr>
              <w:t>2-6°</w:t>
            </w:r>
          </w:p>
        </w:tc>
        <w:tc>
          <w:tcPr>
            <w:tcW w:w="122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5E2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517" w:type="dxa"/>
            <w:vAlign w:val="top"/>
          </w:tcPr>
          <w:p w14:paraId="6655782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血小板恒温振荡保存箱</w:t>
            </w:r>
          </w:p>
        </w:tc>
        <w:tc>
          <w:tcPr>
            <w:tcW w:w="1220" w:type="dxa"/>
            <w:vAlign w:val="center"/>
          </w:tcPr>
          <w:p w14:paraId="4565102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34FFD29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544471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7C37239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7FF303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bookmarkStart w:id="5" w:name="_GoBack"/>
      <w:bookmarkEnd w:id="5"/>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07AA861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93139A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85015B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B8CEB5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C307193">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5CE8FAC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2D5D3CC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419569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76B9AE15">
      <w:pPr>
        <w:spacing w:line="480" w:lineRule="exact"/>
        <w:rPr>
          <w:rFonts w:hint="eastAsia" w:ascii="黑体" w:hAnsi="黑体" w:eastAsia="黑体" w:cs="黑体"/>
          <w:sz w:val="32"/>
          <w:szCs w:val="32"/>
        </w:rPr>
      </w:pPr>
    </w:p>
    <w:p w14:paraId="07B141D5">
      <w:pPr>
        <w:spacing w:line="480" w:lineRule="exact"/>
        <w:rPr>
          <w:rFonts w:hint="eastAsia" w:ascii="黑体" w:hAnsi="黑体" w:eastAsia="黑体" w:cs="黑体"/>
          <w:sz w:val="32"/>
          <w:szCs w:val="32"/>
        </w:rPr>
      </w:pPr>
    </w:p>
    <w:p w14:paraId="26D1E816">
      <w:pPr>
        <w:spacing w:line="480" w:lineRule="exact"/>
        <w:rPr>
          <w:rFonts w:hint="eastAsia" w:ascii="黑体" w:hAnsi="黑体" w:eastAsia="黑体" w:cs="黑体"/>
          <w:sz w:val="32"/>
          <w:szCs w:val="32"/>
        </w:rPr>
      </w:pPr>
    </w:p>
    <w:p w14:paraId="44226F89">
      <w:pPr>
        <w:spacing w:line="480" w:lineRule="exact"/>
        <w:rPr>
          <w:rFonts w:hint="eastAsia" w:ascii="黑体" w:hAnsi="黑体" w:eastAsia="黑体" w:cs="黑体"/>
          <w:sz w:val="32"/>
          <w:szCs w:val="32"/>
        </w:rPr>
      </w:pPr>
    </w:p>
    <w:p w14:paraId="20B7AE6B">
      <w:pPr>
        <w:spacing w:line="480" w:lineRule="exact"/>
        <w:rPr>
          <w:rFonts w:hint="eastAsia" w:ascii="黑体" w:hAnsi="黑体" w:eastAsia="黑体" w:cs="黑体"/>
          <w:sz w:val="32"/>
          <w:szCs w:val="32"/>
        </w:rPr>
      </w:pPr>
    </w:p>
    <w:p w14:paraId="764B8DD9">
      <w:pPr>
        <w:spacing w:line="480" w:lineRule="exact"/>
        <w:rPr>
          <w:rFonts w:hint="eastAsia" w:ascii="黑体" w:hAnsi="黑体" w:eastAsia="黑体" w:cs="黑体"/>
          <w:sz w:val="32"/>
          <w:szCs w:val="32"/>
        </w:rPr>
      </w:pPr>
    </w:p>
    <w:p w14:paraId="6B06F021">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5926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888990" cy="8423910"/>
                    </a:xfrm>
                    <a:prstGeom prst="rect">
                      <a:avLst/>
                    </a:prstGeom>
                  </pic:spPr>
                </pic:pic>
              </a:graphicData>
            </a:graphic>
          </wp:anchor>
        </w:drawing>
      </w:r>
    </w:p>
    <w:p w14:paraId="58EBEBF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EF959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9"/>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0"/>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1" w:name="_Toc16523574"/>
      <w:r>
        <w:rPr>
          <w:rFonts w:hint="eastAsia" w:ascii="方正小标宋简体" w:hAnsi="方正小标宋简体" w:eastAsia="方正小标宋简体" w:cs="方正小标宋简体"/>
          <w:color w:val="auto"/>
          <w:sz w:val="44"/>
          <w:szCs w:val="44"/>
          <w:lang w:val="en-US" w:eastAsia="zh-CN"/>
        </w:rPr>
        <w:t>第三章</w:t>
      </w:r>
      <w:bookmarkStart w:id="2"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2"/>
    </w:p>
    <w:p w14:paraId="3ECB58F7">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3"/>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740B22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4449B4F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22E4A11F">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7199EA01">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697785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0CE71E9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28CB0A69">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5CEE7045">
            <w:pPr>
              <w:jc w:val="center"/>
              <w:rPr>
                <w:rFonts w:hint="eastAsia" w:ascii="仿宋" w:hAnsi="仿宋" w:eastAsia="仿宋" w:cs="仿宋"/>
                <w:sz w:val="24"/>
                <w:szCs w:val="24"/>
              </w:rPr>
            </w:pPr>
            <w:r>
              <w:rPr>
                <w:rFonts w:hint="eastAsia" w:ascii="仿宋" w:hAnsi="仿宋" w:eastAsia="仿宋" w:cs="仿宋"/>
                <w:sz w:val="24"/>
                <w:szCs w:val="24"/>
              </w:rPr>
              <w:t>50%</w:t>
            </w:r>
          </w:p>
        </w:tc>
      </w:tr>
      <w:tr w14:paraId="4D7B5B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676E797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075C0F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A3A0FD">
            <w:pPr>
              <w:jc w:val="center"/>
              <w:rPr>
                <w:rFonts w:hint="eastAsia" w:ascii="仿宋" w:hAnsi="仿宋" w:eastAsia="仿宋" w:cs="仿宋"/>
                <w:sz w:val="24"/>
                <w:szCs w:val="24"/>
              </w:rPr>
            </w:pPr>
            <w:r>
              <w:rPr>
                <w:rFonts w:hint="eastAsia" w:ascii="仿宋" w:hAnsi="仿宋" w:eastAsia="仿宋" w:cs="仿宋"/>
                <w:sz w:val="24"/>
                <w:szCs w:val="24"/>
              </w:rPr>
              <w:t>40%</w:t>
            </w:r>
          </w:p>
        </w:tc>
      </w:tr>
      <w:tr w14:paraId="7E0166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23C192E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288D3A80">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0A015B9">
            <w:pPr>
              <w:jc w:val="center"/>
              <w:rPr>
                <w:rFonts w:hint="eastAsia" w:ascii="仿宋" w:hAnsi="仿宋" w:eastAsia="仿宋" w:cs="仿宋"/>
                <w:sz w:val="24"/>
                <w:szCs w:val="24"/>
              </w:rPr>
            </w:pPr>
            <w:r>
              <w:rPr>
                <w:rFonts w:hint="eastAsia" w:ascii="仿宋" w:hAnsi="仿宋" w:eastAsia="仿宋" w:cs="仿宋"/>
                <w:sz w:val="24"/>
                <w:szCs w:val="24"/>
              </w:rPr>
              <w:t>10%</w:t>
            </w:r>
          </w:p>
        </w:tc>
      </w:tr>
      <w:tr w14:paraId="047698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1E85E3F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5C986A8A">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07F0CF53">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3"/>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1E8710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79A2F86E">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6BC085C6">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6B61F726">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8B98E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39A100E7">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35B0C503">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4BE5234D">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11B6706A">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、满足招标文件要求且投标报价中最低的投标报价为评标基准价其价格分为满分；其他投标人的价格分统一按照以下公式计算：</w:t>
            </w:r>
          </w:p>
          <w:p w14:paraId="5D3679C9">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32D9E824">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76F3E0C">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5032BA03">
      <w:pPr>
        <w:jc w:val="center"/>
        <w:rPr>
          <w:rFonts w:hint="eastAsia" w:ascii="仿宋" w:hAnsi="仿宋" w:eastAsia="仿宋" w:cs="仿宋"/>
          <w:sz w:val="24"/>
          <w:szCs w:val="24"/>
        </w:rPr>
      </w:pPr>
    </w:p>
    <w:p w14:paraId="657702CE">
      <w:pPr>
        <w:jc w:val="center"/>
        <w:rPr>
          <w:rFonts w:hint="eastAsia" w:ascii="仿宋" w:hAnsi="仿宋" w:eastAsia="仿宋" w:cs="仿宋"/>
          <w:sz w:val="24"/>
          <w:szCs w:val="24"/>
        </w:rPr>
      </w:pPr>
    </w:p>
    <w:p w14:paraId="138133DF">
      <w:pPr>
        <w:jc w:val="center"/>
        <w:rPr>
          <w:rFonts w:hint="eastAsia" w:ascii="仿宋" w:hAnsi="仿宋" w:eastAsia="仿宋" w:cs="仿宋"/>
          <w:sz w:val="24"/>
          <w:szCs w:val="24"/>
        </w:rPr>
      </w:pPr>
    </w:p>
    <w:p w14:paraId="42C3E1CD">
      <w:pPr>
        <w:jc w:val="center"/>
        <w:rPr>
          <w:rFonts w:hint="eastAsia" w:ascii="仿宋" w:hAnsi="仿宋" w:eastAsia="仿宋" w:cs="仿宋"/>
          <w:sz w:val="24"/>
          <w:szCs w:val="24"/>
        </w:rPr>
      </w:pPr>
    </w:p>
    <w:p w14:paraId="61515F4F">
      <w:pPr>
        <w:jc w:val="center"/>
        <w:rPr>
          <w:rFonts w:hint="eastAsia" w:ascii="仿宋" w:hAnsi="仿宋" w:eastAsia="仿宋" w:cs="仿宋"/>
          <w:sz w:val="24"/>
          <w:szCs w:val="24"/>
        </w:rPr>
      </w:pPr>
      <w:r>
        <w:rPr>
          <w:rFonts w:hint="eastAsia" w:ascii="仿宋" w:hAnsi="仿宋" w:eastAsia="仿宋" w:cs="仿宋"/>
          <w:sz w:val="24"/>
          <w:szCs w:val="24"/>
        </w:rPr>
        <w:br w:type="page"/>
      </w:r>
    </w:p>
    <w:p w14:paraId="533E6EAD">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3"/>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3958F8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105966A6">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2DC01C33">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141822D5">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F1186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A1D3458">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49480A32">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5EFD762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664DAD4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7DD7129A">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29D8158B">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565A21A5">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0D93CF5A">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4A9031F3">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7122CB36">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17E8DD14">
      <w:pPr>
        <w:jc w:val="center"/>
        <w:rPr>
          <w:rFonts w:hint="eastAsia" w:ascii="仿宋" w:hAnsi="仿宋" w:eastAsia="仿宋" w:cs="仿宋"/>
          <w:sz w:val="24"/>
          <w:szCs w:val="24"/>
        </w:rPr>
      </w:pPr>
    </w:p>
    <w:p w14:paraId="08975E6E">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3"/>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670"/>
        <w:gridCol w:w="825"/>
        <w:gridCol w:w="5110"/>
      </w:tblGrid>
      <w:tr w14:paraId="0ECC9E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6832E51F">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4D0609AB">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250EA6A7">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09B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03FD351F">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2E4B4453">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05E0444A">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70" w:type="dxa"/>
            <w:tcBorders>
              <w:tl2br w:val="nil"/>
              <w:tr2bl w:val="nil"/>
            </w:tcBorders>
            <w:noWrap w:val="0"/>
            <w:vAlign w:val="center"/>
          </w:tcPr>
          <w:p w14:paraId="5699FAC2">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825" w:type="dxa"/>
            <w:tcBorders>
              <w:tl2br w:val="nil"/>
              <w:tr2bl w:val="nil"/>
            </w:tcBorders>
            <w:noWrap w:val="0"/>
            <w:vAlign w:val="center"/>
          </w:tcPr>
          <w:p w14:paraId="0AFDD3B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5110" w:type="dxa"/>
            <w:tcBorders>
              <w:tl2br w:val="nil"/>
              <w:tr2bl w:val="nil"/>
            </w:tcBorders>
            <w:noWrap w:val="0"/>
            <w:vAlign w:val="center"/>
          </w:tcPr>
          <w:p w14:paraId="3954F59F">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15316222">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75C3856C">
            <w:pPr>
              <w:jc w:val="left"/>
              <w:rPr>
                <w:rFonts w:hint="eastAsia" w:ascii="仿宋" w:hAnsi="仿宋" w:eastAsia="仿宋" w:cs="仿宋"/>
                <w:color w:val="auto"/>
                <w:sz w:val="24"/>
                <w:szCs w:val="24"/>
              </w:rPr>
            </w:pPr>
            <w:r>
              <w:rPr>
                <w:rFonts w:hint="eastAsia" w:ascii="仿宋" w:hAnsi="仿宋" w:eastAsia="仿宋" w:cs="仿宋"/>
                <w:color w:val="auto"/>
                <w:sz w:val="24"/>
                <w:szCs w:val="24"/>
              </w:rPr>
              <w:t>2、质保期在招标要求基础上再增加1年的加10分，增加2年以上的加20分，最高可加20分。</w:t>
            </w:r>
          </w:p>
        </w:tc>
      </w:tr>
      <w:tr w14:paraId="2C79F9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757D7B01">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4D11CC35">
            <w:pPr>
              <w:jc w:val="center"/>
              <w:rPr>
                <w:rFonts w:hint="eastAsia" w:ascii="仿宋" w:hAnsi="仿宋" w:eastAsia="仿宋" w:cs="仿宋"/>
                <w:sz w:val="24"/>
                <w:szCs w:val="24"/>
              </w:rPr>
            </w:pPr>
          </w:p>
        </w:tc>
        <w:tc>
          <w:tcPr>
            <w:tcW w:w="670" w:type="dxa"/>
            <w:tcBorders>
              <w:tl2br w:val="nil"/>
              <w:tr2bl w:val="nil"/>
            </w:tcBorders>
            <w:noWrap w:val="0"/>
            <w:vAlign w:val="center"/>
          </w:tcPr>
          <w:p w14:paraId="7573F614">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825" w:type="dxa"/>
            <w:tcBorders>
              <w:tl2br w:val="nil"/>
              <w:tr2bl w:val="nil"/>
            </w:tcBorders>
            <w:noWrap w:val="0"/>
            <w:vAlign w:val="center"/>
          </w:tcPr>
          <w:p w14:paraId="1DB46AB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5110" w:type="dxa"/>
            <w:tcBorders>
              <w:tl2br w:val="nil"/>
              <w:tr2bl w:val="nil"/>
            </w:tcBorders>
            <w:noWrap w:val="0"/>
            <w:vAlign w:val="center"/>
          </w:tcPr>
          <w:p w14:paraId="31334E6B">
            <w:pPr>
              <w:jc w:val="left"/>
              <w:rPr>
                <w:rFonts w:hint="eastAsia" w:ascii="仿宋" w:hAnsi="仿宋" w:eastAsia="仿宋" w:cs="仿宋"/>
                <w:color w:val="auto"/>
                <w:sz w:val="24"/>
                <w:szCs w:val="24"/>
              </w:rPr>
            </w:pPr>
            <w:r>
              <w:rPr>
                <w:rFonts w:hint="eastAsia" w:ascii="仿宋" w:hAnsi="仿宋" w:eastAsia="仿宋" w:cs="仿宋"/>
                <w:color w:val="auto"/>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4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④</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t>培训</w:t>
            </w:r>
            <w:r>
              <w:rPr>
                <w:rFonts w:hint="eastAsia" w:ascii="仿宋" w:hAnsi="仿宋" w:eastAsia="仿宋" w:cs="仿宋"/>
                <w:color w:val="auto"/>
                <w:sz w:val="24"/>
                <w:szCs w:val="24"/>
                <w:lang w:eastAsia="zh-CN"/>
              </w:rPr>
              <w:t>计划安排</w:t>
            </w:r>
            <w:r>
              <w:rPr>
                <w:rFonts w:hint="eastAsia" w:ascii="仿宋" w:hAnsi="仿宋" w:eastAsia="仿宋" w:cs="仿宋"/>
                <w:color w:val="auto"/>
                <w:sz w:val="24"/>
                <w:szCs w:val="24"/>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5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⑤</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eastAsia="zh-CN"/>
              </w:rPr>
              <w:t>培训效果</w:t>
            </w:r>
            <w:r>
              <w:rPr>
                <w:rFonts w:hint="eastAsia" w:ascii="仿宋" w:hAnsi="仿宋" w:eastAsia="仿宋" w:cs="仿宋"/>
                <w:color w:val="auto"/>
                <w:sz w:val="24"/>
                <w:szCs w:val="24"/>
              </w:rPr>
              <w:t>等。</w:t>
            </w:r>
          </w:p>
          <w:p w14:paraId="4B9699F4">
            <w:pPr>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0299DE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DA45E9E">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21595C66">
            <w:pPr>
              <w:jc w:val="center"/>
              <w:rPr>
                <w:rFonts w:hint="eastAsia" w:ascii="仿宋" w:hAnsi="仿宋" w:eastAsia="仿宋" w:cs="仿宋"/>
                <w:sz w:val="24"/>
                <w:szCs w:val="24"/>
              </w:rPr>
            </w:pPr>
          </w:p>
        </w:tc>
        <w:tc>
          <w:tcPr>
            <w:tcW w:w="670" w:type="dxa"/>
            <w:tcBorders>
              <w:tl2br w:val="nil"/>
              <w:tr2bl w:val="nil"/>
            </w:tcBorders>
            <w:noWrap w:val="0"/>
            <w:vAlign w:val="center"/>
          </w:tcPr>
          <w:p w14:paraId="255A65AB">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825" w:type="dxa"/>
            <w:tcBorders>
              <w:tl2br w:val="nil"/>
              <w:tr2bl w:val="nil"/>
            </w:tcBorders>
            <w:noWrap w:val="0"/>
            <w:vAlign w:val="center"/>
          </w:tcPr>
          <w:p w14:paraId="675809EE">
            <w:pPr>
              <w:jc w:val="center"/>
              <w:rPr>
                <w:rFonts w:hint="eastAsia" w:ascii="仿宋" w:hAnsi="仿宋" w:eastAsia="仿宋" w:cs="仿宋"/>
                <w:sz w:val="24"/>
                <w:szCs w:val="24"/>
              </w:rPr>
            </w:pPr>
            <w:r>
              <w:rPr>
                <w:rFonts w:hint="eastAsia" w:ascii="仿宋" w:hAnsi="仿宋" w:eastAsia="仿宋" w:cs="仿宋"/>
                <w:sz w:val="24"/>
                <w:szCs w:val="24"/>
              </w:rPr>
              <w:t>30</w:t>
            </w:r>
          </w:p>
        </w:tc>
        <w:tc>
          <w:tcPr>
            <w:tcW w:w="5110" w:type="dxa"/>
            <w:tcBorders>
              <w:tl2br w:val="nil"/>
              <w:tr2bl w:val="nil"/>
            </w:tcBorders>
            <w:noWrap w:val="0"/>
            <w:vAlign w:val="center"/>
          </w:tcPr>
          <w:p w14:paraId="25223A2B">
            <w:pPr>
              <w:jc w:val="left"/>
              <w:rPr>
                <w:rFonts w:hint="eastAsia" w:ascii="仿宋" w:hAnsi="仿宋" w:eastAsia="仿宋" w:cs="仿宋"/>
                <w:color w:val="auto"/>
                <w:sz w:val="24"/>
                <w:szCs w:val="24"/>
              </w:rPr>
            </w:pPr>
            <w:r>
              <w:rPr>
                <w:rFonts w:hint="eastAsia" w:ascii="仿宋" w:hAnsi="仿宋" w:eastAsia="仿宋" w:cs="仿宋"/>
                <w:color w:val="auto"/>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分，计满30分为止，未按要求提供不得分。</w:t>
            </w:r>
          </w:p>
        </w:tc>
      </w:tr>
    </w:tbl>
    <w:p w14:paraId="7FAA99BB">
      <w:pPr>
        <w:jc w:val="center"/>
        <w:rPr>
          <w:rFonts w:hint="eastAsia" w:ascii="仿宋" w:hAnsi="仿宋" w:eastAsia="仿宋" w:cs="仿宋"/>
          <w:color w:val="auto"/>
          <w:sz w:val="24"/>
          <w:szCs w:val="24"/>
        </w:rPr>
      </w:pPr>
    </w:p>
    <w:p w14:paraId="34C4EC0E">
      <w:pPr>
        <w:pStyle w:val="4"/>
        <w:numPr>
          <w:ilvl w:val="0"/>
          <w:numId w:val="0"/>
        </w:numPr>
        <w:spacing w:line="240" w:lineRule="auto"/>
        <w:ind w:left="2940" w:leftChars="0"/>
        <w:jc w:val="both"/>
        <w:rPr>
          <w:rFonts w:hint="eastAsia" w:ascii="宋体" w:hAnsi="宋体" w:cs="宋体"/>
          <w:color w:val="auto"/>
          <w:sz w:val="30"/>
          <w:szCs w:val="30"/>
          <w:lang w:val="en-US" w:eastAsia="zh-CN"/>
        </w:rPr>
      </w:pPr>
    </w:p>
    <w:p w14:paraId="4092A6A2">
      <w:pPr>
        <w:pStyle w:val="4"/>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20"/>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9"/>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 w:val="24"/>
        </w:rPr>
      </w:pPr>
      <w:r>
        <w:rPr>
          <w:rFonts w:hint="eastAsia" w:ascii="宋体" w:hAnsi="宋体" w:cs="宋体"/>
          <w:b/>
          <w:color w:val="auto"/>
          <w:sz w:val="24"/>
          <w:szCs w:val="20"/>
        </w:rPr>
        <w:t>二、投标人资格声明</w:t>
      </w:r>
    </w:p>
    <w:p w14:paraId="09B775A3">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投标人名称（盖单位公章）：</w:t>
      </w:r>
    </w:p>
    <w:p w14:paraId="55D549B2">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137A24E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675A77B9">
      <w:pPr>
        <w:pStyle w:val="6"/>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6755BE3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DEE61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62A84631">
      <w:pPr>
        <w:pStyle w:val="19"/>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w:t>
      </w:r>
      <w:r>
        <w:rPr>
          <w:rFonts w:hint="eastAsia"/>
          <w:color w:val="FF0000"/>
          <w:sz w:val="24"/>
          <w:lang w:eastAsia="zh-CN"/>
        </w:rPr>
        <w:t>（</w:t>
      </w:r>
      <w:r>
        <w:rPr>
          <w:rFonts w:hint="eastAsia"/>
          <w:color w:val="FF0000"/>
          <w:sz w:val="24"/>
          <w:lang w:val="en-US" w:eastAsia="zh-CN"/>
        </w:rPr>
        <w:t>包括商务参数）</w:t>
      </w:r>
      <w:r>
        <w:rPr>
          <w:rFonts w:hint="eastAsia"/>
          <w:color w:val="auto"/>
          <w:sz w:val="24"/>
          <w:lang w:eastAsia="zh-CN"/>
        </w:rPr>
        <w:t>必须在响应表中逐条应答。</w:t>
      </w:r>
    </w:p>
    <w:p w14:paraId="0DA40BA3">
      <w:pPr>
        <w:pStyle w:val="20"/>
        <w:rPr>
          <w:color w:val="auto"/>
        </w:rPr>
      </w:pPr>
    </w:p>
    <w:p w14:paraId="0EFEE20B">
      <w:pPr>
        <w:pStyle w:val="19"/>
        <w:rPr>
          <w:rFonts w:hint="eastAsia"/>
          <w:lang w:eastAsia="zh-CN"/>
        </w:rPr>
      </w:pPr>
    </w:p>
    <w:p w14:paraId="2CB8A4F5"/>
    <w:p w14:paraId="58D1B8B1">
      <w:pPr>
        <w:pStyle w:val="20"/>
        <w:rPr>
          <w:color w:val="auto"/>
        </w:rPr>
      </w:pPr>
    </w:p>
    <w:p w14:paraId="43E00E01">
      <w:pPr>
        <w:pStyle w:val="19"/>
        <w:rPr>
          <w:rFonts w:hint="eastAsia"/>
          <w:lang w:eastAsia="zh-CN"/>
        </w:rPr>
      </w:pPr>
    </w:p>
    <w:p w14:paraId="53FA0AAC"/>
    <w:p w14:paraId="36507233"/>
    <w:p w14:paraId="5AA899CA"/>
    <w:p w14:paraId="2936BFC4"/>
    <w:p w14:paraId="740A0EF9"/>
    <w:p w14:paraId="57A7D16B"/>
    <w:p w14:paraId="003C5A4F"/>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Arial">
    <w:altName w:val="DejaVu Sans"/>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10"/>
      <w:rPr>
        <w:rFonts w:hint="eastAsia" w:ascii="仿宋_GB2312" w:eastAsia="仿宋_GB2312"/>
        <w:bCs/>
        <w:u w:val="single"/>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10"/>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5404DA"/>
    <w:multiLevelType w:val="singleLevel"/>
    <w:tmpl w:val="925404DA"/>
    <w:lvl w:ilvl="0" w:tentative="0">
      <w:start w:val="20"/>
      <w:numFmt w:val="decimal"/>
      <w:lvlText w:val="%1."/>
      <w:lvlJc w:val="left"/>
      <w:pPr>
        <w:tabs>
          <w:tab w:val="left" w:pos="312"/>
        </w:tabs>
      </w:pPr>
    </w:lvl>
  </w:abstractNum>
  <w:abstractNum w:abstractNumId="1">
    <w:nsid w:val="BB68914C"/>
    <w:multiLevelType w:val="singleLevel"/>
    <w:tmpl w:val="BB68914C"/>
    <w:lvl w:ilvl="0" w:tentative="0">
      <w:start w:val="2"/>
      <w:numFmt w:val="chineseCounting"/>
      <w:suff w:val="nothing"/>
      <w:lvlText w:val="%1、"/>
      <w:lvlJc w:val="left"/>
      <w:rPr>
        <w:rFonts w:hint="eastAsia"/>
      </w:rPr>
    </w:lvl>
  </w:abstractNum>
  <w:abstractNum w:abstractNumId="2">
    <w:nsid w:val="EB67FE42"/>
    <w:multiLevelType w:val="singleLevel"/>
    <w:tmpl w:val="EB67FE42"/>
    <w:lvl w:ilvl="0" w:tentative="0">
      <w:start w:val="1"/>
      <w:numFmt w:val="decimal"/>
      <w:suff w:val="nothing"/>
      <w:lvlText w:val="%1、"/>
      <w:lvlJc w:val="left"/>
    </w:lvl>
  </w:abstractNum>
  <w:abstractNum w:abstractNumId="3">
    <w:nsid w:val="F9FF3BE6"/>
    <w:multiLevelType w:val="singleLevel"/>
    <w:tmpl w:val="F9FF3BE6"/>
    <w:lvl w:ilvl="0" w:tentative="0">
      <w:start w:val="22"/>
      <w:numFmt w:val="decimal"/>
      <w:lvlText w:val="%1."/>
      <w:lvlJc w:val="left"/>
      <w:pPr>
        <w:tabs>
          <w:tab w:val="left" w:pos="312"/>
        </w:tabs>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8318E5"/>
    <w:rsid w:val="00AE556A"/>
    <w:rsid w:val="01350E35"/>
    <w:rsid w:val="01807593"/>
    <w:rsid w:val="01EF5CA0"/>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2080B62"/>
    <w:rsid w:val="12994AC5"/>
    <w:rsid w:val="129F447F"/>
    <w:rsid w:val="12C86253"/>
    <w:rsid w:val="15060AC8"/>
    <w:rsid w:val="15125EAE"/>
    <w:rsid w:val="15675A4C"/>
    <w:rsid w:val="1691323B"/>
    <w:rsid w:val="17E51656"/>
    <w:rsid w:val="17F91BB8"/>
    <w:rsid w:val="193E7D91"/>
    <w:rsid w:val="1943608F"/>
    <w:rsid w:val="19E91315"/>
    <w:rsid w:val="1AF56B46"/>
    <w:rsid w:val="1B7B72C0"/>
    <w:rsid w:val="1D5071B5"/>
    <w:rsid w:val="1D5D59A6"/>
    <w:rsid w:val="1DD7486D"/>
    <w:rsid w:val="1E79119D"/>
    <w:rsid w:val="1EFD25AF"/>
    <w:rsid w:val="1F334F58"/>
    <w:rsid w:val="1F385662"/>
    <w:rsid w:val="1F796B24"/>
    <w:rsid w:val="1FC602A8"/>
    <w:rsid w:val="1FDFE26B"/>
    <w:rsid w:val="1FE73549"/>
    <w:rsid w:val="2038045E"/>
    <w:rsid w:val="209055C8"/>
    <w:rsid w:val="20AF0900"/>
    <w:rsid w:val="20B41DA7"/>
    <w:rsid w:val="21C61C7A"/>
    <w:rsid w:val="2383771E"/>
    <w:rsid w:val="23F374DB"/>
    <w:rsid w:val="24881A32"/>
    <w:rsid w:val="24E375C9"/>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2F9730FD"/>
    <w:rsid w:val="302741D2"/>
    <w:rsid w:val="308B184D"/>
    <w:rsid w:val="309C1E01"/>
    <w:rsid w:val="30BB11DD"/>
    <w:rsid w:val="31F17CD1"/>
    <w:rsid w:val="321B02E0"/>
    <w:rsid w:val="324F4D43"/>
    <w:rsid w:val="3330157F"/>
    <w:rsid w:val="33384C93"/>
    <w:rsid w:val="340F06E9"/>
    <w:rsid w:val="34C12F54"/>
    <w:rsid w:val="35101668"/>
    <w:rsid w:val="366241E2"/>
    <w:rsid w:val="369029A0"/>
    <w:rsid w:val="36B66AAC"/>
    <w:rsid w:val="36E47928"/>
    <w:rsid w:val="372F7378"/>
    <w:rsid w:val="37BA0809"/>
    <w:rsid w:val="37DE919F"/>
    <w:rsid w:val="38F7D690"/>
    <w:rsid w:val="397348CD"/>
    <w:rsid w:val="39FBA7F3"/>
    <w:rsid w:val="3A8E0AB7"/>
    <w:rsid w:val="3A994AB7"/>
    <w:rsid w:val="3B3B544D"/>
    <w:rsid w:val="3B654F2B"/>
    <w:rsid w:val="3B9B6E72"/>
    <w:rsid w:val="3BB72BAE"/>
    <w:rsid w:val="3BFC7D2B"/>
    <w:rsid w:val="3C7C799C"/>
    <w:rsid w:val="3C8A61A4"/>
    <w:rsid w:val="3D5E17FF"/>
    <w:rsid w:val="3DF93413"/>
    <w:rsid w:val="3DFD1951"/>
    <w:rsid w:val="3DFFD27E"/>
    <w:rsid w:val="3E1F0DA4"/>
    <w:rsid w:val="3E584E51"/>
    <w:rsid w:val="3E62C1E0"/>
    <w:rsid w:val="3E6E70D5"/>
    <w:rsid w:val="3EBE1ADE"/>
    <w:rsid w:val="3F788D05"/>
    <w:rsid w:val="3FB7200B"/>
    <w:rsid w:val="3FEF41F9"/>
    <w:rsid w:val="3FF36FC1"/>
    <w:rsid w:val="403B4B34"/>
    <w:rsid w:val="408F3583"/>
    <w:rsid w:val="4140452A"/>
    <w:rsid w:val="414D7889"/>
    <w:rsid w:val="41BB0BAE"/>
    <w:rsid w:val="425629F5"/>
    <w:rsid w:val="4284152B"/>
    <w:rsid w:val="429A4992"/>
    <w:rsid w:val="42FF3888"/>
    <w:rsid w:val="435B161D"/>
    <w:rsid w:val="43B25DAC"/>
    <w:rsid w:val="44771DFD"/>
    <w:rsid w:val="45D569C3"/>
    <w:rsid w:val="46C011EB"/>
    <w:rsid w:val="475F9F54"/>
    <w:rsid w:val="479B74B7"/>
    <w:rsid w:val="48735221"/>
    <w:rsid w:val="49E92B05"/>
    <w:rsid w:val="4A354E62"/>
    <w:rsid w:val="4AEE1A11"/>
    <w:rsid w:val="4B7F39F4"/>
    <w:rsid w:val="4B9387EE"/>
    <w:rsid w:val="4BAE646F"/>
    <w:rsid w:val="4CAC1559"/>
    <w:rsid w:val="4D1D09A0"/>
    <w:rsid w:val="4D754257"/>
    <w:rsid w:val="4DCD6AB3"/>
    <w:rsid w:val="4E334DF1"/>
    <w:rsid w:val="4EE7662F"/>
    <w:rsid w:val="50216DCD"/>
    <w:rsid w:val="50540C20"/>
    <w:rsid w:val="506258C6"/>
    <w:rsid w:val="51AC28BD"/>
    <w:rsid w:val="52183ACC"/>
    <w:rsid w:val="5275566D"/>
    <w:rsid w:val="52950FA7"/>
    <w:rsid w:val="531356F0"/>
    <w:rsid w:val="53238E8B"/>
    <w:rsid w:val="53B55872"/>
    <w:rsid w:val="544055F2"/>
    <w:rsid w:val="54AD4386"/>
    <w:rsid w:val="55D8243C"/>
    <w:rsid w:val="575FAF7E"/>
    <w:rsid w:val="581A7C72"/>
    <w:rsid w:val="583A4BD7"/>
    <w:rsid w:val="59C74B1F"/>
    <w:rsid w:val="5A886F59"/>
    <w:rsid w:val="5BDF167E"/>
    <w:rsid w:val="5E9BBF88"/>
    <w:rsid w:val="5EBFE873"/>
    <w:rsid w:val="5F153ADC"/>
    <w:rsid w:val="5FBFAB6E"/>
    <w:rsid w:val="604D5946"/>
    <w:rsid w:val="611B6B1B"/>
    <w:rsid w:val="61FF68C0"/>
    <w:rsid w:val="62C222C2"/>
    <w:rsid w:val="632D7C40"/>
    <w:rsid w:val="63F39F53"/>
    <w:rsid w:val="64133D6A"/>
    <w:rsid w:val="64245572"/>
    <w:rsid w:val="65824D95"/>
    <w:rsid w:val="674A3DD5"/>
    <w:rsid w:val="678E4F5D"/>
    <w:rsid w:val="67F3562A"/>
    <w:rsid w:val="67FFBBE3"/>
    <w:rsid w:val="680E122C"/>
    <w:rsid w:val="6A4E1D63"/>
    <w:rsid w:val="6C486FE4"/>
    <w:rsid w:val="6CA409DF"/>
    <w:rsid w:val="6D9F787E"/>
    <w:rsid w:val="6DBC6A8E"/>
    <w:rsid w:val="6DBE71AC"/>
    <w:rsid w:val="6DE375E4"/>
    <w:rsid w:val="6DFF0C8E"/>
    <w:rsid w:val="6E8E5287"/>
    <w:rsid w:val="6FAC3B48"/>
    <w:rsid w:val="6FAD463B"/>
    <w:rsid w:val="6FB7ACDA"/>
    <w:rsid w:val="6FBE332C"/>
    <w:rsid w:val="6FFF67CC"/>
    <w:rsid w:val="70CE0BC9"/>
    <w:rsid w:val="71554367"/>
    <w:rsid w:val="71584067"/>
    <w:rsid w:val="71F26E91"/>
    <w:rsid w:val="72CE2295"/>
    <w:rsid w:val="72FB9D37"/>
    <w:rsid w:val="735201FF"/>
    <w:rsid w:val="737B50A4"/>
    <w:rsid w:val="73F40E72"/>
    <w:rsid w:val="74566F5C"/>
    <w:rsid w:val="750117A8"/>
    <w:rsid w:val="755B2270"/>
    <w:rsid w:val="75E27514"/>
    <w:rsid w:val="762BE131"/>
    <w:rsid w:val="76920D75"/>
    <w:rsid w:val="76C47877"/>
    <w:rsid w:val="77423DFF"/>
    <w:rsid w:val="77EE6ED4"/>
    <w:rsid w:val="77FD832A"/>
    <w:rsid w:val="783B5EA9"/>
    <w:rsid w:val="78B114A6"/>
    <w:rsid w:val="79C6FDAF"/>
    <w:rsid w:val="79EB699D"/>
    <w:rsid w:val="79FFEA3A"/>
    <w:rsid w:val="7A3E5854"/>
    <w:rsid w:val="7ABA298D"/>
    <w:rsid w:val="7B0620DE"/>
    <w:rsid w:val="7B7D7C18"/>
    <w:rsid w:val="7BBF44BB"/>
    <w:rsid w:val="7BF15CE4"/>
    <w:rsid w:val="7C3A27E5"/>
    <w:rsid w:val="7C5533D1"/>
    <w:rsid w:val="7D9727DD"/>
    <w:rsid w:val="7DCFEB81"/>
    <w:rsid w:val="7DDF8A36"/>
    <w:rsid w:val="7DFE74A2"/>
    <w:rsid w:val="7E2117BD"/>
    <w:rsid w:val="7E8BAD0B"/>
    <w:rsid w:val="7ED7DBED"/>
    <w:rsid w:val="7EFB4F6E"/>
    <w:rsid w:val="7F164138"/>
    <w:rsid w:val="7F1A5E95"/>
    <w:rsid w:val="7FA75B91"/>
    <w:rsid w:val="7FBC7699"/>
    <w:rsid w:val="7FCFF1E1"/>
    <w:rsid w:val="7FDE4978"/>
    <w:rsid w:val="7FFB0877"/>
    <w:rsid w:val="7FFE88A1"/>
    <w:rsid w:val="87EFD207"/>
    <w:rsid w:val="8B7D3439"/>
    <w:rsid w:val="8EFAA180"/>
    <w:rsid w:val="A4FC5874"/>
    <w:rsid w:val="A99BC227"/>
    <w:rsid w:val="ADFDDBA5"/>
    <w:rsid w:val="AFDF5C35"/>
    <w:rsid w:val="AFEFD62F"/>
    <w:rsid w:val="B7FBACA6"/>
    <w:rsid w:val="BBDFF490"/>
    <w:rsid w:val="BF59071B"/>
    <w:rsid w:val="BF7D9491"/>
    <w:rsid w:val="BFF77D2B"/>
    <w:rsid w:val="C3FEA355"/>
    <w:rsid w:val="CDFF7760"/>
    <w:rsid w:val="CFFF8E32"/>
    <w:rsid w:val="D6D5AD7C"/>
    <w:rsid w:val="D79FEC00"/>
    <w:rsid w:val="DBDE3CFA"/>
    <w:rsid w:val="DBF77595"/>
    <w:rsid w:val="DFAD8580"/>
    <w:rsid w:val="DFF97BBC"/>
    <w:rsid w:val="DFFA836E"/>
    <w:rsid w:val="DFFEDE01"/>
    <w:rsid w:val="DFFF05F4"/>
    <w:rsid w:val="E6F7C8DE"/>
    <w:rsid w:val="E9FE6660"/>
    <w:rsid w:val="EADE7AA2"/>
    <w:rsid w:val="ED6D9162"/>
    <w:rsid w:val="EF7B1925"/>
    <w:rsid w:val="EFF91F3A"/>
    <w:rsid w:val="EFFF278C"/>
    <w:rsid w:val="F1347A70"/>
    <w:rsid w:val="F76D9192"/>
    <w:rsid w:val="F7D57869"/>
    <w:rsid w:val="F91F5623"/>
    <w:rsid w:val="F99F179C"/>
    <w:rsid w:val="FB6F87D3"/>
    <w:rsid w:val="FB7D52BD"/>
    <w:rsid w:val="FBBD03F1"/>
    <w:rsid w:val="FCEB7648"/>
    <w:rsid w:val="FDF7EAA8"/>
    <w:rsid w:val="FDFF9C76"/>
    <w:rsid w:val="FEAFF452"/>
    <w:rsid w:val="FED7AE9E"/>
    <w:rsid w:val="FEE34724"/>
    <w:rsid w:val="FF1EFC35"/>
    <w:rsid w:val="FF477DD4"/>
    <w:rsid w:val="FF5F7F20"/>
    <w:rsid w:val="FF7B9B69"/>
    <w:rsid w:val="FF7D155A"/>
    <w:rsid w:val="FFAFFB84"/>
    <w:rsid w:val="FFBF9032"/>
    <w:rsid w:val="FFC8EF32"/>
    <w:rsid w:val="FFD76697"/>
    <w:rsid w:val="FFDF81E1"/>
    <w:rsid w:val="FFE13652"/>
    <w:rsid w:val="FFECE770"/>
    <w:rsid w:val="FFEFB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2"/>
    <w:basedOn w:val="1"/>
    <w:next w:val="1"/>
    <w:qFormat/>
    <w:uiPriority w:val="0"/>
    <w:pPr>
      <w:keepNext/>
      <w:keepLines/>
      <w:spacing w:line="360" w:lineRule="auto"/>
      <w:outlineLvl w:val="1"/>
    </w:pPr>
    <w:rPr>
      <w:b/>
      <w:bCs/>
      <w:sz w:val="24"/>
      <w:szCs w:val="32"/>
    </w:rPr>
  </w:style>
  <w:style w:type="paragraph" w:styleId="6">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7">
    <w:name w:val="Normal Indent"/>
    <w:basedOn w:val="1"/>
    <w:qFormat/>
    <w:uiPriority w:val="0"/>
    <w:pPr>
      <w:widowControl/>
      <w:ind w:firstLine="420"/>
      <w:jc w:val="left"/>
    </w:pPr>
    <w:rPr>
      <w:kern w:val="0"/>
      <w:sz w:val="20"/>
      <w:szCs w:val="20"/>
    </w:rPr>
  </w:style>
  <w:style w:type="paragraph" w:styleId="8">
    <w:name w:val="annotation text"/>
    <w:basedOn w:val="1"/>
    <w:qFormat/>
    <w:uiPriority w:val="0"/>
    <w:pPr>
      <w:jc w:val="left"/>
    </w:pPr>
  </w:style>
  <w:style w:type="paragraph" w:styleId="9">
    <w:name w:val="Date"/>
    <w:basedOn w:val="1"/>
    <w:next w:val="1"/>
    <w:qFormat/>
    <w:uiPriority w:val="0"/>
    <w:rPr>
      <w:color w:val="000000"/>
      <w:kern w:val="0"/>
      <w:sz w:val="30"/>
    </w:rPr>
  </w:style>
  <w:style w:type="paragraph" w:styleId="10">
    <w:name w:val="footer"/>
    <w:basedOn w:val="1"/>
    <w:autoRedefine/>
    <w:qFormat/>
    <w:uiPriority w:val="0"/>
    <w:pPr>
      <w:tabs>
        <w:tab w:val="center" w:pos="4153"/>
        <w:tab w:val="right" w:pos="8306"/>
      </w:tabs>
      <w:snapToGrid w:val="0"/>
      <w:jc w:val="left"/>
    </w:pPr>
    <w:rPr>
      <w:kern w:val="0"/>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rPr>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7">
    <w:name w:val="大标题"/>
    <w:basedOn w:val="1"/>
    <w:next w:val="2"/>
    <w:autoRedefine/>
    <w:qFormat/>
    <w:uiPriority w:val="0"/>
    <w:pPr>
      <w:jc w:val="center"/>
    </w:pPr>
    <w:rPr>
      <w:rFonts w:ascii="Arial" w:hAnsi="Arial" w:eastAsia="宋体"/>
      <w:b/>
      <w:sz w:val="28"/>
      <w:szCs w:val="24"/>
    </w:rPr>
  </w:style>
  <w:style w:type="paragraph" w:customStyle="1" w:styleId="18">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 w:type="character" w:customStyle="1" w:styleId="22">
    <w:name w:val="NormalCharacter"/>
    <w:autoRedefine/>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9284</Words>
  <Characters>9842</Characters>
  <Lines>0</Lines>
  <Paragraphs>0</Paragraphs>
  <TotalTime>0</TotalTime>
  <ScaleCrop>false</ScaleCrop>
  <LinksUpToDate>false</LinksUpToDate>
  <CharactersWithSpaces>10246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2023-07-26T01:45:00Z</dcterms:created>
  <dc:creator>是小豹子</dc:creator>
  <cp:lastModifiedBy>沁sqr</cp:lastModifiedBy>
  <dcterms:modified xsi:type="dcterms:W3CDTF">2026-07-23T11:13:26Z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76FB0FAE7D39B64E20C5306ACAD8361B_43</vt:lpwstr>
  </property>
  <property fmtid="{D5CDD505-2E9C-101B-9397-08002B2CF9AE}" pid="4" name="KSOTemplateDocerSaveRecord">
    <vt:lpwstr>eyJoZGlkIjoiYjhlYmE2MWY2NTY0MzZmZTc1MzE0ZTI3ZDViMDM4ZWEiLCJ1c2VySWQiOiIxMDY1NzYwODA4In0=</vt:lpwstr>
  </property>
</Properties>
</file>