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（数字化6分钟步行试验系统+呼吸康复训练仪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数字化6分钟步行试验系统+呼吸康复训练仪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数字化6分钟步行试验系统+呼吸康复训练仪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294B4F3">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B67C07">
      <w:pPr>
        <w:pStyle w:val="12"/>
        <w:ind w:left="0" w:leftChars="0" w:firstLine="0" w:firstLineChars="0"/>
        <w:rPr>
          <w:rFonts w:hint="eastAsia" w:ascii="宋体" w:hAnsi="宋体" w:cs="宋体"/>
          <w:b/>
          <w:bCs/>
          <w:color w:val="auto"/>
          <w:sz w:val="44"/>
          <w:szCs w:val="44"/>
          <w:lang w:val="en-US" w:eastAsia="zh-CN"/>
        </w:rPr>
      </w:pPr>
    </w:p>
    <w:p w14:paraId="5FE0AE3F">
      <w:pPr>
        <w:pStyle w:val="12"/>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数字化6分钟步行试验系统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呼吸康复训练仪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11</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678559C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方正楷体_GB2312" w:hAnsi="方正楷体_GB2312" w:eastAsia="方正楷体_GB2312" w:cs="方正楷体_GB2312"/>
          <w:bCs/>
          <w:color w:val="auto"/>
          <w:kern w:val="0"/>
          <w:sz w:val="24"/>
          <w:szCs w:val="24"/>
          <w:lang w:val="en-US" w:eastAsia="zh-CN" w:bidi="ar-SA"/>
        </w:rPr>
      </w:pPr>
      <w:r>
        <w:rPr>
          <w:rFonts w:hint="eastAsia" w:ascii="方正楷体_GB2312" w:hAnsi="方正楷体_GB2312" w:eastAsia="方正楷体_GB2312" w:cs="方正楷体_GB2312"/>
          <w:bCs/>
          <w:color w:val="auto"/>
          <w:kern w:val="0"/>
          <w:sz w:val="24"/>
          <w:szCs w:val="24"/>
          <w:lang w:val="en-US" w:eastAsia="zh-CN" w:bidi="ar-SA"/>
        </w:rPr>
        <w:t>（一）数字化6分钟步行实验系统技术参数</w:t>
      </w:r>
    </w:p>
    <w:p w14:paraId="5E50855B">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1.软件系统覆盖儿童六分钟步行试验全流程，全程智能语音引导完成。</w:t>
      </w:r>
    </w:p>
    <w:p w14:paraId="5218DF5B">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2.实现儿童六分钟的标准化、智能化、数字化，</w:t>
      </w:r>
      <w:bookmarkStart w:id="1" w:name="OLE_LINK1"/>
      <w:r>
        <w:rPr>
          <w:rFonts w:hint="eastAsia" w:asciiTheme="minorEastAsia" w:hAnsiTheme="minorEastAsia" w:eastAsiaTheme="minorEastAsia" w:cstheme="minorEastAsia"/>
          <w:bCs/>
          <w:color w:val="auto"/>
          <w:sz w:val="24"/>
          <w:szCs w:val="24"/>
          <w:lang w:val="en-US" w:eastAsia="zh-CN" w:bidi="ar-SA"/>
        </w:rPr>
        <w:t>六分钟步行试验过程分为准备阶段、试验阶段、恢复阶段，准备阶段及恢复阶段均能够进行borg呼吸困难评分及疲劳度评分</w:t>
      </w:r>
      <w:bookmarkEnd w:id="1"/>
      <w:r>
        <w:rPr>
          <w:rFonts w:hint="eastAsia" w:asciiTheme="minorEastAsia" w:hAnsiTheme="minorEastAsia" w:eastAsiaTheme="minorEastAsia" w:cstheme="minorEastAsia"/>
          <w:bCs/>
          <w:color w:val="auto"/>
          <w:sz w:val="24"/>
          <w:szCs w:val="24"/>
          <w:lang w:val="en-US" w:eastAsia="zh-CN" w:bidi="ar-SA"/>
        </w:rPr>
        <w:t>及血压的测量；测试前进行安全性筛查及影响六分钟结果判定相关因素评估；测试后进行试验后不适症状、步态等评估。</w:t>
      </w:r>
    </w:p>
    <w:p w14:paraId="1F3D8419">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3.系统具备试验前自检运行功能，充分确保临床关键核心指标完整。</w:t>
      </w:r>
    </w:p>
    <w:p w14:paraId="6692BD6C">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▲4.专业陀螺仪技术精准自动计圈功能，精准自动计算步行距离、步数，最后半圈六分钟步行距离支持自动生成或手动录入。</w:t>
      </w:r>
    </w:p>
    <w:p w14:paraId="2B7A17AE">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5.准备阶段智能语音宣教；测试阶段按照指南与专家共识标准临床话术，进行试验倒计时时间播报提醒；保障六分钟操作的规范性和标准化。</w:t>
      </w:r>
    </w:p>
    <w:p w14:paraId="1DEAE7B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六分钟步行试验三个阶段过程中，实时监测显示心电、心率、呼吸、血氧等多维生理参数，呈现实时动态趋势图（心率、呼吸、血氧、步速等），便于查看过程中各参数变化趋势；趋势图中实时呈现加圈记录标识与异常事件记录标识。</w:t>
      </w:r>
    </w:p>
    <w:p w14:paraId="57C76E5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▲7.试验过程中不限次数记录异常情况（胸闷、头晕、心悸、呼吸困难、心绞痛、体力不支等）以及处理方式（暂停、吸氧等），能够自定义异常情况以及处理方式。</w:t>
      </w:r>
    </w:p>
    <w:p w14:paraId="18E178F8">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8.具备试验结束后数据核对功能，可对试验前、后数据，进行最终提交前的二次确认，内容包括总圈数、步行总距离（米）、试验前后呼吸困难评分、疲劳度评分数据等。</w:t>
      </w:r>
    </w:p>
    <w:p w14:paraId="279C4A8C">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智能生成六分钟步行试验报告，报告内容包括：既往是否参加过六分钟步行试验、试验时是否需要辅助氧疗、试验时是否需要使用助行设备等；报告呈现血氧、心率、步速、呼吸等生理参数的变化趋势图，趋势图中同时呈现加圈标识及异常事件添加标识，趋势图数据可精确到日-时-分-秒；各生理参数的试验前后对比数据详情；具备恢复1-3分钟时刻值、一分钟心率恢复值等；以及三个阶段最快心率、最慢心率的心电图截图等。自动出具相关训练设备的运动康复处方建议（立式功率车、卧式功率车、跑步机、椭圆机），处方详情涵盖运动频率、运动周期、热身时长、训练时长、放松时长及训练速度、训练功率、目标心率等。</w:t>
      </w:r>
    </w:p>
    <w:p w14:paraId="7B0F8A83">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10.具备心率变异性分析功能，并出具报告，报告内包含SDNN、SDANN、RMSSD、NN50、pNN50、HRVTI、ULF、VLF、LF、HF、庞加莱图、去趋势波动趋势图（DFA）、NN间期差值散点图、非线性特征图等。</w:t>
      </w:r>
    </w:p>
    <w:p w14:paraId="1E41CB70">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11.具备心肺功能多维体适能评估功能，包括，1分钟坐站测试、2分钟踏步试验、6分钟踏阶试验、200米快走试验。</w:t>
      </w:r>
    </w:p>
    <w:p w14:paraId="5D26474D">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12.具备心身多维度的量表评估功能，包括ADL、LOVETT、SDS、SAS、PSQI、MMRC、EQ-5D-5L、SF-12、SCL90、CAT、NRS等，支持量表新增。</w:t>
      </w:r>
    </w:p>
    <w:p w14:paraId="208A36FB">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13.支持自定义修改每圈长度-米、自定义切换两种疲劳度评分标准、自定义切换选择3种心肺功能评级标准、自定义修改准备阶段及恢复阶段时长、自定义增加疾病诊断名称等。</w:t>
      </w:r>
    </w:p>
    <w:p w14:paraId="716C0523">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14.具备自动加圈和手动加圈两种加圈方式，可进行自定义加圈方式切换。</w:t>
      </w:r>
    </w:p>
    <w:p w14:paraId="580DF444">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 xml:space="preserve">15.具备数据总体和个人统计分析功能，可按人群（年龄、性别、BMI）、指标（步行距离、心肺功能分级、代谢当量等）及问卷类型等进行条件筛选和分类统计，可切换以柱状图、饼图进行呈现等。 </w:t>
      </w:r>
    </w:p>
    <w:p w14:paraId="2A60CBE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▲16.采用呼吸感应体积描记技术（RIP），精准获取呼吸数据。</w:t>
      </w:r>
    </w:p>
    <w:p w14:paraId="5E7BA978">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bookmarkStart w:id="2" w:name="OLE_LINK3"/>
      <w:r>
        <w:rPr>
          <w:rFonts w:hint="eastAsia" w:asciiTheme="minorEastAsia" w:hAnsiTheme="minorEastAsia" w:eastAsiaTheme="minorEastAsia" w:cstheme="minorEastAsia"/>
          <w:bCs/>
          <w:color w:val="auto"/>
          <w:sz w:val="24"/>
          <w:szCs w:val="24"/>
          <w:lang w:val="en-US" w:eastAsia="zh-CN" w:bidi="ar-SA"/>
        </w:rPr>
        <w:t>17.心电：</w:t>
      </w:r>
      <w:bookmarkEnd w:id="2"/>
      <w:r>
        <w:rPr>
          <w:rFonts w:hint="eastAsia" w:asciiTheme="minorEastAsia" w:hAnsiTheme="minorEastAsia" w:eastAsiaTheme="minorEastAsia" w:cstheme="minorEastAsia"/>
          <w:bCs/>
          <w:color w:val="auto"/>
          <w:sz w:val="24"/>
          <w:szCs w:val="24"/>
          <w:lang w:val="en-US" w:eastAsia="zh-CN" w:bidi="ar-SA"/>
        </w:rPr>
        <w:t>单导心电：可同时进行心电、呼吸的采集；心率监测范围15BPM～300BPM。</w:t>
      </w:r>
    </w:p>
    <w:p w14:paraId="12E93F95">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18.呼吸：使用呼吸感应体积描记技术（RIP）进行呼吸率采样，呼吸率监测范围6BPM-70BPM、分辨率1BPM。</w:t>
      </w:r>
      <w:bookmarkStart w:id="3" w:name="OLE_LINK7"/>
      <w:bookmarkStart w:id="4" w:name="OLE_LINK5"/>
    </w:p>
    <w:p w14:paraId="1FD90BCD">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19.血氧：测量范围：35%～100%</w:t>
      </w:r>
      <w:bookmarkEnd w:id="3"/>
      <w:r>
        <w:rPr>
          <w:rFonts w:hint="eastAsia" w:asciiTheme="minorEastAsia" w:hAnsiTheme="minorEastAsia" w:eastAsiaTheme="minorEastAsia" w:cstheme="minorEastAsia"/>
          <w:bCs/>
          <w:color w:val="auto"/>
          <w:sz w:val="24"/>
          <w:szCs w:val="24"/>
          <w:lang w:val="en-US" w:eastAsia="zh-CN" w:bidi="ar-SA"/>
        </w:rPr>
        <w:t>。</w:t>
      </w:r>
    </w:p>
    <w:bookmarkEnd w:id="4"/>
    <w:p w14:paraId="4712405E">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20.支持六分钟多中心建设，根据项目需求设置总中心与分中心账号权限，进行相关数据质控。</w:t>
      </w:r>
    </w:p>
    <w:p w14:paraId="223C2DAB">
      <w:pPr>
        <w:keepNext w:val="0"/>
        <w:keepLines w:val="0"/>
        <w:pageBreakBefore w:val="0"/>
        <w:widowControl w:val="0"/>
        <w:kinsoku/>
        <w:wordWrap/>
        <w:overflowPunct/>
        <w:topLinePunct w:val="0"/>
        <w:autoSpaceDE/>
        <w:autoSpaceDN/>
        <w:bidi w:val="0"/>
        <w:adjustRightInd/>
        <w:snapToGrid/>
        <w:spacing w:after="120" w:line="360" w:lineRule="auto"/>
        <w:ind w:left="0" w:leftChars="0" w:firstLine="480" w:firstLineChars="0"/>
        <w:jc w:val="center"/>
        <w:rPr>
          <w:rFonts w:hint="eastAsia" w:asciiTheme="minorEastAsia" w:hAnsiTheme="minorEastAsia" w:eastAsiaTheme="minorEastAsia" w:cstheme="minorEastAsia"/>
          <w:bCs/>
          <w:color w:val="auto"/>
          <w:kern w:val="0"/>
          <w:sz w:val="24"/>
          <w:szCs w:val="24"/>
          <w:lang w:val="en-US" w:eastAsia="zh-CN" w:bidi="ar-SA"/>
        </w:rPr>
      </w:pPr>
      <w:r>
        <w:rPr>
          <w:rFonts w:hint="eastAsia" w:ascii="黑体" w:hAnsi="黑体" w:eastAsia="宋体"/>
          <w:b w:val="0"/>
          <w:bCs/>
          <w:i w:val="0"/>
          <w:strike w:val="0"/>
          <w:color w:val="auto"/>
          <w:sz w:val="24"/>
          <w:szCs w:val="28"/>
          <w:u w:val="none"/>
        </w:rPr>
        <w:t>产品配置</w:t>
      </w:r>
    </w:p>
    <w:tbl>
      <w:tblPr>
        <w:tblStyle w:val="14"/>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5451"/>
        <w:gridCol w:w="1502"/>
        <w:gridCol w:w="1502"/>
      </w:tblGrid>
      <w:tr w14:paraId="1437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ign w:val="center"/>
          </w:tcPr>
          <w:p w14:paraId="79B0B297">
            <w:pPr>
              <w:widowControl/>
              <w:snapToGrid w:val="0"/>
              <w:ind w:left="0" w:leftChars="0" w:right="0" w:rightChars="0" w:firstLine="0" w:firstLineChars="0"/>
              <w:jc w:val="center"/>
              <w:rPr>
                <w:rFonts w:hint="eastAsia" w:ascii="宋体" w:hAnsi="宋体"/>
                <w:b/>
                <w:bCs/>
                <w:kern w:val="0"/>
                <w:szCs w:val="21"/>
              </w:rPr>
            </w:pPr>
            <w:r>
              <w:rPr>
                <w:rFonts w:hint="eastAsia" w:ascii="宋体" w:hAnsi="宋体"/>
                <w:b/>
                <w:bCs/>
                <w:kern w:val="0"/>
                <w:szCs w:val="21"/>
              </w:rPr>
              <w:t>序号</w:t>
            </w:r>
          </w:p>
        </w:tc>
        <w:tc>
          <w:tcPr>
            <w:tcW w:w="0" w:type="auto"/>
            <w:noWrap/>
            <w:vAlign w:val="center"/>
          </w:tcPr>
          <w:p w14:paraId="0AC030E9">
            <w:pPr>
              <w:widowControl/>
              <w:snapToGrid w:val="0"/>
              <w:ind w:left="0" w:leftChars="0" w:right="0" w:rightChars="0" w:firstLine="0" w:firstLineChars="0"/>
              <w:jc w:val="center"/>
              <w:rPr>
                <w:rFonts w:hint="eastAsia" w:ascii="宋体" w:hAnsi="宋体"/>
                <w:b/>
                <w:bCs/>
                <w:kern w:val="0"/>
                <w:szCs w:val="21"/>
              </w:rPr>
            </w:pPr>
            <w:r>
              <w:rPr>
                <w:rFonts w:hint="eastAsia" w:ascii="宋体" w:hAnsi="宋体"/>
                <w:b/>
                <w:bCs/>
                <w:kern w:val="0"/>
                <w:szCs w:val="21"/>
              </w:rPr>
              <w:t>产品名称</w:t>
            </w:r>
          </w:p>
        </w:tc>
        <w:tc>
          <w:tcPr>
            <w:tcW w:w="0" w:type="auto"/>
            <w:vAlign w:val="center"/>
          </w:tcPr>
          <w:p w14:paraId="3371F28D">
            <w:pPr>
              <w:widowControl/>
              <w:snapToGrid w:val="0"/>
              <w:ind w:left="0" w:leftChars="0" w:right="0" w:rightChars="0" w:firstLine="0" w:firstLineChars="0"/>
              <w:jc w:val="center"/>
              <w:rPr>
                <w:rFonts w:hint="eastAsia" w:ascii="宋体" w:hAnsi="宋体"/>
                <w:b/>
                <w:bCs/>
                <w:kern w:val="0"/>
                <w:szCs w:val="21"/>
              </w:rPr>
            </w:pPr>
            <w:r>
              <w:rPr>
                <w:rFonts w:hint="eastAsia" w:ascii="宋体" w:hAnsi="宋体"/>
                <w:b/>
                <w:bCs/>
                <w:kern w:val="0"/>
                <w:szCs w:val="21"/>
              </w:rPr>
              <w:t>数量</w:t>
            </w:r>
          </w:p>
        </w:tc>
        <w:tc>
          <w:tcPr>
            <w:tcW w:w="1502" w:type="dxa"/>
            <w:vAlign w:val="center"/>
          </w:tcPr>
          <w:p w14:paraId="3572E7E9">
            <w:pPr>
              <w:widowControl/>
              <w:snapToGrid w:val="0"/>
              <w:ind w:left="0" w:leftChars="0" w:right="0" w:rightChars="0" w:firstLine="0" w:firstLineChars="0"/>
              <w:jc w:val="center"/>
              <w:rPr>
                <w:rFonts w:hint="eastAsia" w:ascii="宋体" w:hAnsi="宋体"/>
                <w:b/>
                <w:bCs/>
                <w:kern w:val="0"/>
                <w:szCs w:val="21"/>
              </w:rPr>
            </w:pPr>
            <w:r>
              <w:rPr>
                <w:rFonts w:hint="eastAsia" w:ascii="宋体" w:hAnsi="宋体"/>
                <w:b/>
                <w:bCs/>
                <w:kern w:val="0"/>
                <w:szCs w:val="21"/>
              </w:rPr>
              <w:t>单位</w:t>
            </w:r>
          </w:p>
        </w:tc>
      </w:tr>
      <w:tr w14:paraId="6D60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ign w:val="center"/>
          </w:tcPr>
          <w:p w14:paraId="358AEE48">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1</w:t>
            </w:r>
          </w:p>
        </w:tc>
        <w:tc>
          <w:tcPr>
            <w:tcW w:w="0" w:type="auto"/>
            <w:vAlign w:val="center"/>
          </w:tcPr>
          <w:p w14:paraId="2DE41C9F">
            <w:pPr>
              <w:widowControl/>
              <w:snapToGrid w:val="0"/>
              <w:ind w:left="0" w:leftChars="0" w:right="0" w:rightChars="0" w:firstLine="0" w:firstLineChars="0"/>
              <w:jc w:val="left"/>
              <w:rPr>
                <w:rFonts w:hint="eastAsia" w:ascii="宋体" w:hAnsi="宋体"/>
                <w:kern w:val="0"/>
                <w:szCs w:val="21"/>
              </w:rPr>
            </w:pPr>
            <w:r>
              <w:rPr>
                <w:rFonts w:hint="eastAsia" w:ascii="宋体" w:hAnsi="宋体"/>
                <w:kern w:val="0"/>
                <w:szCs w:val="21"/>
              </w:rPr>
              <w:t>数字化六分钟步行软件</w:t>
            </w:r>
          </w:p>
        </w:tc>
        <w:tc>
          <w:tcPr>
            <w:tcW w:w="0" w:type="auto"/>
            <w:vAlign w:val="center"/>
          </w:tcPr>
          <w:p w14:paraId="38FFB343">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1</w:t>
            </w:r>
          </w:p>
        </w:tc>
        <w:tc>
          <w:tcPr>
            <w:tcW w:w="1502" w:type="dxa"/>
            <w:vAlign w:val="center"/>
          </w:tcPr>
          <w:p w14:paraId="448CECAD">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套</w:t>
            </w:r>
          </w:p>
        </w:tc>
      </w:tr>
      <w:tr w14:paraId="4EED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ign w:val="center"/>
          </w:tcPr>
          <w:p w14:paraId="2CEC6FCE">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2</w:t>
            </w:r>
          </w:p>
        </w:tc>
        <w:tc>
          <w:tcPr>
            <w:tcW w:w="0" w:type="auto"/>
            <w:noWrap/>
            <w:vAlign w:val="center"/>
          </w:tcPr>
          <w:p w14:paraId="058A07A2">
            <w:pPr>
              <w:widowControl/>
              <w:snapToGrid w:val="0"/>
              <w:ind w:left="0" w:leftChars="0" w:right="0" w:rightChars="0" w:firstLine="0" w:firstLineChars="0"/>
              <w:jc w:val="left"/>
              <w:rPr>
                <w:rFonts w:hint="eastAsia" w:ascii="宋体" w:hAnsi="宋体"/>
                <w:kern w:val="0"/>
                <w:szCs w:val="21"/>
              </w:rPr>
            </w:pPr>
            <w:r>
              <w:rPr>
                <w:rFonts w:hint="eastAsia" w:ascii="宋体" w:hAnsi="宋体"/>
                <w:kern w:val="0"/>
                <w:szCs w:val="21"/>
              </w:rPr>
              <w:t>动态心电记录仪</w:t>
            </w:r>
          </w:p>
        </w:tc>
        <w:tc>
          <w:tcPr>
            <w:tcW w:w="0" w:type="auto"/>
            <w:vAlign w:val="center"/>
          </w:tcPr>
          <w:p w14:paraId="6E0F1A9C">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1</w:t>
            </w:r>
          </w:p>
        </w:tc>
        <w:tc>
          <w:tcPr>
            <w:tcW w:w="1502" w:type="dxa"/>
            <w:vAlign w:val="center"/>
          </w:tcPr>
          <w:p w14:paraId="547CB307">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套</w:t>
            </w:r>
          </w:p>
        </w:tc>
      </w:tr>
      <w:tr w14:paraId="79B0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ign w:val="center"/>
          </w:tcPr>
          <w:p w14:paraId="75C572F5">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3</w:t>
            </w:r>
          </w:p>
        </w:tc>
        <w:tc>
          <w:tcPr>
            <w:tcW w:w="0" w:type="auto"/>
            <w:vAlign w:val="center"/>
          </w:tcPr>
          <w:p w14:paraId="32D80795">
            <w:pPr>
              <w:widowControl/>
              <w:snapToGrid w:val="0"/>
              <w:ind w:left="0" w:leftChars="0" w:right="0" w:rightChars="0" w:firstLine="0" w:firstLineChars="0"/>
              <w:jc w:val="left"/>
              <w:rPr>
                <w:rFonts w:hint="eastAsia" w:ascii="宋体" w:hAnsi="宋体"/>
                <w:kern w:val="0"/>
                <w:szCs w:val="21"/>
              </w:rPr>
            </w:pPr>
            <w:r>
              <w:rPr>
                <w:rFonts w:hint="eastAsia" w:ascii="宋体" w:hAnsi="宋体"/>
                <w:kern w:val="0"/>
                <w:szCs w:val="21"/>
              </w:rPr>
              <w:t>脉搏血氧饱和度仪</w:t>
            </w:r>
          </w:p>
        </w:tc>
        <w:tc>
          <w:tcPr>
            <w:tcW w:w="0" w:type="auto"/>
            <w:vAlign w:val="center"/>
          </w:tcPr>
          <w:p w14:paraId="4F8729C0">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1</w:t>
            </w:r>
          </w:p>
        </w:tc>
        <w:tc>
          <w:tcPr>
            <w:tcW w:w="1502" w:type="dxa"/>
            <w:vAlign w:val="center"/>
          </w:tcPr>
          <w:p w14:paraId="0F598E2F">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台</w:t>
            </w:r>
          </w:p>
        </w:tc>
      </w:tr>
      <w:tr w14:paraId="4876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01" w:type="dxa"/>
            <w:noWrap/>
            <w:vAlign w:val="center"/>
          </w:tcPr>
          <w:p w14:paraId="7CDF146F">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4</w:t>
            </w:r>
          </w:p>
        </w:tc>
        <w:tc>
          <w:tcPr>
            <w:tcW w:w="5451" w:type="dxa"/>
            <w:vAlign w:val="center"/>
          </w:tcPr>
          <w:p w14:paraId="151FE495">
            <w:pPr>
              <w:widowControl/>
              <w:snapToGrid w:val="0"/>
              <w:ind w:left="0" w:leftChars="0" w:right="0" w:rightChars="0" w:firstLine="0" w:firstLineChars="0"/>
              <w:jc w:val="left"/>
              <w:rPr>
                <w:rFonts w:hint="eastAsia" w:ascii="宋体" w:hAnsi="宋体"/>
                <w:kern w:val="0"/>
                <w:szCs w:val="21"/>
              </w:rPr>
            </w:pPr>
            <w:r>
              <w:rPr>
                <w:rFonts w:hint="eastAsia" w:ascii="宋体" w:hAnsi="宋体"/>
                <w:kern w:val="0"/>
                <w:szCs w:val="21"/>
              </w:rPr>
              <w:t>移动工作站</w:t>
            </w:r>
          </w:p>
        </w:tc>
        <w:tc>
          <w:tcPr>
            <w:tcW w:w="1502" w:type="dxa"/>
            <w:vAlign w:val="center"/>
          </w:tcPr>
          <w:p w14:paraId="67A75695">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1</w:t>
            </w:r>
          </w:p>
        </w:tc>
        <w:tc>
          <w:tcPr>
            <w:tcW w:w="1502" w:type="dxa"/>
            <w:vAlign w:val="center"/>
          </w:tcPr>
          <w:p w14:paraId="19B178DC">
            <w:pPr>
              <w:widowControl/>
              <w:snapToGrid w:val="0"/>
              <w:ind w:left="0" w:leftChars="0" w:right="0" w:rightChars="0" w:firstLine="0" w:firstLineChars="0"/>
              <w:jc w:val="center"/>
              <w:rPr>
                <w:rFonts w:hint="eastAsia" w:ascii="宋体" w:hAnsi="宋体"/>
                <w:kern w:val="0"/>
                <w:szCs w:val="21"/>
              </w:rPr>
            </w:pPr>
            <w:r>
              <w:rPr>
                <w:rFonts w:hint="eastAsia" w:ascii="宋体" w:hAnsi="宋体"/>
                <w:kern w:val="0"/>
                <w:szCs w:val="21"/>
              </w:rPr>
              <w:t>台</w:t>
            </w:r>
          </w:p>
        </w:tc>
      </w:tr>
    </w:tbl>
    <w:p w14:paraId="1748FC7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56E516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方正楷体_GB2312" w:hAnsi="方正楷体_GB2312" w:eastAsia="方正楷体_GB2312" w:cs="方正楷体_GB2312"/>
          <w:bCs/>
          <w:color w:val="auto"/>
          <w:kern w:val="0"/>
          <w:sz w:val="24"/>
          <w:szCs w:val="24"/>
          <w:lang w:val="en-US" w:eastAsia="zh-CN" w:bidi="ar-SA"/>
        </w:rPr>
      </w:pPr>
      <w:r>
        <w:rPr>
          <w:rFonts w:hint="eastAsia" w:ascii="方正楷体_GB2312" w:hAnsi="方正楷体_GB2312" w:eastAsia="方正楷体_GB2312" w:cs="方正楷体_GB2312"/>
          <w:bCs/>
          <w:color w:val="auto"/>
          <w:kern w:val="0"/>
          <w:sz w:val="24"/>
          <w:szCs w:val="24"/>
          <w:lang w:val="en-US" w:eastAsia="zh-CN" w:bidi="ar-SA"/>
        </w:rPr>
        <w:t>（二）呼吸康复训练仪技术参数</w:t>
      </w:r>
    </w:p>
    <w:p w14:paraId="1913611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1、排痰训练：振荡呼气正压（OPEP）</w:t>
      </w:r>
    </w:p>
    <w:p w14:paraId="5E72582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支持训练模式、训练强度、阻力负荷、呼气振动频率、吸气屏气呼气时长比、计划时长、计划咳嗽训练次数等参数设置；支持训练后压力、振幅、呼气流量、呼气时间、呼气容积等参数显示。智能振动正压通气模式，阻力级别1-5档可调。</w:t>
      </w:r>
    </w:p>
    <w:p w14:paraId="3CB8ABD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▲2、吸气肌训练</w:t>
      </w:r>
    </w:p>
    <w:p w14:paraId="6883FB2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支持自动/手动/自定义三种模式，手动模式：训练指标范围3cmH2O-200cmH2O，自动训练负荷：五档可调；自定义模式：可关联呼吸肌力测定检查单、辅助调节训练负荷。</w:t>
      </w:r>
    </w:p>
    <w:p w14:paraId="2C8A56F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增加肺容量训练（IS）：支持IS流速型、IS容量型肺容量训练。</w:t>
      </w:r>
    </w:p>
    <w:p w14:paraId="40D5D6E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肺容量锻炼计划训练次数、训练强度及患者信息设置；</w:t>
      </w:r>
    </w:p>
    <w:p w14:paraId="18C6916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可测量吸气流量、吸气容积及能量总计。 </w:t>
      </w:r>
    </w:p>
    <w:p w14:paraId="348BA7DC">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容积型范围：200ml~4800ml；</w:t>
      </w:r>
    </w:p>
    <w:p w14:paraId="40F7140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流量型范围：400ml/s~1000ml/s。</w:t>
      </w:r>
    </w:p>
    <w:p w14:paraId="416BB52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3</w:t>
      </w:r>
      <w:r>
        <w:rPr>
          <w:rFonts w:hint="eastAsia" w:asciiTheme="minorEastAsia" w:hAnsiTheme="minorEastAsia" w:eastAsiaTheme="minorEastAsia" w:cstheme="minorEastAsia"/>
          <w:bCs/>
          <w:color w:val="auto"/>
          <w:kern w:val="0"/>
          <w:sz w:val="24"/>
          <w:szCs w:val="24"/>
          <w:lang w:val="en-US" w:eastAsia="zh-CN" w:bidi="ar-SA"/>
        </w:rPr>
        <w:t>、吸入给药评估</w:t>
      </w:r>
    </w:p>
    <w:p w14:paraId="5AD2A6E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阻抗等级：五档阻抗选择；</w:t>
      </w:r>
    </w:p>
    <w:p w14:paraId="44F322F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参数显示：有效吸气容积、有效吸气容积、吸气时间、有效吸气时间、有效吸气时间等参数。</w:t>
      </w:r>
    </w:p>
    <w:p w14:paraId="2CC5C739">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、呼吸肌力测定</w:t>
      </w:r>
    </w:p>
    <w:p w14:paraId="339C36A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最大吸气压（MIP）测量范围：（-200～0）cmH2O。</w:t>
      </w:r>
    </w:p>
    <w:p w14:paraId="3E85610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最大呼气压（MEP）测量范围：（0～200）cmH2O。</w:t>
      </w:r>
    </w:p>
    <w:p w14:paraId="0006DCE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肺功能测定</w:t>
      </w:r>
    </w:p>
    <w:p w14:paraId="063B65D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用力肺活量（FVC）测量范围：（0 – 10）L，准确性：±3％或±0.050 L，重复性：≤ 3％ 或 ≤ 0.050 L；</w:t>
      </w:r>
    </w:p>
    <w:p w14:paraId="6896A04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用力呼气流量峰值(PEF) 测量范围：（0-14）L/s内，准确性为±5%或±0.17L/s，重复性≤5%或≤0.15L/s。</w:t>
      </w:r>
    </w:p>
    <w:p w14:paraId="2AA96742">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heme="minorEastAsia" w:hAnsiTheme="minorEastAsia" w:eastAsiaTheme="minorEastAsia" w:cstheme="minorEastAsia"/>
          <w:bCs/>
          <w:color w:val="auto"/>
          <w:sz w:val="24"/>
          <w:szCs w:val="24"/>
          <w:lang w:val="en-US" w:eastAsia="zh-CN" w:bidi="ar-SA"/>
        </w:rPr>
      </w:pPr>
      <w:r>
        <w:rPr>
          <w:rFonts w:hint="default" w:asciiTheme="minorEastAsia" w:hAnsiTheme="minorEastAsia" w:eastAsiaTheme="minorEastAsia" w:cstheme="minorEastAsia"/>
          <w:bCs/>
          <w:color w:val="auto"/>
          <w:sz w:val="24"/>
          <w:szCs w:val="24"/>
          <w:lang w:val="en-US" w:eastAsia="zh-CN" w:bidi="ar-SA"/>
        </w:rPr>
        <w:t>5</w:t>
      </w:r>
      <w:r>
        <w:rPr>
          <w:rFonts w:hint="eastAsia" w:asciiTheme="minorEastAsia" w:hAnsiTheme="minorEastAsia" w:eastAsiaTheme="minorEastAsia" w:cstheme="minorEastAsia"/>
          <w:bCs/>
          <w:color w:val="auto"/>
          <w:sz w:val="24"/>
          <w:szCs w:val="24"/>
          <w:lang w:val="en-US" w:eastAsia="zh-CN" w:bidi="ar-SA"/>
        </w:rPr>
        <w:t>、仪器质控，能进行容量定标校准。</w:t>
      </w:r>
    </w:p>
    <w:p w14:paraId="0D0127CA">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default" w:asciiTheme="minorEastAsia" w:hAnsiTheme="minorEastAsia" w:eastAsiaTheme="minorEastAsia" w:cstheme="minorEastAsia"/>
          <w:bCs/>
          <w:color w:val="auto"/>
          <w:sz w:val="24"/>
          <w:szCs w:val="24"/>
          <w:lang w:val="en-US" w:eastAsia="zh-CN" w:bidi="ar-SA"/>
        </w:rPr>
        <w:t>6</w:t>
      </w:r>
      <w:r>
        <w:rPr>
          <w:rFonts w:hint="eastAsia" w:asciiTheme="minorEastAsia" w:hAnsiTheme="minorEastAsia" w:eastAsiaTheme="minorEastAsia" w:cstheme="minorEastAsia"/>
          <w:bCs/>
          <w:color w:val="auto"/>
          <w:sz w:val="24"/>
          <w:szCs w:val="24"/>
          <w:lang w:val="en-US" w:eastAsia="zh-CN" w:bidi="ar-SA"/>
        </w:rPr>
        <w:t>、激励式可量化系统界面：具有语音、动画指导训练，可清晰评估每次训练成效。</w:t>
      </w:r>
    </w:p>
    <w:p w14:paraId="61A53C57">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default" w:asciiTheme="minorEastAsia" w:hAnsiTheme="minorEastAsia" w:eastAsiaTheme="minorEastAsia" w:cstheme="minorEastAsia"/>
          <w:bCs/>
          <w:color w:val="auto"/>
          <w:sz w:val="24"/>
          <w:szCs w:val="24"/>
          <w:lang w:val="en-US" w:eastAsia="zh-CN" w:bidi="ar-SA"/>
        </w:rPr>
        <w:t>7</w:t>
      </w:r>
      <w:r>
        <w:rPr>
          <w:rFonts w:hint="eastAsia" w:asciiTheme="minorEastAsia" w:hAnsiTheme="minorEastAsia" w:eastAsiaTheme="minorEastAsia" w:cstheme="minorEastAsia"/>
          <w:bCs/>
          <w:color w:val="auto"/>
          <w:sz w:val="24"/>
          <w:szCs w:val="24"/>
          <w:lang w:val="en-US" w:eastAsia="zh-CN" w:bidi="ar-SA"/>
        </w:rPr>
        <w:t>、数据传输方式：可通过蓝牙进行数据传输；</w:t>
      </w:r>
    </w:p>
    <w:p w14:paraId="266650F1">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heme="minorEastAsia" w:hAnsiTheme="minorEastAsia" w:eastAsiaTheme="minorEastAsia" w:cstheme="minorEastAsia"/>
          <w:bCs/>
          <w:color w:val="auto"/>
          <w:sz w:val="24"/>
          <w:szCs w:val="24"/>
          <w:lang w:val="en-US" w:eastAsia="zh-CN" w:bidi="ar-SA"/>
        </w:rPr>
      </w:pPr>
      <w:r>
        <w:rPr>
          <w:rFonts w:hint="default" w:asciiTheme="minorEastAsia" w:hAnsiTheme="minorEastAsia" w:eastAsiaTheme="minorEastAsia" w:cstheme="minorEastAsia"/>
          <w:bCs/>
          <w:color w:val="auto"/>
          <w:sz w:val="24"/>
          <w:szCs w:val="24"/>
          <w:lang w:val="en-US" w:eastAsia="zh-CN" w:bidi="ar-SA"/>
        </w:rPr>
        <w:t>8</w:t>
      </w:r>
      <w:r>
        <w:rPr>
          <w:rFonts w:hint="eastAsia" w:asciiTheme="minorEastAsia" w:hAnsiTheme="minorEastAsia" w:eastAsiaTheme="minorEastAsia" w:cstheme="minorEastAsia"/>
          <w:bCs/>
          <w:color w:val="auto"/>
          <w:sz w:val="24"/>
          <w:szCs w:val="24"/>
          <w:lang w:val="en-US" w:eastAsia="zh-CN" w:bidi="ar-SA"/>
        </w:rPr>
        <w:t>、数据同步：支持通过WIFI或无线网络同步数据到云端；</w:t>
      </w:r>
    </w:p>
    <w:p w14:paraId="6096017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9</w:t>
      </w:r>
      <w:r>
        <w:rPr>
          <w:rFonts w:hint="eastAsia" w:asciiTheme="minorEastAsia" w:hAnsiTheme="minorEastAsia" w:eastAsiaTheme="minorEastAsia" w:cstheme="minorEastAsia"/>
          <w:bCs/>
          <w:color w:val="auto"/>
          <w:kern w:val="0"/>
          <w:sz w:val="24"/>
          <w:szCs w:val="24"/>
          <w:lang w:val="en-US" w:eastAsia="zh-CN" w:bidi="ar-SA"/>
        </w:rPr>
        <w:t>、智能数据移动终端PDA可通过蓝牙连接呼吸训练器，按照预先设定好的方案自动加载康复训练负荷，也可以手动调整负荷。在康复过程可以可视化管理，医生端可远程跟踪康复训练数据；</w:t>
      </w:r>
    </w:p>
    <w:p w14:paraId="22CB90D2">
      <w:pPr>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left="0" w:leftChars="0"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sz w:val="24"/>
          <w:szCs w:val="24"/>
          <w:lang w:val="en-US" w:eastAsia="zh-CN" w:bidi="ar-SA"/>
        </w:rPr>
        <w:t>1</w:t>
      </w:r>
      <w:r>
        <w:rPr>
          <w:rFonts w:hint="default" w:asciiTheme="minorEastAsia" w:hAnsiTheme="minorEastAsia" w:eastAsiaTheme="minorEastAsia" w:cstheme="minorEastAsia"/>
          <w:bCs/>
          <w:color w:val="auto"/>
          <w:sz w:val="24"/>
          <w:szCs w:val="24"/>
          <w:lang w:val="en-US" w:eastAsia="zh-CN" w:bidi="ar-SA"/>
        </w:rPr>
        <w:t>0</w:t>
      </w:r>
      <w:r>
        <w:rPr>
          <w:rFonts w:hint="eastAsia" w:asciiTheme="minorEastAsia" w:hAnsiTheme="minorEastAsia" w:eastAsiaTheme="minorEastAsia" w:cstheme="minorEastAsia"/>
          <w:bCs/>
          <w:color w:val="auto"/>
          <w:sz w:val="24"/>
          <w:szCs w:val="24"/>
          <w:lang w:val="en-US" w:eastAsia="zh-CN" w:bidi="ar-SA"/>
        </w:rPr>
        <w:t>、智能数据移动终端PDA端支持查看和打印患者当机所做全部报告。</w:t>
      </w:r>
    </w:p>
    <w:p w14:paraId="02930A2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default"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auto"/>
          <w:kern w:val="0"/>
          <w:sz w:val="24"/>
          <w:szCs w:val="24"/>
          <w:lang w:val="en-US" w:eastAsia="zh-CN" w:bidi="ar-SA"/>
        </w:rPr>
        <w:t>、云端数据功能</w:t>
      </w:r>
    </w:p>
    <w:p w14:paraId="467C848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患者管理：新建患者、新建随访、门诊筛查、风险评估； </w:t>
      </w:r>
    </w:p>
    <w:p w14:paraId="74351B7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患者信息管理功能：包括调查对象姓名、性别、出生年月日、身份证号、地址、联系电话、病种等；</w:t>
      </w:r>
    </w:p>
    <w:p w14:paraId="6D6F33EE">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计划管理：呼吸康复评估、康复处方制定、呼吸康复训练、支持远程居家康复管理； </w:t>
      </w:r>
    </w:p>
    <w:p w14:paraId="73B31860">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报告管理：可按天/周/月、自定义时间段在线查看，打印：呼吸肌力测定报告，吸入给药评估报告、问卷量表、气道廓清报告、呼气/吸气肌训练、吸入给药训练报告，IS流速型，IS容量型吸气/呼气等报告。</w:t>
      </w:r>
    </w:p>
    <w:p w14:paraId="2C814CE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安全性要求：保护调查对象隐私,保证信息平台和所收集,信息的安全性。</w:t>
      </w:r>
    </w:p>
    <w:p w14:paraId="1A3915AB">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方正楷体_GB2312" w:hAnsi="方正楷体_GB2312" w:eastAsia="方正楷体_GB2312" w:cs="方正楷体_GB2312"/>
          <w:bCs/>
          <w:color w:val="auto"/>
          <w:kern w:val="0"/>
          <w:sz w:val="24"/>
          <w:szCs w:val="24"/>
          <w:lang w:val="en-US" w:eastAsia="zh-CN" w:bidi="ar-SA"/>
        </w:rPr>
        <w:t>（三）商务参数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firstLine="480" w:firstLineChars="200"/>
        <w:textAlignment w:val="auto"/>
        <w:rPr>
          <w:rFonts w:hint="eastAsia" w:asciiTheme="minorEastAsia" w:hAnsiTheme="minorEastAsia" w:eastAsiaTheme="minorEastAsia" w:cstheme="minorEastAsia"/>
          <w:bCs/>
          <w:color w:val="auto"/>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★1、运输、装卸、培训、安装调试：</w:t>
      </w:r>
      <w:r>
        <w:rPr>
          <w:rFonts w:hint="eastAsia" w:asciiTheme="minorEastAsia" w:hAnsiTheme="minorEastAsia" w:eastAsiaTheme="minorEastAsia" w:cstheme="minorEastAsia"/>
          <w:bCs/>
          <w:color w:val="auto"/>
          <w:sz w:val="24"/>
          <w:szCs w:val="24"/>
          <w:lang w:val="en-US" w:eastAsia="zh-CN" w:bidi="ar-SA"/>
        </w:rPr>
        <w:t>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bCs/>
          <w:color w:val="auto"/>
          <w:sz w:val="24"/>
          <w:szCs w:val="24"/>
          <w:lang w:val="en-US" w:eastAsia="zh-CN" w:bidi="ar-SA"/>
        </w:rPr>
        <w:cr/>
      </w:r>
      <w:r>
        <w:rPr>
          <w:rFonts w:hint="eastAsia" w:asciiTheme="minorEastAsia" w:hAnsiTheme="minorEastAsia" w:eastAsiaTheme="minorEastAsia" w:cstheme="minorEastAsia"/>
          <w:bCs/>
          <w:color w:val="auto"/>
          <w:sz w:val="24"/>
          <w:szCs w:val="24"/>
          <w:lang w:val="en-US" w:eastAsia="zh-CN" w:bidi="ar-SA"/>
        </w:rPr>
        <w:t xml:space="preserve">    ★2、交货时间：按合同约定的日期交货。</w:t>
      </w:r>
    </w:p>
    <w:p w14:paraId="5FF3A2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★3、交货地点：娄底市中心医院指定地点。</w:t>
      </w:r>
    </w:p>
    <w:p w14:paraId="2102653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★4、付款方式：设备验收合格后，供应商将发票交到娄底市中心医院后按程序支付货款90%（一般情况下4个月内支付、特殊情况下最多不超过6个月），甲方在设备验收合格满叁年后支付10%余款给乙方。</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★5、质保与售后：整机保修叁年，终身维修。验收时出具原厂售后质保承诺书，质保期内每年巡检一次，并提交巡检记录。</w:t>
      </w:r>
      <w:r>
        <w:rPr>
          <w:rFonts w:hint="eastAsia" w:asciiTheme="minorEastAsia" w:hAnsiTheme="minorEastAsia" w:eastAsiaTheme="minorEastAsia" w:cstheme="minorEastAsia"/>
          <w:bCs/>
          <w:color w:val="auto"/>
          <w:kern w:val="0"/>
          <w:sz w:val="24"/>
          <w:szCs w:val="24"/>
          <w:lang w:val="zh-CN" w:eastAsia="zh-CN" w:bidi="ar-SA"/>
        </w:rPr>
        <w:t>质保期内</w:t>
      </w:r>
      <w:r>
        <w:rPr>
          <w:rFonts w:hint="eastAsia" w:asciiTheme="minorEastAsia" w:hAnsiTheme="minorEastAsia" w:eastAsiaTheme="minorEastAsia" w:cstheme="minorEastAsia"/>
          <w:bCs/>
          <w:color w:val="auto"/>
          <w:kern w:val="0"/>
          <w:sz w:val="24"/>
          <w:szCs w:val="24"/>
          <w:lang w:val="en-US" w:eastAsia="zh-CN" w:bidi="ar-SA"/>
        </w:rPr>
        <w:t>出现故障，1小时响应，响应后24小时上门服务。</w:t>
      </w:r>
    </w:p>
    <w:p w14:paraId="3A1FB8B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数字化6分钟步行实验系统+呼吸康复训练仪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数字化6分钟步行实验系统+呼吸康复训练仪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数字化6分钟步行实验系统</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呼吸康复训练仪</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F9E86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312F6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0D7A1C0E">
      <w:pPr>
        <w:spacing w:line="480" w:lineRule="exact"/>
        <w:rPr>
          <w:rFonts w:hint="eastAsia" w:ascii="黑体" w:hAnsi="黑体" w:eastAsia="黑体" w:cs="黑体"/>
          <w:sz w:val="32"/>
          <w:szCs w:val="32"/>
        </w:rPr>
      </w:pPr>
    </w:p>
    <w:p w14:paraId="36D6E567">
      <w:pPr>
        <w:spacing w:line="480" w:lineRule="exact"/>
        <w:rPr>
          <w:rFonts w:hint="eastAsia" w:ascii="黑体" w:hAnsi="黑体" w:eastAsia="黑体" w:cs="黑体"/>
          <w:sz w:val="32"/>
          <w:szCs w:val="32"/>
        </w:rPr>
      </w:pPr>
      <w:bookmarkStart w:id="9" w:name="_GoBack"/>
      <w:bookmarkEnd w:id="9"/>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5" w:name="_Toc16523574"/>
      <w:r>
        <w:rPr>
          <w:rFonts w:hint="eastAsia" w:ascii="方正小标宋简体" w:hAnsi="方正小标宋简体" w:eastAsia="方正小标宋简体" w:cs="方正小标宋简体"/>
          <w:color w:val="auto"/>
          <w:sz w:val="44"/>
          <w:szCs w:val="44"/>
          <w:lang w:val="en-US" w:eastAsia="zh-CN"/>
        </w:rPr>
        <w:t>第三章</w:t>
      </w:r>
      <w:bookmarkStart w:id="6"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6"/>
    </w:p>
    <w:p w14:paraId="64393C6B">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202F1A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B0B660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8CCA32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370FD7E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522530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715E656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7F1A6F1">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B3E4747">
            <w:pPr>
              <w:jc w:val="center"/>
              <w:rPr>
                <w:rFonts w:hint="eastAsia" w:ascii="仿宋" w:hAnsi="仿宋" w:eastAsia="仿宋" w:cs="仿宋"/>
                <w:sz w:val="24"/>
                <w:szCs w:val="24"/>
              </w:rPr>
            </w:pPr>
            <w:r>
              <w:rPr>
                <w:rFonts w:hint="eastAsia" w:ascii="仿宋" w:hAnsi="仿宋" w:eastAsia="仿宋" w:cs="仿宋"/>
                <w:sz w:val="24"/>
                <w:szCs w:val="24"/>
              </w:rPr>
              <w:t>50%</w:t>
            </w:r>
          </w:p>
        </w:tc>
      </w:tr>
      <w:tr w14:paraId="6BE577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748667F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9CC50F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BE136BE">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C1F0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C9C971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08993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E04198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2FE0BA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2D28860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43F83780">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931787F">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602FE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49F6D42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436A8F4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2DDA9FC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2371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9EB187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30ED06B">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5226F8E5">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7823DDD2">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2C11088D">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432AB879">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D3D5DD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17D71B2D">
      <w:pPr>
        <w:jc w:val="center"/>
        <w:rPr>
          <w:rFonts w:hint="eastAsia" w:ascii="仿宋" w:hAnsi="仿宋" w:eastAsia="仿宋" w:cs="仿宋"/>
          <w:sz w:val="24"/>
          <w:szCs w:val="24"/>
        </w:rPr>
      </w:pPr>
    </w:p>
    <w:p w14:paraId="614BF351">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C1CB907">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8634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3A3FD99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5B336C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0886401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7183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452B6EA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39CB84C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D4549F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9EAF79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45C7E5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3224A9D1">
            <w:pPr>
              <w:jc w:val="left"/>
              <w:rPr>
                <w:rFonts w:hint="eastAsia" w:ascii="仿宋" w:hAnsi="仿宋" w:eastAsia="仿宋" w:cs="仿宋"/>
                <w:color w:val="auto"/>
                <w:sz w:val="24"/>
                <w:szCs w:val="24"/>
              </w:rPr>
            </w:pPr>
            <w:r>
              <w:rPr>
                <w:rFonts w:hint="eastAsia" w:ascii="仿宋" w:hAnsi="仿宋" w:eastAsia="仿宋" w:cs="仿宋"/>
                <w:color w:val="auto"/>
                <w:sz w:val="24"/>
                <w:szCs w:val="24"/>
              </w:rPr>
              <w:t>投标文件无技术条款响应/偏离表的本项计0分；</w:t>
            </w:r>
          </w:p>
          <w:p w14:paraId="3983C469">
            <w:pPr>
              <w:jc w:val="left"/>
              <w:rPr>
                <w:rFonts w:hint="eastAsia" w:ascii="仿宋" w:hAnsi="仿宋" w:eastAsia="仿宋" w:cs="仿宋"/>
                <w:color w:val="auto"/>
                <w:sz w:val="24"/>
                <w:szCs w:val="24"/>
              </w:rPr>
            </w:pPr>
            <w:r>
              <w:rPr>
                <w:rFonts w:hint="eastAsia" w:ascii="仿宋" w:hAnsi="仿宋" w:eastAsia="仿宋" w:cs="仿宋"/>
                <w:color w:val="auto"/>
                <w:sz w:val="24"/>
                <w:szCs w:val="24"/>
              </w:rPr>
              <w:t>1、技术参数满足招标文件要求无负偏离的本项计100分；</w:t>
            </w:r>
          </w:p>
          <w:p w14:paraId="48E400C1">
            <w:pPr>
              <w:jc w:val="left"/>
              <w:rPr>
                <w:rFonts w:hint="eastAsia" w:ascii="仿宋" w:hAnsi="仿宋" w:eastAsia="仿宋" w:cs="仿宋"/>
                <w:color w:val="auto"/>
                <w:sz w:val="24"/>
                <w:szCs w:val="24"/>
              </w:rPr>
            </w:pPr>
            <w:r>
              <w:rPr>
                <w:rFonts w:hint="eastAsia" w:ascii="仿宋" w:hAnsi="仿宋" w:eastAsia="仿宋" w:cs="仿宋"/>
                <w:color w:val="auto"/>
                <w:sz w:val="24"/>
                <w:szCs w:val="24"/>
              </w:rPr>
              <w:t>2、标注“▲”的参数为重要参数，每一项负偏离或缺漏扣10分；</w:t>
            </w:r>
          </w:p>
          <w:p w14:paraId="101EF60E">
            <w:pPr>
              <w:jc w:val="left"/>
              <w:rPr>
                <w:rFonts w:hint="eastAsia" w:ascii="仿宋" w:hAnsi="仿宋" w:eastAsia="仿宋" w:cs="仿宋"/>
                <w:color w:val="auto"/>
                <w:sz w:val="24"/>
                <w:szCs w:val="24"/>
              </w:rPr>
            </w:pPr>
            <w:r>
              <w:rPr>
                <w:rFonts w:hint="eastAsia" w:ascii="仿宋" w:hAnsi="仿宋" w:eastAsia="仿宋" w:cs="仿宋"/>
                <w:color w:val="auto"/>
                <w:sz w:val="24"/>
                <w:szCs w:val="24"/>
              </w:rPr>
              <w:t>3、一般技术参数（即非“★”非“▲”号参数）存在负偏离，每条负偏离扣6分。</w:t>
            </w:r>
          </w:p>
          <w:p w14:paraId="06AEE751">
            <w:pPr>
              <w:jc w:val="left"/>
              <w:rPr>
                <w:rFonts w:hint="eastAsia" w:ascii="仿宋" w:hAnsi="仿宋" w:eastAsia="仿宋" w:cs="仿宋"/>
                <w:color w:val="auto"/>
                <w:sz w:val="24"/>
                <w:szCs w:val="24"/>
              </w:rPr>
            </w:pPr>
            <w:r>
              <w:rPr>
                <w:rFonts w:hint="eastAsia" w:ascii="仿宋" w:hAnsi="仿宋" w:eastAsia="仿宋" w:cs="仿宋"/>
                <w:color w:val="auto"/>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为实质性条款，任何一条负偏离视为无效投标</w:t>
            </w:r>
            <w:r>
              <w:rPr>
                <w:rFonts w:hint="eastAsia" w:ascii="仿宋" w:hAnsi="仿宋" w:eastAsia="仿宋" w:cs="仿宋"/>
                <w:color w:val="auto"/>
                <w:sz w:val="24"/>
                <w:szCs w:val="24"/>
              </w:rPr>
              <w:t>）</w:t>
            </w:r>
          </w:p>
        </w:tc>
      </w:tr>
    </w:tbl>
    <w:p w14:paraId="523BA3D2">
      <w:pPr>
        <w:jc w:val="center"/>
        <w:rPr>
          <w:rFonts w:hint="eastAsia" w:ascii="仿宋" w:hAnsi="仿宋" w:eastAsia="仿宋" w:cs="仿宋"/>
          <w:color w:val="auto"/>
          <w:sz w:val="24"/>
          <w:szCs w:val="24"/>
        </w:rPr>
      </w:pPr>
    </w:p>
    <w:p w14:paraId="1CAD098C">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11515D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07093B8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877" w:type="dxa"/>
            <w:tcBorders>
              <w:tl2br w:val="nil"/>
              <w:tr2bl w:val="nil"/>
            </w:tcBorders>
            <w:noWrap w:val="0"/>
            <w:vAlign w:val="center"/>
          </w:tcPr>
          <w:p w14:paraId="63944F60">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6605" w:type="dxa"/>
            <w:gridSpan w:val="3"/>
            <w:tcBorders>
              <w:tl2br w:val="nil"/>
              <w:tr2bl w:val="nil"/>
            </w:tcBorders>
            <w:noWrap w:val="0"/>
            <w:vAlign w:val="center"/>
          </w:tcPr>
          <w:p w14:paraId="2B1F5F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4CBE8F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E9AFA3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877" w:type="dxa"/>
            <w:vMerge w:val="restart"/>
            <w:tcBorders>
              <w:tl2br w:val="nil"/>
              <w:tr2bl w:val="nil"/>
            </w:tcBorders>
            <w:noWrap w:val="0"/>
            <w:vAlign w:val="center"/>
          </w:tcPr>
          <w:p w14:paraId="0A9CF94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4D922A4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377" w:type="dxa"/>
            <w:tcBorders>
              <w:tl2br w:val="nil"/>
              <w:tr2bl w:val="nil"/>
            </w:tcBorders>
            <w:noWrap w:val="0"/>
            <w:vAlign w:val="center"/>
          </w:tcPr>
          <w:p w14:paraId="7D19C1B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709" w:type="dxa"/>
            <w:tcBorders>
              <w:tl2br w:val="nil"/>
              <w:tr2bl w:val="nil"/>
            </w:tcBorders>
            <w:noWrap w:val="0"/>
            <w:vAlign w:val="center"/>
          </w:tcPr>
          <w:p w14:paraId="642406FF">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519" w:type="dxa"/>
            <w:tcBorders>
              <w:tl2br w:val="nil"/>
              <w:tr2bl w:val="nil"/>
            </w:tcBorders>
            <w:noWrap w:val="0"/>
            <w:vAlign w:val="center"/>
          </w:tcPr>
          <w:p w14:paraId="22FFD941">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3FF5979">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B6F4C59">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49D928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FA0D078">
            <w:pPr>
              <w:jc w:val="center"/>
              <w:rPr>
                <w:rFonts w:hint="eastAsia" w:ascii="仿宋" w:hAnsi="仿宋" w:eastAsia="仿宋" w:cs="仿宋"/>
                <w:color w:val="auto"/>
                <w:sz w:val="24"/>
                <w:szCs w:val="24"/>
              </w:rPr>
            </w:pPr>
          </w:p>
        </w:tc>
        <w:tc>
          <w:tcPr>
            <w:tcW w:w="1877" w:type="dxa"/>
            <w:vMerge w:val="continue"/>
            <w:tcBorders>
              <w:tl2br w:val="nil"/>
              <w:tr2bl w:val="nil"/>
            </w:tcBorders>
            <w:noWrap w:val="0"/>
            <w:vAlign w:val="center"/>
          </w:tcPr>
          <w:p w14:paraId="244735B8">
            <w:pPr>
              <w:jc w:val="center"/>
              <w:rPr>
                <w:rFonts w:hint="eastAsia" w:ascii="仿宋" w:hAnsi="仿宋" w:eastAsia="仿宋" w:cs="仿宋"/>
                <w:color w:val="auto"/>
                <w:sz w:val="24"/>
                <w:szCs w:val="24"/>
              </w:rPr>
            </w:pPr>
          </w:p>
        </w:tc>
        <w:tc>
          <w:tcPr>
            <w:tcW w:w="1377" w:type="dxa"/>
            <w:tcBorders>
              <w:tl2br w:val="nil"/>
              <w:tr2bl w:val="nil"/>
            </w:tcBorders>
            <w:noWrap w:val="0"/>
            <w:vAlign w:val="center"/>
          </w:tcPr>
          <w:p w14:paraId="59A4AB4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709" w:type="dxa"/>
            <w:tcBorders>
              <w:tl2br w:val="nil"/>
              <w:tr2bl w:val="nil"/>
            </w:tcBorders>
            <w:noWrap w:val="0"/>
            <w:vAlign w:val="center"/>
          </w:tcPr>
          <w:p w14:paraId="061D0796">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519" w:type="dxa"/>
            <w:tcBorders>
              <w:tl2br w:val="nil"/>
              <w:tr2bl w:val="nil"/>
            </w:tcBorders>
            <w:noWrap w:val="0"/>
            <w:vAlign w:val="center"/>
          </w:tcPr>
          <w:p w14:paraId="5225C077">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6FC6902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74B339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02487DE2">
            <w:pPr>
              <w:jc w:val="center"/>
              <w:rPr>
                <w:rFonts w:hint="eastAsia" w:ascii="仿宋" w:hAnsi="仿宋" w:eastAsia="仿宋" w:cs="仿宋"/>
                <w:color w:val="auto"/>
                <w:sz w:val="24"/>
                <w:szCs w:val="24"/>
              </w:rPr>
            </w:pPr>
          </w:p>
        </w:tc>
        <w:tc>
          <w:tcPr>
            <w:tcW w:w="1877" w:type="dxa"/>
            <w:vMerge w:val="continue"/>
            <w:tcBorders>
              <w:tl2br w:val="nil"/>
              <w:tr2bl w:val="nil"/>
            </w:tcBorders>
            <w:noWrap w:val="0"/>
            <w:vAlign w:val="center"/>
          </w:tcPr>
          <w:p w14:paraId="1C7CA2E9">
            <w:pPr>
              <w:jc w:val="center"/>
              <w:rPr>
                <w:rFonts w:hint="eastAsia" w:ascii="仿宋" w:hAnsi="仿宋" w:eastAsia="仿宋" w:cs="仿宋"/>
                <w:color w:val="auto"/>
                <w:sz w:val="24"/>
                <w:szCs w:val="24"/>
              </w:rPr>
            </w:pPr>
          </w:p>
        </w:tc>
        <w:tc>
          <w:tcPr>
            <w:tcW w:w="1377" w:type="dxa"/>
            <w:tcBorders>
              <w:tl2br w:val="nil"/>
              <w:tr2bl w:val="nil"/>
            </w:tcBorders>
            <w:noWrap w:val="0"/>
            <w:vAlign w:val="center"/>
          </w:tcPr>
          <w:p w14:paraId="10ED772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709" w:type="dxa"/>
            <w:tcBorders>
              <w:tl2br w:val="nil"/>
              <w:tr2bl w:val="nil"/>
            </w:tcBorders>
            <w:noWrap w:val="0"/>
            <w:vAlign w:val="center"/>
          </w:tcPr>
          <w:p w14:paraId="2ABE9AC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519" w:type="dxa"/>
            <w:tcBorders>
              <w:tl2br w:val="nil"/>
              <w:tr2bl w:val="nil"/>
            </w:tcBorders>
            <w:noWrap w:val="0"/>
            <w:vAlign w:val="center"/>
          </w:tcPr>
          <w:p w14:paraId="2172A923">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4BE9858C"/>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5"/>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240" w:lineRule="auto"/>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240" w:lineRule="auto"/>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240" w:lineRule="auto"/>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24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sz w:val="24"/>
        </w:rPr>
      </w:pPr>
      <w:r>
        <w:rPr>
          <w:rFonts w:hint="eastAsia" w:ascii="宋体" w:hAnsi="宋体" w:cs="宋体"/>
          <w:color w:val="auto"/>
          <w:sz w:val="24"/>
        </w:rPr>
        <w:t>法定代表人或委托代理人（签字）：</w:t>
      </w:r>
    </w:p>
    <w:p w14:paraId="5EDDF3B4">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sz w:val="24"/>
        </w:rPr>
      </w:pPr>
    </w:p>
    <w:p w14:paraId="7F9193D2">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sz w:val="24"/>
        </w:rPr>
      </w:pPr>
    </w:p>
    <w:p w14:paraId="55FDD18F">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sz w:val="24"/>
        </w:rPr>
      </w:pPr>
    </w:p>
    <w:p w14:paraId="2C3DEF84">
      <w:pPr>
        <w:keepNext w:val="0"/>
        <w:keepLines w:val="0"/>
        <w:pageBreakBefore w:val="0"/>
        <w:widowControl/>
        <w:kinsoku/>
        <w:wordWrap/>
        <w:overflowPunct/>
        <w:topLinePunct w:val="0"/>
        <w:autoSpaceDE/>
        <w:autoSpaceDN/>
        <w:bidi w:val="0"/>
        <w:adjustRightInd w:val="0"/>
        <w:snapToGrid w:val="0"/>
        <w:spacing w:before="120" w:beforeLines="50" w:line="240" w:lineRule="auto"/>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78C956A9">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7" w:name="_Toc486424819"/>
      <w:bookmarkStart w:id="8"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7"/>
    <w:bookmarkEnd w:id="8"/>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2F25F7"/>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1B02E0"/>
    <w:rsid w:val="324F4D43"/>
    <w:rsid w:val="33384C93"/>
    <w:rsid w:val="33FF6018"/>
    <w:rsid w:val="340F06E9"/>
    <w:rsid w:val="34C12F54"/>
    <w:rsid w:val="35101668"/>
    <w:rsid w:val="35F70AD1"/>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B25DAC"/>
    <w:rsid w:val="44771DFD"/>
    <w:rsid w:val="45D569C3"/>
    <w:rsid w:val="475F9F54"/>
    <w:rsid w:val="479B74B7"/>
    <w:rsid w:val="48735221"/>
    <w:rsid w:val="49E92B05"/>
    <w:rsid w:val="4A354E62"/>
    <w:rsid w:val="4A77E92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C360E01"/>
    <w:rsid w:val="5E9BBF88"/>
    <w:rsid w:val="5EBFE873"/>
    <w:rsid w:val="5F153ADC"/>
    <w:rsid w:val="5FBFAB6E"/>
    <w:rsid w:val="5FCE0708"/>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437969"/>
    <w:rsid w:val="6F7F1FDA"/>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50117A8"/>
    <w:rsid w:val="755B2270"/>
    <w:rsid w:val="75E27514"/>
    <w:rsid w:val="75F747B7"/>
    <w:rsid w:val="76920D75"/>
    <w:rsid w:val="76C47877"/>
    <w:rsid w:val="76FFA9D8"/>
    <w:rsid w:val="77423DFF"/>
    <w:rsid w:val="77EE6ED4"/>
    <w:rsid w:val="77FD832A"/>
    <w:rsid w:val="783B5EA9"/>
    <w:rsid w:val="78B114A6"/>
    <w:rsid w:val="79EB699D"/>
    <w:rsid w:val="79FFEA3A"/>
    <w:rsid w:val="7A3E5854"/>
    <w:rsid w:val="7ABA298D"/>
    <w:rsid w:val="7B0620DE"/>
    <w:rsid w:val="7B7D7C18"/>
    <w:rsid w:val="7BBF44BB"/>
    <w:rsid w:val="7BF15CE4"/>
    <w:rsid w:val="7BFF7A81"/>
    <w:rsid w:val="7C3A27E5"/>
    <w:rsid w:val="7D9727DD"/>
    <w:rsid w:val="7DDF8A36"/>
    <w:rsid w:val="7DFE74A2"/>
    <w:rsid w:val="7E8BAD0B"/>
    <w:rsid w:val="7EBEA819"/>
    <w:rsid w:val="7ED7DBED"/>
    <w:rsid w:val="7EFB4F6E"/>
    <w:rsid w:val="7F164138"/>
    <w:rsid w:val="7F1A5E95"/>
    <w:rsid w:val="7FA75B91"/>
    <w:rsid w:val="7FBC7699"/>
    <w:rsid w:val="7FCFF1E1"/>
    <w:rsid w:val="7FFB0877"/>
    <w:rsid w:val="7FFE88A1"/>
    <w:rsid w:val="7FFF164F"/>
    <w:rsid w:val="87EFD207"/>
    <w:rsid w:val="8B7D3439"/>
    <w:rsid w:val="8DF212DE"/>
    <w:rsid w:val="8EFAA180"/>
    <w:rsid w:val="A4FC5874"/>
    <w:rsid w:val="A99BC227"/>
    <w:rsid w:val="ADFDDBA5"/>
    <w:rsid w:val="AFDF5C35"/>
    <w:rsid w:val="AFEFD62F"/>
    <w:rsid w:val="B2CF8DD8"/>
    <w:rsid w:val="B7CF5431"/>
    <w:rsid w:val="B7FBACA6"/>
    <w:rsid w:val="BBDFF490"/>
    <w:rsid w:val="BF59071B"/>
    <w:rsid w:val="BF7D9491"/>
    <w:rsid w:val="BFF77D2B"/>
    <w:rsid w:val="CDFF7760"/>
    <w:rsid w:val="CFFF8E32"/>
    <w:rsid w:val="D6D5AD7C"/>
    <w:rsid w:val="DBDE3CFA"/>
    <w:rsid w:val="DFF97BBC"/>
    <w:rsid w:val="DFFEDE01"/>
    <w:rsid w:val="DFFF05F4"/>
    <w:rsid w:val="E6F7C8DE"/>
    <w:rsid w:val="ED6D9162"/>
    <w:rsid w:val="EF7B1925"/>
    <w:rsid w:val="EFF91F3A"/>
    <w:rsid w:val="EFFF278C"/>
    <w:rsid w:val="F1347A70"/>
    <w:rsid w:val="F7D57869"/>
    <w:rsid w:val="F91F5623"/>
    <w:rsid w:val="F99F179C"/>
    <w:rsid w:val="FB6F87D3"/>
    <w:rsid w:val="FB7D52BD"/>
    <w:rsid w:val="FBBD03F1"/>
    <w:rsid w:val="FDF7EAA8"/>
    <w:rsid w:val="FDFF9C76"/>
    <w:rsid w:val="FEAFF452"/>
    <w:rsid w:val="FED7AE9E"/>
    <w:rsid w:val="FEE34724"/>
    <w:rsid w:val="FF1EFC35"/>
    <w:rsid w:val="FF477DD4"/>
    <w:rsid w:val="FF5F7F20"/>
    <w:rsid w:val="FF7AD381"/>
    <w:rsid w:val="FF7B9B69"/>
    <w:rsid w:val="FFAFFB84"/>
    <w:rsid w:val="FFBF9032"/>
    <w:rsid w:val="FFC8EF32"/>
    <w:rsid w:val="FFD76697"/>
    <w:rsid w:val="FFDF81E1"/>
    <w:rsid w:val="FFE12ADE"/>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6668</Words>
  <Characters>7094</Characters>
  <Lines>0</Lines>
  <Paragraphs>0</Paragraphs>
  <TotalTime>2</TotalTime>
  <ScaleCrop>false</ScaleCrop>
  <LinksUpToDate>false</LinksUpToDate>
  <CharactersWithSpaces>7337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2023-07-24T17:45:00Z</dcterms:created>
  <dc:creator>是小豹子</dc:creator>
  <cp:lastModifiedBy>沁sqr</cp:lastModifiedBy>
  <dcterms:modified xsi:type="dcterms:W3CDTF">2026-07-17T15:47:24Z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