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5A906"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血细胞计数仪招标参数</w:t>
      </w:r>
    </w:p>
    <w:p w14:paraId="679C2175"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技术参数</w:t>
      </w:r>
    </w:p>
    <w:p w14:paraId="5B5D1C43"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单片微处理机。</w:t>
      </w:r>
    </w:p>
    <w:p w14:paraId="0D8E2D16">
      <w:pP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2、</w:t>
      </w:r>
      <w: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  <w:t>不少于36个键，分上、下两档输入、输出，有专门符号表示。</w:t>
      </w:r>
    </w:p>
    <w:p w14:paraId="5E1A01C7">
      <w:pP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3、</w:t>
      </w:r>
      <w: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  <w:t>显示部分≥12只LED显示块，显示各种细胞的代号、个数及总数。</w:t>
      </w:r>
    </w:p>
    <w:p w14:paraId="61F35A70">
      <w:pP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4、</w:t>
      </w:r>
      <w: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  <w:t>发光二极管≥11只。</w:t>
      </w:r>
    </w:p>
    <w:p w14:paraId="0BD8DC05">
      <w:pP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5、</w:t>
      </w:r>
      <w: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  <w:t>细胞计数范围1～9999个，计算精确度为十万分之一（计算器功能）。</w:t>
      </w:r>
    </w:p>
    <w:p w14:paraId="36F4767C">
      <w:pP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6、</w:t>
      </w:r>
      <w: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  <w:t>计数和倒计数工作时会发出不同频率响声，到预定数值时会发出信号。</w:t>
      </w:r>
    </w:p>
    <w:p w14:paraId="0356AC34">
      <w:pP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7、</w:t>
      </w:r>
      <w: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  <w:t>仪器连续工作时间≥15小时。</w:t>
      </w:r>
    </w:p>
    <w:p w14:paraId="3F48928E">
      <w:pP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8、</w:t>
      </w:r>
      <w: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  <w:t>整机重量≤0.6kg。</w:t>
      </w:r>
    </w:p>
    <w:p w14:paraId="6F6B01C4">
      <w:pPr>
        <w:numPr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tbl>
      <w:tblPr>
        <w:tblW w:w="79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2205"/>
        <w:gridCol w:w="3478"/>
        <w:gridCol w:w="1080"/>
      </w:tblGrid>
      <w:tr w14:paraId="7E28A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/>
            <w:noWrap/>
            <w:vAlign w:val="center"/>
          </w:tcPr>
          <w:p w14:paraId="22E9B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 配置清单</w:t>
            </w:r>
          </w:p>
        </w:tc>
      </w:tr>
      <w:tr w14:paraId="2B66D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3" w:type="dxa"/>
            <w:gridSpan w:val="4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/>
            <w:noWrap/>
            <w:vAlign w:val="center"/>
          </w:tcPr>
          <w:p w14:paraId="5CA92BE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2F04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04A73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08D89D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C440A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0BB12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</w:tr>
      <w:tr w14:paraId="0C769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08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88F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整机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300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2C5C1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</w:tr>
      <w:tr w14:paraId="1E2AA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235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390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电源适配器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6F4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63B48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</w:tr>
      <w:tr w14:paraId="115CD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DB8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410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使用说明书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A25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1C3C4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</w:t>
            </w:r>
          </w:p>
        </w:tc>
      </w:tr>
      <w:tr w14:paraId="16FA8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129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84AF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447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3E2AF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份</w:t>
            </w:r>
          </w:p>
        </w:tc>
      </w:tr>
      <w:tr w14:paraId="3B549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/>
            <w:noWrap/>
            <w:vAlign w:val="center"/>
          </w:tcPr>
          <w:p w14:paraId="7ED4A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noWrap/>
            <w:vAlign w:val="center"/>
          </w:tcPr>
          <w:p w14:paraId="4C6A7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维修卡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noWrap/>
            <w:vAlign w:val="center"/>
          </w:tcPr>
          <w:p w14:paraId="6A68E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3A99B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份</w:t>
            </w:r>
          </w:p>
        </w:tc>
      </w:tr>
    </w:tbl>
    <w:p w14:paraId="21CD8FC7"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="Arial" w:hAnsi="Arial" w:eastAsia="等线" w:cs="Arial"/>
          <w:b/>
          <w:sz w:val="32"/>
          <w:lang w:val="en-US" w:eastAsia="zh-CN"/>
        </w:rPr>
        <w:t>二、商务参数</w:t>
      </w:r>
      <w:r>
        <w:rPr>
          <w:rStyle w:val="5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★2、交货时间：按合同约定的日期交货。</w:t>
      </w:r>
    </w:p>
    <w:p w14:paraId="3D0CBCDA"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★3、交货地点：娄底市中心医院指定地点。</w:t>
      </w:r>
    </w:p>
    <w:p w14:paraId="2000662E"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年后支付10%余款给乙方。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★5、质保与售后：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整机保修3年，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终身维修。验收时出具原厂售后质保承诺书，质保期内每年巡检一次，并提交巡检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记录。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出现故障，24小时响应，响应后4小时上门服务。</w:t>
      </w:r>
    </w:p>
    <w:p w14:paraId="3AA07F00">
      <w:pPr>
        <w:rPr>
          <w:rFonts w:hint="eastAsia" w:eastAsia="宋体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★6、在投标文件中必须提供相关佐证资料（加盖原厂公章的技术参数、技术白皮书、说明书、彩页），并在响应表中备注该条参数响应或正偏离的佐证资料所在页码。</w:t>
      </w:r>
    </w:p>
    <w:p w14:paraId="0E3C676D">
      <w:pPr>
        <w:numPr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A68F71"/>
    <w:multiLevelType w:val="singleLevel"/>
    <w:tmpl w:val="B8A68F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5C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2026-06-02T09:23:41Z</dcterms:created>
  <dc:creator>Administrator</dc:creator>
  <cp:lastModifiedBy>涛～</cp:lastModifiedBy>
  <cp:lastPrinted>2026-06-02T09:28:06Z</cp:lastPrinted>
  <dcterms:modified xsi:type="dcterms:W3CDTF">2026-06-02T09:28:08Z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262EB140F1B448D58C29EC4B9AD0189C_12</vt:lpwstr>
  </property>
</Properties>
</file>