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E6CB9">
      <w:pPr>
        <w:pStyle w:val="6"/>
        <w:snapToGrid w:val="0"/>
        <w:jc w:val="center"/>
        <w:rPr>
          <w:rFonts w:ascii="Arial" w:hAnsi="Arial" w:eastAsia="方正小标宋简体" w:cs="Arial"/>
          <w:color w:val="auto"/>
          <w:sz w:val="72"/>
          <w:szCs w:val="72"/>
        </w:rPr>
      </w:pPr>
    </w:p>
    <w:p w14:paraId="2E98DCBA">
      <w:pPr>
        <w:pStyle w:val="6"/>
        <w:tabs>
          <w:tab w:val="left" w:pos="312"/>
        </w:tabs>
        <w:snapToGrid w:val="0"/>
        <w:spacing w:line="288" w:lineRule="auto"/>
        <w:jc w:val="center"/>
        <w:rPr>
          <w:rFonts w:hint="eastAsia" w:ascii="Arial" w:hAnsi="Arial" w:eastAsia="方正小标宋简体" w:cs="Arial"/>
          <w:color w:val="auto"/>
          <w:sz w:val="72"/>
          <w:szCs w:val="72"/>
          <w:lang w:eastAsia="zh-CN"/>
        </w:rPr>
      </w:pPr>
      <w:bookmarkStart w:id="0" w:name="_Toc16523570"/>
      <w:r>
        <w:rPr>
          <w:rFonts w:hint="eastAsia" w:ascii="Arial" w:hAnsi="Arial" w:eastAsia="方正小标宋简体" w:cs="Arial"/>
          <w:color w:val="auto"/>
          <w:sz w:val="72"/>
          <w:szCs w:val="72"/>
          <w:lang w:val="en-US" w:eastAsia="zh-CN"/>
        </w:rPr>
        <w:t>广州医科大学附属第一医院娄底医院院</w:t>
      </w:r>
      <w:r>
        <w:rPr>
          <w:rFonts w:hint="eastAsia" w:ascii="Arial" w:hAnsi="Arial" w:eastAsia="方正小标宋简体" w:cs="Arial"/>
          <w:color w:val="auto"/>
          <w:sz w:val="72"/>
          <w:szCs w:val="72"/>
          <w:lang w:eastAsia="zh-CN"/>
        </w:rPr>
        <w:t>内</w:t>
      </w:r>
    </w:p>
    <w:p w14:paraId="2D54DD90">
      <w:pPr>
        <w:pStyle w:val="6"/>
        <w:snapToGrid w:val="0"/>
        <w:jc w:val="center"/>
        <w:rPr>
          <w:rFonts w:ascii="Arial" w:hAnsi="Arial" w:eastAsia="方正小标宋简体" w:cs="Arial"/>
          <w:color w:val="auto"/>
          <w:sz w:val="72"/>
          <w:szCs w:val="72"/>
        </w:rPr>
      </w:pPr>
    </w:p>
    <w:p w14:paraId="692D2DB5">
      <w:pPr>
        <w:pStyle w:val="6"/>
        <w:snapToGrid w:val="0"/>
        <w:jc w:val="center"/>
        <w:rPr>
          <w:rFonts w:hint="eastAsia" w:ascii="Arial" w:hAnsi="Arial" w:eastAsia="方正小标宋简体" w:cs="Arial"/>
          <w:color w:val="auto"/>
          <w:sz w:val="72"/>
          <w:szCs w:val="72"/>
          <w:lang w:eastAsia="zh-CN"/>
        </w:rPr>
      </w:pPr>
      <w:r>
        <w:rPr>
          <w:rFonts w:hint="eastAsia" w:ascii="Arial" w:hAnsi="Arial" w:eastAsia="方正小标宋简体" w:cs="Arial"/>
          <w:color w:val="auto"/>
          <w:sz w:val="72"/>
          <w:szCs w:val="72"/>
          <w:lang w:eastAsia="zh-CN"/>
        </w:rPr>
        <w:t>招</w:t>
      </w:r>
    </w:p>
    <w:p w14:paraId="0DADCB48">
      <w:pPr>
        <w:pStyle w:val="6"/>
        <w:snapToGrid w:val="0"/>
        <w:jc w:val="center"/>
        <w:rPr>
          <w:rFonts w:hint="eastAsia" w:ascii="Arial" w:hAnsi="Arial" w:eastAsia="方正小标宋简体" w:cs="Arial"/>
          <w:color w:val="auto"/>
          <w:sz w:val="72"/>
          <w:szCs w:val="72"/>
          <w:lang w:eastAsia="zh-CN"/>
        </w:rPr>
      </w:pPr>
    </w:p>
    <w:p w14:paraId="788AF8A4">
      <w:pPr>
        <w:pStyle w:val="6"/>
        <w:snapToGrid w:val="0"/>
        <w:jc w:val="center"/>
        <w:rPr>
          <w:rFonts w:ascii="Arial" w:hAnsi="Arial" w:eastAsia="方正小标宋简体" w:cs="Arial"/>
          <w:color w:val="auto"/>
          <w:sz w:val="72"/>
          <w:szCs w:val="72"/>
        </w:rPr>
      </w:pPr>
      <w:r>
        <w:rPr>
          <w:rFonts w:hint="eastAsia" w:ascii="Arial" w:hAnsi="Arial" w:eastAsia="方正小标宋简体" w:cs="Arial"/>
          <w:color w:val="auto"/>
          <w:sz w:val="72"/>
          <w:szCs w:val="72"/>
          <w:lang w:eastAsia="zh-CN"/>
        </w:rPr>
        <w:t>标</w:t>
      </w:r>
    </w:p>
    <w:p w14:paraId="21BB5C33">
      <w:pPr>
        <w:pStyle w:val="6"/>
        <w:snapToGrid w:val="0"/>
        <w:jc w:val="center"/>
        <w:rPr>
          <w:rFonts w:ascii="Arial" w:hAnsi="Arial" w:eastAsia="方正小标宋简体" w:cs="Arial"/>
          <w:color w:val="auto"/>
          <w:sz w:val="72"/>
          <w:szCs w:val="72"/>
        </w:rPr>
      </w:pPr>
    </w:p>
    <w:p w14:paraId="5F69EBCF">
      <w:pPr>
        <w:pStyle w:val="6"/>
        <w:snapToGrid w:val="0"/>
        <w:jc w:val="center"/>
        <w:rPr>
          <w:rFonts w:ascii="Arial" w:hAnsi="Arial" w:eastAsia="方正小标宋简体" w:cs="Arial"/>
          <w:color w:val="auto"/>
          <w:sz w:val="72"/>
          <w:szCs w:val="72"/>
        </w:rPr>
      </w:pPr>
      <w:r>
        <w:rPr>
          <w:rFonts w:ascii="Arial" w:hAnsi="Arial" w:eastAsia="方正小标宋简体" w:cs="Arial"/>
          <w:color w:val="auto"/>
          <w:sz w:val="72"/>
          <w:szCs w:val="72"/>
        </w:rPr>
        <w:t>文</w:t>
      </w:r>
    </w:p>
    <w:p w14:paraId="503B679C">
      <w:pPr>
        <w:pStyle w:val="6"/>
        <w:snapToGrid w:val="0"/>
        <w:jc w:val="center"/>
        <w:rPr>
          <w:rFonts w:ascii="Arial" w:hAnsi="Arial" w:eastAsia="方正小标宋简体" w:cs="Arial"/>
          <w:color w:val="auto"/>
          <w:sz w:val="72"/>
          <w:szCs w:val="72"/>
        </w:rPr>
      </w:pPr>
    </w:p>
    <w:p w14:paraId="2B2937B0">
      <w:pPr>
        <w:pStyle w:val="6"/>
        <w:snapToGrid w:val="0"/>
        <w:jc w:val="center"/>
        <w:rPr>
          <w:rFonts w:ascii="Arial" w:hAnsi="Arial" w:eastAsia="方正小标宋简体" w:cs="Arial"/>
          <w:color w:val="auto"/>
          <w:sz w:val="36"/>
          <w:szCs w:val="36"/>
        </w:rPr>
      </w:pPr>
      <w:r>
        <w:rPr>
          <w:rFonts w:ascii="Arial" w:hAnsi="Arial" w:eastAsia="方正小标宋简体" w:cs="Arial"/>
          <w:color w:val="auto"/>
          <w:sz w:val="72"/>
          <w:szCs w:val="72"/>
        </w:rPr>
        <w:t>件</w:t>
      </w:r>
    </w:p>
    <w:p w14:paraId="1E111AF1">
      <w:pPr>
        <w:pStyle w:val="6"/>
        <w:snapToGrid w:val="0"/>
        <w:jc w:val="center"/>
        <w:rPr>
          <w:rFonts w:ascii="Arial" w:hAnsi="Arial" w:cs="Arial"/>
          <w:color w:val="auto"/>
          <w:sz w:val="32"/>
          <w:szCs w:val="32"/>
        </w:rPr>
      </w:pPr>
    </w:p>
    <w:p w14:paraId="2E067A04">
      <w:pPr>
        <w:pStyle w:val="6"/>
        <w:snapToGrid w:val="0"/>
        <w:jc w:val="center"/>
        <w:rPr>
          <w:rFonts w:ascii="Arial" w:hAnsi="Arial" w:cs="Arial"/>
          <w:color w:val="auto"/>
          <w:sz w:val="32"/>
          <w:szCs w:val="32"/>
        </w:rPr>
      </w:pPr>
    </w:p>
    <w:p w14:paraId="20A09B03">
      <w:pPr>
        <w:pStyle w:val="6"/>
        <w:snapToGrid w:val="0"/>
        <w:jc w:val="center"/>
        <w:rPr>
          <w:rFonts w:ascii="Arial" w:hAnsi="Arial" w:cs="Arial"/>
          <w:color w:val="auto"/>
          <w:sz w:val="32"/>
          <w:szCs w:val="32"/>
        </w:rPr>
      </w:pPr>
    </w:p>
    <w:p w14:paraId="47A0C992">
      <w:pPr>
        <w:spacing w:line="360" w:lineRule="auto"/>
        <w:rPr>
          <w:rFonts w:hint="eastAsia"/>
          <w:bCs/>
          <w:color w:val="auto"/>
          <w:sz w:val="32"/>
          <w:szCs w:val="32"/>
        </w:rPr>
      </w:pPr>
    </w:p>
    <w:p w14:paraId="0ED340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eastAsia="宋体"/>
          <w:bCs/>
          <w:color w:val="auto"/>
          <w:sz w:val="32"/>
          <w:szCs w:val="32"/>
          <w:lang w:eastAsia="zh-CN"/>
        </w:rPr>
      </w:pPr>
      <w:r>
        <w:rPr>
          <w:rFonts w:hint="eastAsia"/>
          <w:bCs/>
          <w:color w:val="auto"/>
          <w:sz w:val="32"/>
          <w:szCs w:val="32"/>
        </w:rPr>
        <w:t>项目名称：</w:t>
      </w:r>
      <w:r>
        <w:rPr>
          <w:rFonts w:hint="eastAsia"/>
          <w:bCs/>
          <w:color w:val="auto"/>
          <w:sz w:val="32"/>
          <w:szCs w:val="32"/>
          <w:lang w:val="en-US" w:eastAsia="zh-CN"/>
        </w:rPr>
        <w:t>广州医科大学附属第一医院娄底医院交通标识牌</w:t>
      </w:r>
      <w:r>
        <w:rPr>
          <w:rFonts w:hint="eastAsia"/>
          <w:bCs/>
          <w:color w:val="auto"/>
          <w:sz w:val="32"/>
          <w:szCs w:val="32"/>
          <w:lang w:eastAsia="zh-CN"/>
        </w:rPr>
        <w:t>招标</w:t>
      </w:r>
      <w:r>
        <w:rPr>
          <w:rFonts w:hint="eastAsia"/>
          <w:bCs/>
          <w:color w:val="auto"/>
          <w:sz w:val="32"/>
          <w:szCs w:val="32"/>
        </w:rPr>
        <w:t>文件</w:t>
      </w:r>
      <w:r>
        <w:rPr>
          <w:rFonts w:hint="eastAsia"/>
          <w:bCs/>
          <w:color w:val="auto"/>
          <w:sz w:val="32"/>
          <w:szCs w:val="32"/>
          <w:lang w:eastAsia="zh-CN"/>
        </w:rPr>
        <w:t>院内招标</w:t>
      </w:r>
    </w:p>
    <w:p w14:paraId="0752DD91">
      <w:pPr>
        <w:spacing w:line="320" w:lineRule="exact"/>
        <w:jc w:val="left"/>
        <w:rPr>
          <w:color w:val="auto"/>
          <w:sz w:val="24"/>
        </w:rPr>
      </w:pPr>
    </w:p>
    <w:p w14:paraId="05F94062">
      <w:pPr>
        <w:spacing w:line="320" w:lineRule="exact"/>
        <w:ind w:firstLine="3520" w:firstLineChars="1100"/>
        <w:jc w:val="both"/>
        <w:rPr>
          <w:rFonts w:hint="eastAsia" w:ascii="宋体" w:hAnsi="宋体" w:cs="宋体"/>
          <w:bCs/>
          <w:color w:val="auto"/>
          <w:sz w:val="32"/>
          <w:szCs w:val="32"/>
        </w:rPr>
      </w:pPr>
      <w:r>
        <w:rPr>
          <w:rFonts w:hint="eastAsia" w:ascii="宋体" w:hAnsi="宋体" w:cs="宋体"/>
          <w:bCs/>
          <w:color w:val="auto"/>
          <w:sz w:val="32"/>
          <w:szCs w:val="32"/>
        </w:rPr>
        <w:t>二〇二</w:t>
      </w:r>
      <w:r>
        <w:rPr>
          <w:rFonts w:hint="eastAsia" w:ascii="宋体" w:hAnsi="宋体" w:cs="宋体"/>
          <w:bCs/>
          <w:color w:val="auto"/>
          <w:sz w:val="32"/>
          <w:szCs w:val="32"/>
          <w:lang w:val="en-US" w:eastAsia="zh-CN"/>
        </w:rPr>
        <w:t>六</w:t>
      </w:r>
      <w:r>
        <w:rPr>
          <w:rFonts w:hint="eastAsia" w:ascii="宋体" w:hAnsi="宋体" w:cs="宋体"/>
          <w:bCs/>
          <w:color w:val="auto"/>
          <w:sz w:val="32"/>
          <w:szCs w:val="32"/>
        </w:rPr>
        <w:t>年</w:t>
      </w:r>
      <w:r>
        <w:rPr>
          <w:rFonts w:hint="eastAsia" w:ascii="宋体" w:hAnsi="宋体" w:cs="宋体"/>
          <w:bCs/>
          <w:color w:val="auto"/>
          <w:sz w:val="32"/>
          <w:szCs w:val="32"/>
          <w:lang w:val="en-US" w:eastAsia="zh-CN"/>
        </w:rPr>
        <w:t>六</w:t>
      </w:r>
      <w:r>
        <w:rPr>
          <w:rFonts w:hint="eastAsia" w:ascii="宋体" w:hAnsi="宋体" w:cs="宋体"/>
          <w:bCs/>
          <w:color w:val="auto"/>
          <w:sz w:val="32"/>
          <w:szCs w:val="32"/>
        </w:rPr>
        <w:t>月</w:t>
      </w:r>
    </w:p>
    <w:p w14:paraId="02A5E9BC">
      <w:pPr>
        <w:rPr>
          <w:rFonts w:hint="eastAsia" w:ascii="宋体" w:hAnsi="宋体" w:cs="宋体"/>
          <w:color w:val="auto"/>
          <w:sz w:val="44"/>
          <w:szCs w:val="44"/>
          <w:lang w:val="en-US" w:eastAsia="zh-CN"/>
        </w:rPr>
      </w:pPr>
    </w:p>
    <w:p w14:paraId="46E662AB">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bookmarkEnd w:id="0"/>
    </w:p>
    <w:p w14:paraId="211D5364">
      <w:pPr>
        <w:pStyle w:val="6"/>
        <w:numPr>
          <w:ilvl w:val="0"/>
          <w:numId w:val="0"/>
        </w:numPr>
        <w:tabs>
          <w:tab w:val="left" w:pos="312"/>
        </w:tabs>
        <w:snapToGrid w:val="0"/>
        <w:spacing w:line="480" w:lineRule="auto"/>
        <w:ind w:firstLine="560" w:firstLineChars="200"/>
        <w:rPr>
          <w:rFonts w:hint="eastAsia"/>
          <w:bCs/>
          <w:color w:val="auto"/>
          <w:sz w:val="28"/>
          <w:szCs w:val="28"/>
        </w:rPr>
      </w:pPr>
      <w:r>
        <w:rPr>
          <w:rFonts w:hint="eastAsia" w:ascii="仿宋" w:hAnsi="仿宋" w:eastAsia="仿宋" w:cs="仿宋"/>
          <w:i w:val="0"/>
          <w:iCs w:val="0"/>
          <w:caps w:val="0"/>
          <w:color w:val="auto"/>
          <w:spacing w:val="0"/>
          <w:sz w:val="28"/>
          <w:szCs w:val="28"/>
          <w:shd w:val="clear" w:fill="FFFFFF"/>
          <w:lang w:eastAsia="zh-CN"/>
        </w:rPr>
        <w:t>广州医科大学附属第一医院娄底医院交通标识牌</w:t>
      </w:r>
      <w:r>
        <w:rPr>
          <w:rFonts w:hint="eastAsia"/>
          <w:bCs/>
          <w:color w:val="auto"/>
          <w:sz w:val="28"/>
          <w:szCs w:val="28"/>
          <w:lang w:val="en-US" w:eastAsia="zh-CN"/>
        </w:rPr>
        <w:t>进行挂网</w:t>
      </w:r>
      <w:r>
        <w:rPr>
          <w:rFonts w:hint="eastAsia"/>
          <w:bCs/>
          <w:color w:val="auto"/>
          <w:sz w:val="28"/>
          <w:szCs w:val="28"/>
        </w:rPr>
        <w:t>，公告如下：</w:t>
      </w:r>
    </w:p>
    <w:p w14:paraId="529A8506">
      <w:pPr>
        <w:pStyle w:val="6"/>
        <w:numPr>
          <w:ilvl w:val="0"/>
          <w:numId w:val="0"/>
        </w:numPr>
        <w:tabs>
          <w:tab w:val="left" w:pos="312"/>
        </w:tabs>
        <w:snapToGrid w:val="0"/>
        <w:spacing w:line="480" w:lineRule="auto"/>
        <w:ind w:firstLine="560" w:firstLineChars="200"/>
        <w:rPr>
          <w:rFonts w:hint="default" w:eastAsia="仿宋_GB2312"/>
          <w:bCs/>
          <w:color w:val="auto"/>
          <w:sz w:val="28"/>
          <w:szCs w:val="28"/>
          <w:lang w:val="en-US" w:eastAsia="zh-CN"/>
        </w:rPr>
      </w:pPr>
      <w:r>
        <w:rPr>
          <w:rFonts w:hint="eastAsia"/>
          <w:bCs/>
          <w:color w:val="auto"/>
          <w:sz w:val="28"/>
          <w:szCs w:val="28"/>
          <w:lang w:val="en-US" w:eastAsia="zh-CN"/>
        </w:rPr>
        <w:t>一、项目信息</w:t>
      </w:r>
    </w:p>
    <w:p w14:paraId="4CB04DB2">
      <w:pPr>
        <w:pStyle w:val="6"/>
        <w:numPr>
          <w:ilvl w:val="0"/>
          <w:numId w:val="0"/>
        </w:numPr>
        <w:tabs>
          <w:tab w:val="left" w:pos="312"/>
        </w:tabs>
        <w:snapToGrid w:val="0"/>
        <w:spacing w:line="480" w:lineRule="auto"/>
        <w:ind w:firstLine="560" w:firstLineChars="200"/>
        <w:rPr>
          <w:rFonts w:hint="default"/>
          <w:bCs/>
          <w:color w:val="auto"/>
          <w:sz w:val="28"/>
          <w:szCs w:val="28"/>
          <w:lang w:val="en-US" w:eastAsia="zh-CN"/>
        </w:rPr>
      </w:pPr>
      <w:r>
        <w:rPr>
          <w:rFonts w:hint="eastAsia"/>
          <w:b w:val="0"/>
          <w:bCs/>
          <w:color w:val="auto"/>
          <w:sz w:val="28"/>
          <w:szCs w:val="28"/>
          <w:lang w:val="en-US" w:eastAsia="zh-CN"/>
        </w:rPr>
        <w:t>项目名称：</w:t>
      </w:r>
      <w:r>
        <w:rPr>
          <w:rFonts w:hint="eastAsia" w:ascii="仿宋" w:hAnsi="仿宋" w:eastAsia="仿宋" w:cs="仿宋"/>
          <w:i w:val="0"/>
          <w:iCs w:val="0"/>
          <w:caps w:val="0"/>
          <w:color w:val="auto"/>
          <w:spacing w:val="0"/>
          <w:sz w:val="28"/>
          <w:szCs w:val="28"/>
          <w:shd w:val="clear" w:fill="FFFFFF"/>
          <w:lang w:eastAsia="zh-CN"/>
        </w:rPr>
        <w:t>广州医科大学附属第一医院娄底医院交通标识牌</w:t>
      </w:r>
    </w:p>
    <w:p w14:paraId="578DFB3B">
      <w:pPr>
        <w:pStyle w:val="6"/>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二、采购方式</w:t>
      </w:r>
    </w:p>
    <w:p w14:paraId="264727AD">
      <w:pPr>
        <w:pStyle w:val="6"/>
        <w:numPr>
          <w:ilvl w:val="0"/>
          <w:numId w:val="0"/>
        </w:numPr>
        <w:tabs>
          <w:tab w:val="left" w:pos="312"/>
        </w:tabs>
        <w:snapToGrid w:val="0"/>
        <w:spacing w:line="48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医院公开挂网，最低评标价法，在满足所有参数的条件下，报价最低者中标，如有多个并列最低价，则由并列最低价投标人再次报价，直至出现最低报价为止。</w:t>
      </w:r>
    </w:p>
    <w:p w14:paraId="2481ACB4">
      <w:pPr>
        <w:pStyle w:val="6"/>
        <w:numPr>
          <w:ilvl w:val="0"/>
          <w:numId w:val="1"/>
        </w:numPr>
        <w:tabs>
          <w:tab w:val="left" w:pos="312"/>
        </w:tabs>
        <w:snapToGrid w:val="0"/>
        <w:spacing w:line="480" w:lineRule="auto"/>
        <w:ind w:firstLine="560" w:firstLineChars="200"/>
        <w:rPr>
          <w:rFonts w:hint="eastAsia" w:ascii="仿宋" w:hAnsi="仿宋" w:eastAsia="仿宋" w:cs="仿宋"/>
          <w:color w:val="auto"/>
          <w:sz w:val="28"/>
          <w:szCs w:val="28"/>
        </w:rPr>
      </w:pPr>
      <w:r>
        <w:rPr>
          <w:rFonts w:hint="eastAsia"/>
          <w:bCs/>
          <w:color w:val="auto"/>
          <w:sz w:val="28"/>
          <w:szCs w:val="28"/>
          <w:lang w:val="en-US" w:eastAsia="zh-CN"/>
        </w:rPr>
        <w:t>投标人资格要求</w:t>
      </w:r>
    </w:p>
    <w:p w14:paraId="28EACE9B">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color w:val="auto"/>
          <w:sz w:val="28"/>
          <w:szCs w:val="28"/>
          <w:lang w:eastAsia="zh-CN"/>
        </w:rPr>
        <w:t>1.</w:t>
      </w:r>
      <w:r>
        <w:rPr>
          <w:rFonts w:hint="eastAsia" w:ascii="仿宋" w:hAnsi="仿宋" w:eastAsia="仿宋" w:cs="仿宋"/>
          <w:sz w:val="28"/>
          <w:szCs w:val="28"/>
        </w:rPr>
        <w:t xml:space="preserve">投标人基本资格条件：投标人必须是在中华人民共和国境内注册登记的法人、非法人组织或者自然人，且应当符合《政府采购法》第二十二条规定,即： </w:t>
      </w:r>
    </w:p>
    <w:p w14:paraId="16FB8C44">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（1）具有独立承担民事责任的能力；</w:t>
      </w:r>
    </w:p>
    <w:p w14:paraId="145B7DCE">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（2）具有良好的商业信誉和健全的财务会计制度；</w:t>
      </w:r>
    </w:p>
    <w:p w14:paraId="4CC8143F">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（3）具有履行合同所必需的设备和专业技术能力；</w:t>
      </w:r>
    </w:p>
    <w:p w14:paraId="6D5F3DF3">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（4）有依法缴纳税收和社会保障资金的良好记录；</w:t>
      </w:r>
    </w:p>
    <w:p w14:paraId="6745CDE8">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（5）参加政府采购活动前三年内，在经营活动中没有重大违法记录；</w:t>
      </w:r>
    </w:p>
    <w:p w14:paraId="2E0E570B">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（6）法律、行政法规规定的其他条件。</w:t>
      </w:r>
    </w:p>
    <w:p w14:paraId="7816F223">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、单位负责人为同一人或者存在直接控股、管理关系的不同投标人，不得</w:t>
      </w:r>
      <w:r>
        <w:rPr>
          <w:rFonts w:hint="eastAsia" w:ascii="仿宋" w:hAnsi="仿宋" w:eastAsia="仿宋" w:cs="仿宋"/>
          <w:color w:val="auto"/>
          <w:sz w:val="28"/>
          <w:szCs w:val="28"/>
        </w:rPr>
        <w:t>参加本项目同一合</w:t>
      </w:r>
      <w:r>
        <w:rPr>
          <w:rFonts w:hint="eastAsia" w:ascii="仿宋" w:hAnsi="仿宋" w:eastAsia="仿宋" w:cs="仿宋"/>
          <w:sz w:val="28"/>
          <w:szCs w:val="28"/>
        </w:rPr>
        <w:t>同项下的政府采购活动。</w:t>
      </w:r>
    </w:p>
    <w:p w14:paraId="28A92469">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、为本采购项目提供整体设计、规范编制或者项目管理、监理、检测等服务的，不得再参加本项目的其他招标采购活动。</w:t>
      </w:r>
    </w:p>
    <w:p w14:paraId="7E1DACEA">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、未被列入失信被执行人、重大税收违法案件当事人名单，未被列入政府采购严重违法失信行为记录名单。</w:t>
      </w:r>
    </w:p>
    <w:p w14:paraId="4D779DB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四、投标截止时间、开标时间及地点：</w:t>
      </w:r>
    </w:p>
    <w:p w14:paraId="396E2A4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1、报名方式及报名内容：包含但不限于将以下信息发至邮箱（28693680@QQ,COM）参与项目名称、公司名称、联系人、联系方式，公司相关资质等；</w:t>
      </w:r>
    </w:p>
    <w:p w14:paraId="3F6D496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2、报名截止时间：自本报名信息发布之日起5个工作日；</w:t>
      </w:r>
    </w:p>
    <w:p w14:paraId="2012B7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3、开标时间：202</w:t>
      </w:r>
      <w:r>
        <w:rPr>
          <w:rFonts w:hint="eastAsia"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年</w:t>
      </w:r>
      <w:r>
        <w:rPr>
          <w:rFonts w:hint="eastAsia" w:cs="仿宋_GB2312"/>
          <w:bCs/>
          <w:color w:val="auto"/>
          <w:kern w:val="0"/>
          <w:sz w:val="28"/>
          <w:szCs w:val="28"/>
          <w:lang w:val="en-US" w:eastAsia="zh-CN" w:bidi="ar-SA"/>
        </w:rPr>
        <w:t>7</w:t>
      </w:r>
      <w:r>
        <w:rPr>
          <w:rFonts w:hint="eastAsia" w:ascii="仿宋_GB2312" w:hAnsi="Times New Roman" w:eastAsia="仿宋_GB2312" w:cs="仿宋_GB2312"/>
          <w:bCs/>
          <w:color w:val="auto"/>
          <w:kern w:val="0"/>
          <w:sz w:val="28"/>
          <w:szCs w:val="28"/>
          <w:lang w:val="en-US" w:eastAsia="zh-CN" w:bidi="ar-SA"/>
        </w:rPr>
        <w:t>月</w:t>
      </w:r>
      <w:r>
        <w:rPr>
          <w:rFonts w:hint="eastAsia" w:cs="仿宋_GB2312"/>
          <w:bCs/>
          <w:color w:val="auto"/>
          <w:kern w:val="0"/>
          <w:sz w:val="28"/>
          <w:szCs w:val="28"/>
          <w:lang w:val="en-US" w:eastAsia="zh-CN" w:bidi="ar-SA"/>
        </w:rPr>
        <w:t>6</w:t>
      </w:r>
      <w:bookmarkStart w:id="5" w:name="_GoBack"/>
      <w:bookmarkEnd w:id="5"/>
      <w:r>
        <w:rPr>
          <w:rFonts w:hint="eastAsia" w:ascii="仿宋_GB2312" w:hAnsi="Times New Roman" w:eastAsia="仿宋_GB2312" w:cs="仿宋_GB2312"/>
          <w:bCs/>
          <w:color w:val="auto"/>
          <w:kern w:val="0"/>
          <w:sz w:val="28"/>
          <w:szCs w:val="28"/>
          <w:lang w:val="en-US" w:eastAsia="zh-CN" w:bidi="ar-SA"/>
        </w:rPr>
        <w:t>日</w:t>
      </w:r>
      <w:r>
        <w:rPr>
          <w:rFonts w:hint="eastAsia" w:cs="仿宋_GB2312"/>
          <w:bCs/>
          <w:color w:val="auto"/>
          <w:kern w:val="0"/>
          <w:sz w:val="28"/>
          <w:szCs w:val="28"/>
          <w:lang w:val="en-US" w:eastAsia="zh-CN" w:bidi="ar-SA"/>
        </w:rPr>
        <w:t>10:00</w:t>
      </w:r>
      <w:r>
        <w:rPr>
          <w:rFonts w:hint="eastAsia" w:ascii="仿宋_GB2312" w:hAnsi="Times New Roman" w:eastAsia="仿宋_GB2312" w:cs="仿宋_GB2312"/>
          <w:bCs/>
          <w:color w:val="auto"/>
          <w:kern w:val="0"/>
          <w:sz w:val="28"/>
          <w:szCs w:val="28"/>
          <w:lang w:val="en-US" w:eastAsia="zh-CN" w:bidi="ar-SA"/>
        </w:rPr>
        <w:t>；</w:t>
      </w:r>
    </w:p>
    <w:p w14:paraId="0F04DBBD">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4、开标地点;娄底市中心医院综合楼420室。</w:t>
      </w:r>
    </w:p>
    <w:p w14:paraId="76911C3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五、招标人地址和联系方法：</w:t>
      </w:r>
    </w:p>
    <w:p w14:paraId="0C02624E">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 w:hAnsi="仿宋" w:eastAsia="仿宋" w:cs="仿宋"/>
          <w:i w:val="0"/>
          <w:iCs w:val="0"/>
          <w:caps w:val="0"/>
          <w:color w:val="auto"/>
          <w:spacing w:val="0"/>
          <w:sz w:val="28"/>
          <w:szCs w:val="28"/>
          <w:shd w:val="clear" w:fill="FFFFFF"/>
          <w:lang w:eastAsia="zh-CN"/>
        </w:rPr>
      </w:pPr>
      <w:r>
        <w:rPr>
          <w:rFonts w:hint="eastAsia" w:ascii="仿宋_GB2312" w:hAnsi="Times New Roman" w:eastAsia="仿宋_GB2312" w:cs="仿宋_GB2312"/>
          <w:bCs/>
          <w:color w:val="auto"/>
          <w:kern w:val="0"/>
          <w:sz w:val="28"/>
          <w:szCs w:val="28"/>
          <w:lang w:val="en-US" w:eastAsia="zh-CN" w:bidi="ar-SA"/>
        </w:rPr>
        <w:t>1、招标人名称：</w:t>
      </w:r>
      <w:r>
        <w:rPr>
          <w:rFonts w:hint="eastAsia" w:ascii="仿宋" w:hAnsi="仿宋" w:eastAsia="仿宋" w:cs="仿宋"/>
          <w:i w:val="0"/>
          <w:iCs w:val="0"/>
          <w:caps w:val="0"/>
          <w:color w:val="auto"/>
          <w:spacing w:val="0"/>
          <w:sz w:val="28"/>
          <w:szCs w:val="28"/>
          <w:shd w:val="clear" w:fill="FFFFFF"/>
          <w:lang w:eastAsia="zh-CN"/>
        </w:rPr>
        <w:t>广州医科大学附属第一医院娄底医院</w:t>
      </w:r>
    </w:p>
    <w:p w14:paraId="22CFF10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2、联系人及联系方式：廖海星 15873871616</w:t>
      </w:r>
    </w:p>
    <w:p w14:paraId="5141471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3、招标人地址：娄底市新星南路5000号</w:t>
      </w:r>
    </w:p>
    <w:p w14:paraId="376A01D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六、投标须知</w:t>
      </w:r>
    </w:p>
    <w:p w14:paraId="2256C15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1、否决投标的情形：</w:t>
      </w:r>
    </w:p>
    <w:p w14:paraId="00C887C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1.1、投标人以他人名义投标、串通投标、以行贿手段谋取中标的；</w:t>
      </w:r>
    </w:p>
    <w:p w14:paraId="3266623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1.2、资格评审时，投标人资格条件不符合国家有关规定或者招标文件要求的，或者拒不按照要求对投标文件进行澄清、说明或补正，或者其说明补正无法证明其为合格投标人的；</w:t>
      </w:r>
    </w:p>
    <w:p w14:paraId="02DB57C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1.3、评标委员会认定投标人以低于成本报价竞标的；</w:t>
      </w:r>
    </w:p>
    <w:p w14:paraId="12A7472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1.4、投标人未按照要求出席开标会的；</w:t>
      </w:r>
    </w:p>
    <w:p w14:paraId="43B3A0F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1.5、投标报价有错误的，评标委员会将要求投标人作出书面澄清说明和确认，投标人拒不作出澄清说明和确认的；</w:t>
      </w:r>
    </w:p>
    <w:p w14:paraId="322FAE9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1.6、投标文件存在弄虚作假或者隐瞒事实，或者未按照招标文件要求如实提供有关情况和文件，以及证明资料且对投标人有利的，应当否决其投标。被列为中标候选人的，应当取消其中标候选人资格。</w:t>
      </w:r>
    </w:p>
    <w:p w14:paraId="357C720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2、有下列情形之一的，招标人将重新招标：</w:t>
      </w:r>
    </w:p>
    <w:p w14:paraId="58B98DE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2.1、投标截止时间止，投标人少于3家的；</w:t>
      </w:r>
    </w:p>
    <w:p w14:paraId="71BCFD3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2.2、经评标委员会评审后，符合资格审查的投标人少于3家的。</w:t>
      </w:r>
    </w:p>
    <w:p w14:paraId="573EED2D">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bCs/>
          <w:color w:val="auto"/>
          <w:sz w:val="28"/>
          <w:szCs w:val="28"/>
          <w:lang w:val="en-US" w:eastAsia="zh-CN"/>
        </w:rPr>
      </w:pPr>
      <w:r>
        <w:rPr>
          <w:rFonts w:hint="eastAsia" w:ascii="仿宋_GB2312" w:hAnsi="Times New Roman" w:eastAsia="仿宋_GB2312" w:cs="仿宋_GB2312"/>
          <w:bCs/>
          <w:color w:val="auto"/>
          <w:kern w:val="0"/>
          <w:sz w:val="28"/>
          <w:szCs w:val="28"/>
          <w:lang w:val="en-US" w:eastAsia="zh-CN" w:bidi="ar-SA"/>
        </w:rPr>
        <w:t>3、投标单位必须提供纸质投标文件及电子版投标文件（PDF格式签字盖章版本）</w:t>
      </w:r>
    </w:p>
    <w:p w14:paraId="2AF177D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14:paraId="793AD0A9">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14:paraId="0BDF83F3">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626BB1E6">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一、采购清单、采购项目交付或者实施的时间和地点</w:t>
      </w:r>
    </w:p>
    <w:p w14:paraId="374A3519">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1.采购项目</w:t>
      </w:r>
    </w:p>
    <w:tbl>
      <w:tblPr>
        <w:tblStyle w:val="13"/>
        <w:tblW w:w="8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6"/>
        <w:gridCol w:w="5298"/>
        <w:gridCol w:w="2164"/>
      </w:tblGrid>
      <w:tr w14:paraId="01CF1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456" w:type="dxa"/>
            <w:tcBorders>
              <w:top w:val="single" w:color="auto" w:sz="4" w:space="0"/>
              <w:left w:val="single" w:color="auto" w:sz="4" w:space="0"/>
              <w:bottom w:val="single" w:color="auto" w:sz="4" w:space="0"/>
              <w:right w:val="single" w:color="auto" w:sz="4" w:space="0"/>
            </w:tcBorders>
            <w:vAlign w:val="center"/>
          </w:tcPr>
          <w:p w14:paraId="25774FB3">
            <w:pPr>
              <w:spacing w:line="360" w:lineRule="auto"/>
              <w:jc w:val="center"/>
              <w:rPr>
                <w:rFonts w:ascii="仿宋_GB2312" w:eastAsia="仿宋_GB2312" w:cs="仿宋_GB2312"/>
                <w:bCs/>
                <w:color w:val="auto"/>
                <w:kern w:val="0"/>
                <w:sz w:val="24"/>
              </w:rPr>
            </w:pPr>
            <w:r>
              <w:rPr>
                <w:rFonts w:ascii="仿宋_GB2312" w:eastAsia="仿宋_GB2312" w:cs="仿宋_GB2312"/>
                <w:bCs/>
                <w:color w:val="auto"/>
                <w:kern w:val="0"/>
                <w:sz w:val="24"/>
              </w:rPr>
              <w:t>序号</w:t>
            </w:r>
          </w:p>
        </w:tc>
        <w:tc>
          <w:tcPr>
            <w:tcW w:w="5298" w:type="dxa"/>
            <w:tcBorders>
              <w:top w:val="single" w:color="auto" w:sz="4" w:space="0"/>
              <w:left w:val="single" w:color="auto" w:sz="4" w:space="0"/>
              <w:bottom w:val="single" w:color="auto" w:sz="4" w:space="0"/>
              <w:right w:val="single" w:color="auto" w:sz="4" w:space="0"/>
            </w:tcBorders>
            <w:vAlign w:val="center"/>
          </w:tcPr>
          <w:p w14:paraId="3AAD0101">
            <w:pPr>
              <w:spacing w:line="360" w:lineRule="auto"/>
              <w:jc w:val="center"/>
              <w:rPr>
                <w:rFonts w:ascii="仿宋_GB2312" w:eastAsia="仿宋_GB2312" w:cs="仿宋_GB2312"/>
                <w:bCs/>
                <w:color w:val="auto"/>
                <w:kern w:val="0"/>
                <w:sz w:val="24"/>
              </w:rPr>
            </w:pPr>
            <w:r>
              <w:rPr>
                <w:rFonts w:ascii="仿宋_GB2312" w:eastAsia="仿宋_GB2312" w:cs="仿宋_GB2312"/>
                <w:bCs/>
                <w:color w:val="auto"/>
                <w:kern w:val="0"/>
                <w:sz w:val="24"/>
              </w:rPr>
              <w:t>项目名称</w:t>
            </w:r>
          </w:p>
        </w:tc>
        <w:tc>
          <w:tcPr>
            <w:tcW w:w="2164" w:type="dxa"/>
            <w:tcBorders>
              <w:top w:val="single" w:color="auto" w:sz="4" w:space="0"/>
              <w:left w:val="single" w:color="auto" w:sz="4" w:space="0"/>
              <w:bottom w:val="single" w:color="auto" w:sz="4" w:space="0"/>
              <w:right w:val="single" w:color="auto" w:sz="4" w:space="0"/>
            </w:tcBorders>
            <w:vAlign w:val="center"/>
          </w:tcPr>
          <w:p w14:paraId="55AB8912">
            <w:pPr>
              <w:spacing w:line="360" w:lineRule="auto"/>
              <w:jc w:val="center"/>
              <w:rPr>
                <w:rFonts w:ascii="仿宋_GB2312" w:eastAsia="仿宋_GB2312" w:cs="仿宋_GB2312"/>
                <w:bCs/>
                <w:color w:val="auto"/>
                <w:kern w:val="0"/>
                <w:sz w:val="24"/>
              </w:rPr>
            </w:pPr>
            <w:r>
              <w:rPr>
                <w:rFonts w:hint="eastAsia" w:ascii="仿宋_GB2312" w:eastAsia="仿宋_GB2312" w:cs="仿宋_GB2312"/>
                <w:bCs/>
                <w:color w:val="auto"/>
                <w:kern w:val="0"/>
                <w:sz w:val="24"/>
              </w:rPr>
              <w:t>总预算</w:t>
            </w:r>
          </w:p>
        </w:tc>
      </w:tr>
      <w:tr w14:paraId="71CF0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1456" w:type="dxa"/>
            <w:tcBorders>
              <w:top w:val="single" w:color="auto" w:sz="4" w:space="0"/>
              <w:left w:val="single" w:color="auto" w:sz="4" w:space="0"/>
              <w:bottom w:val="single" w:color="auto" w:sz="4" w:space="0"/>
              <w:right w:val="single" w:color="auto" w:sz="4" w:space="0"/>
            </w:tcBorders>
            <w:vAlign w:val="center"/>
          </w:tcPr>
          <w:p w14:paraId="2E86F615">
            <w:pPr>
              <w:spacing w:line="360" w:lineRule="auto"/>
              <w:jc w:val="center"/>
              <w:rPr>
                <w:rFonts w:ascii="仿宋_GB2312" w:eastAsia="仿宋_GB2312" w:cs="仿宋_GB2312"/>
                <w:bCs/>
                <w:color w:val="auto"/>
                <w:kern w:val="0"/>
                <w:sz w:val="24"/>
              </w:rPr>
            </w:pPr>
            <w:r>
              <w:rPr>
                <w:rFonts w:ascii="仿宋_GB2312" w:eastAsia="仿宋_GB2312" w:cs="仿宋_GB2312"/>
                <w:bCs/>
                <w:color w:val="auto"/>
                <w:kern w:val="0"/>
                <w:sz w:val="24"/>
              </w:rPr>
              <w:t>1</w:t>
            </w:r>
          </w:p>
        </w:tc>
        <w:tc>
          <w:tcPr>
            <w:tcW w:w="5298" w:type="dxa"/>
            <w:tcBorders>
              <w:top w:val="single" w:color="auto" w:sz="4" w:space="0"/>
              <w:left w:val="single" w:color="auto" w:sz="4" w:space="0"/>
              <w:bottom w:val="single" w:color="auto" w:sz="4" w:space="0"/>
              <w:right w:val="single" w:color="auto" w:sz="4" w:space="0"/>
            </w:tcBorders>
            <w:vAlign w:val="center"/>
          </w:tcPr>
          <w:p w14:paraId="64F64F94">
            <w:pPr>
              <w:spacing w:line="360" w:lineRule="auto"/>
              <w:jc w:val="center"/>
              <w:rPr>
                <w:rFonts w:hint="eastAsia" w:ascii="仿宋_GB2312" w:eastAsia="宋体" w:cs="仿宋_GB2312"/>
                <w:bCs/>
                <w:color w:val="auto"/>
                <w:kern w:val="0"/>
                <w:sz w:val="24"/>
                <w:lang w:val="en-US" w:eastAsia="zh-CN"/>
              </w:rPr>
            </w:pPr>
            <w:r>
              <w:rPr>
                <w:rFonts w:hint="eastAsia" w:ascii="仿宋" w:hAnsi="仿宋" w:eastAsia="仿宋" w:cs="仿宋"/>
                <w:color w:val="auto"/>
                <w:sz w:val="24"/>
                <w:szCs w:val="24"/>
                <w:vertAlign w:val="baseline"/>
                <w:lang w:val="en-US" w:eastAsia="zh-CN"/>
              </w:rPr>
              <w:t>广州医科大学附属第一医院娄底医院交通标识牌</w:t>
            </w:r>
          </w:p>
        </w:tc>
        <w:tc>
          <w:tcPr>
            <w:tcW w:w="2164" w:type="dxa"/>
            <w:tcBorders>
              <w:top w:val="single" w:color="auto" w:sz="4" w:space="0"/>
              <w:left w:val="single" w:color="auto" w:sz="4" w:space="0"/>
              <w:bottom w:val="single" w:color="auto" w:sz="4" w:space="0"/>
              <w:right w:val="single" w:color="auto" w:sz="4" w:space="0"/>
            </w:tcBorders>
            <w:vAlign w:val="center"/>
          </w:tcPr>
          <w:p w14:paraId="60729B6A">
            <w:pPr>
              <w:spacing w:line="360" w:lineRule="auto"/>
              <w:jc w:val="center"/>
              <w:rPr>
                <w:rFonts w:hint="default" w:ascii="仿宋_GB2312" w:eastAsia="仿宋_GB2312" w:cs="仿宋_GB2312"/>
                <w:bCs/>
                <w:color w:val="auto"/>
                <w:kern w:val="0"/>
                <w:sz w:val="24"/>
                <w:lang w:val="en-US" w:eastAsia="zh-CN"/>
              </w:rPr>
            </w:pPr>
            <w:r>
              <w:rPr>
                <w:rFonts w:hint="eastAsia" w:ascii="仿宋_GB2312" w:eastAsia="仿宋_GB2312" w:cs="仿宋_GB2312"/>
                <w:bCs/>
                <w:color w:val="auto"/>
                <w:kern w:val="0"/>
                <w:sz w:val="24"/>
                <w:lang w:val="en-US" w:eastAsia="zh-CN"/>
              </w:rPr>
              <w:t>200000</w:t>
            </w:r>
          </w:p>
        </w:tc>
      </w:tr>
    </w:tbl>
    <w:p w14:paraId="744027C5">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2、服务时间：</w:t>
      </w:r>
      <w:r>
        <w:rPr>
          <w:rFonts w:hint="eastAsia" w:ascii="仿宋_GB2312" w:eastAsia="仿宋_GB2312" w:cs="仿宋_GB2312"/>
          <w:bCs/>
          <w:color w:val="auto"/>
          <w:kern w:val="0"/>
          <w:sz w:val="28"/>
          <w:szCs w:val="28"/>
          <w:lang w:val="en-US" w:eastAsia="zh-CN"/>
        </w:rPr>
        <w:t>详见合同约定</w:t>
      </w:r>
      <w:r>
        <w:rPr>
          <w:rFonts w:hint="eastAsia" w:ascii="仿宋_GB2312" w:eastAsia="仿宋_GB2312" w:cs="仿宋_GB2312"/>
          <w:bCs/>
          <w:color w:val="auto"/>
          <w:kern w:val="0"/>
          <w:sz w:val="28"/>
          <w:szCs w:val="28"/>
        </w:rPr>
        <w:t>。</w:t>
      </w:r>
    </w:p>
    <w:p w14:paraId="6D637F87">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3、服务地点：</w:t>
      </w:r>
      <w:r>
        <w:rPr>
          <w:rFonts w:hint="eastAsia" w:ascii="仿宋" w:hAnsi="仿宋" w:eastAsia="仿宋" w:cs="仿宋"/>
          <w:i w:val="0"/>
          <w:iCs w:val="0"/>
          <w:caps w:val="0"/>
          <w:color w:val="auto"/>
          <w:spacing w:val="0"/>
          <w:sz w:val="28"/>
          <w:szCs w:val="28"/>
          <w:shd w:val="clear" w:fill="FFFFFF"/>
          <w:lang w:eastAsia="zh-CN"/>
        </w:rPr>
        <w:t>广州医科大学附属第一医院娄底医院。</w:t>
      </w:r>
    </w:p>
    <w:p w14:paraId="4D4D8E51">
      <w:pPr>
        <w:spacing w:line="360" w:lineRule="auto"/>
        <w:ind w:firstLine="560" w:firstLineChars="200"/>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二、项目内容及要求，以下内容均需满足，不满足的视为无效投标</w:t>
      </w:r>
    </w:p>
    <w:p w14:paraId="0D337104">
      <w:pPr>
        <w:keepNext w:val="0"/>
        <w:keepLines w:val="0"/>
        <w:widowControl/>
        <w:suppressLineNumbers w:val="0"/>
        <w:ind w:firstLine="558" w:firstLineChars="200"/>
        <w:jc w:val="left"/>
        <w:rPr>
          <w:rFonts w:hint="eastAsia" w:ascii="仿宋" w:hAnsi="仿宋" w:eastAsia="仿宋" w:cs="仿宋"/>
          <w:b/>
          <w:bCs/>
          <w:color w:val="auto"/>
          <w:spacing w:val="-1"/>
          <w:kern w:val="2"/>
          <w:sz w:val="28"/>
          <w:szCs w:val="28"/>
          <w:lang w:val="en-US" w:eastAsia="en-US" w:bidi="ar-SA"/>
        </w:rPr>
      </w:pPr>
      <w:r>
        <w:rPr>
          <w:rFonts w:hint="eastAsia" w:ascii="仿宋" w:hAnsi="仿宋" w:eastAsia="仿宋" w:cs="仿宋"/>
          <w:b/>
          <w:bCs/>
          <w:color w:val="auto"/>
          <w:spacing w:val="-1"/>
          <w:kern w:val="2"/>
          <w:sz w:val="28"/>
          <w:szCs w:val="28"/>
          <w:lang w:val="en-US" w:eastAsia="zh-CN" w:bidi="ar-SA"/>
        </w:rPr>
        <w:t>（一）</w:t>
      </w:r>
      <w:r>
        <w:rPr>
          <w:rFonts w:ascii="仿宋" w:hAnsi="仿宋" w:eastAsia="仿宋" w:cs="仿宋"/>
          <w:b/>
          <w:bCs/>
          <w:color w:val="auto"/>
          <w:spacing w:val="-1"/>
          <w:kern w:val="2"/>
          <w:sz w:val="28"/>
          <w:szCs w:val="28"/>
          <w:lang w:val="en-US" w:eastAsia="zh-CN" w:bidi="ar-SA"/>
        </w:rPr>
        <w:t>适用标准与强制技术规范</w:t>
      </w:r>
    </w:p>
    <w:p w14:paraId="5B659C63">
      <w:pPr>
        <w:pStyle w:val="7"/>
        <w:spacing w:line="360" w:lineRule="auto"/>
        <w:ind w:left="0" w:right="0" w:firstLine="556" w:firstLineChars="200"/>
        <w:rPr>
          <w:color w:val="auto"/>
          <w:spacing w:val="-1"/>
        </w:rPr>
      </w:pPr>
      <w:r>
        <w:rPr>
          <w:color w:val="auto"/>
          <w:spacing w:val="-1"/>
        </w:rPr>
        <w:t>1、《中华人民共和国道路交通安全法》</w:t>
      </w:r>
    </w:p>
    <w:p w14:paraId="44DEDA90">
      <w:pPr>
        <w:pStyle w:val="7"/>
        <w:spacing w:line="360" w:lineRule="auto"/>
        <w:ind w:left="0" w:right="0" w:firstLine="556" w:firstLineChars="200"/>
        <w:rPr>
          <w:color w:val="auto"/>
          <w:spacing w:val="-1"/>
        </w:rPr>
      </w:pPr>
      <w:r>
        <w:rPr>
          <w:color w:val="auto"/>
          <w:spacing w:val="-1"/>
        </w:rPr>
        <w:t>2、《城市道路交通标志和标线设置规范》(GB51038-2015)</w:t>
      </w:r>
    </w:p>
    <w:p w14:paraId="41E13E2D">
      <w:pPr>
        <w:pStyle w:val="7"/>
        <w:spacing w:line="360" w:lineRule="auto"/>
        <w:ind w:left="0" w:right="0" w:firstLine="556" w:firstLineChars="200"/>
        <w:rPr>
          <w:color w:val="auto"/>
          <w:spacing w:val="-1"/>
        </w:rPr>
      </w:pPr>
      <w:r>
        <w:rPr>
          <w:color w:val="auto"/>
          <w:spacing w:val="-1"/>
        </w:rPr>
        <w:t>3、《城市道路交通设施设计规范》</w:t>
      </w:r>
      <w:r>
        <w:rPr>
          <w:rFonts w:hint="eastAsia"/>
          <w:color w:val="auto"/>
          <w:spacing w:val="-1"/>
          <w:lang w:eastAsia="zh-CN"/>
        </w:rPr>
        <w:t>（</w:t>
      </w:r>
      <w:r>
        <w:rPr>
          <w:color w:val="auto"/>
          <w:spacing w:val="-1"/>
        </w:rPr>
        <w:t>GB50688-2011)</w:t>
      </w:r>
    </w:p>
    <w:p w14:paraId="0881B696">
      <w:pPr>
        <w:pStyle w:val="7"/>
        <w:spacing w:line="360" w:lineRule="auto"/>
        <w:ind w:left="0" w:right="0" w:firstLine="556" w:firstLineChars="200"/>
        <w:rPr>
          <w:color w:val="auto"/>
          <w:spacing w:val="-1"/>
        </w:rPr>
      </w:pPr>
      <w:r>
        <w:rPr>
          <w:color w:val="auto"/>
          <w:spacing w:val="-1"/>
        </w:rPr>
        <w:t>4、《道路交通标志和标线》</w:t>
      </w:r>
      <w:r>
        <w:rPr>
          <w:rFonts w:hint="eastAsia"/>
          <w:color w:val="auto"/>
          <w:spacing w:val="-1"/>
          <w:lang w:eastAsia="zh-CN"/>
        </w:rPr>
        <w:t>（</w:t>
      </w:r>
      <w:r>
        <w:rPr>
          <w:color w:val="auto"/>
          <w:spacing w:val="-1"/>
        </w:rPr>
        <w:t>GB5768-2022)</w:t>
      </w:r>
    </w:p>
    <w:p w14:paraId="59682146">
      <w:pPr>
        <w:pStyle w:val="7"/>
        <w:spacing w:line="360" w:lineRule="auto"/>
        <w:ind w:left="0" w:right="0" w:firstLine="556" w:firstLineChars="200"/>
        <w:rPr>
          <w:color w:val="auto"/>
          <w:spacing w:val="-1"/>
        </w:rPr>
      </w:pPr>
      <w:r>
        <w:rPr>
          <w:color w:val="auto"/>
          <w:spacing w:val="-1"/>
        </w:rPr>
        <w:t>5、中华人民共和国交通</w:t>
      </w:r>
      <w:r>
        <w:rPr>
          <w:rFonts w:hint="eastAsia"/>
          <w:color w:val="auto"/>
          <w:spacing w:val="-1"/>
          <w:lang w:eastAsia="zh-CN"/>
        </w:rPr>
        <w:t>运输</w:t>
      </w:r>
      <w:r>
        <w:rPr>
          <w:color w:val="auto"/>
          <w:spacing w:val="-1"/>
        </w:rPr>
        <w:t>部部颁标准 (JTJ101-97)</w:t>
      </w:r>
    </w:p>
    <w:p w14:paraId="3EA01F8B">
      <w:pPr>
        <w:pStyle w:val="7"/>
        <w:spacing w:line="360" w:lineRule="auto"/>
        <w:ind w:left="0" w:right="0" w:firstLine="556" w:firstLineChars="200"/>
        <w:rPr>
          <w:color w:val="auto"/>
          <w:spacing w:val="-1"/>
        </w:rPr>
      </w:pPr>
      <w:r>
        <w:rPr>
          <w:color w:val="auto"/>
          <w:spacing w:val="-1"/>
        </w:rPr>
        <w:t>6、《道路交通反光膜》(GB/T18833-2012)</w:t>
      </w:r>
    </w:p>
    <w:p w14:paraId="1B1A3C3C">
      <w:pPr>
        <w:pStyle w:val="7"/>
        <w:spacing w:line="360" w:lineRule="auto"/>
        <w:ind w:left="0" w:right="0" w:firstLine="556" w:firstLineChars="200"/>
        <w:rPr>
          <w:color w:val="auto"/>
          <w:spacing w:val="-1"/>
        </w:rPr>
      </w:pPr>
      <w:r>
        <w:rPr>
          <w:color w:val="auto"/>
          <w:spacing w:val="-1"/>
        </w:rPr>
        <w:t>7、《突起路标》(GB/T24725-2024)</w:t>
      </w:r>
    </w:p>
    <w:p w14:paraId="26102C22">
      <w:pPr>
        <w:pStyle w:val="7"/>
        <w:spacing w:line="360" w:lineRule="auto"/>
        <w:ind w:left="0" w:right="0" w:firstLine="556" w:firstLineChars="200"/>
        <w:rPr>
          <w:color w:val="auto"/>
          <w:spacing w:val="-1"/>
        </w:rPr>
      </w:pPr>
      <w:r>
        <w:rPr>
          <w:color w:val="auto"/>
          <w:spacing w:val="-1"/>
        </w:rPr>
        <w:t>8、《湘2015SZ104 湖南省工程建设标准设计图集城市标识》-2016年版</w:t>
      </w:r>
    </w:p>
    <w:p w14:paraId="15F1F3D2">
      <w:pPr>
        <w:keepNext w:val="0"/>
        <w:keepLines w:val="0"/>
        <w:widowControl/>
        <w:suppressLineNumbers w:val="0"/>
        <w:ind w:firstLine="558" w:firstLineChars="200"/>
        <w:jc w:val="left"/>
        <w:rPr>
          <w:rFonts w:ascii="仿宋" w:hAnsi="仿宋" w:eastAsia="仿宋" w:cs="仿宋"/>
          <w:b/>
          <w:bCs/>
          <w:color w:val="auto"/>
          <w:spacing w:val="-1"/>
          <w:kern w:val="2"/>
          <w:sz w:val="28"/>
          <w:szCs w:val="28"/>
          <w:lang w:val="en-US" w:eastAsia="en-US" w:bidi="ar-SA"/>
        </w:rPr>
      </w:pPr>
      <w:r>
        <w:rPr>
          <w:rFonts w:hint="eastAsia" w:ascii="仿宋" w:hAnsi="仿宋" w:eastAsia="仿宋" w:cs="仿宋"/>
          <w:b/>
          <w:bCs/>
          <w:color w:val="auto"/>
          <w:spacing w:val="-1"/>
          <w:kern w:val="2"/>
          <w:sz w:val="28"/>
          <w:szCs w:val="28"/>
          <w:lang w:val="en-US" w:eastAsia="zh-CN" w:bidi="ar-SA"/>
        </w:rPr>
        <w:t>（二）</w:t>
      </w:r>
      <w:r>
        <w:rPr>
          <w:rFonts w:ascii="仿宋" w:hAnsi="仿宋" w:eastAsia="仿宋" w:cs="仿宋"/>
          <w:b/>
          <w:bCs/>
          <w:color w:val="auto"/>
          <w:spacing w:val="-1"/>
          <w:kern w:val="2"/>
          <w:sz w:val="28"/>
          <w:szCs w:val="28"/>
          <w:lang w:val="en-US" w:eastAsia="zh-CN" w:bidi="ar-SA"/>
        </w:rPr>
        <w:t>采购内容及实施范围</w:t>
      </w:r>
    </w:p>
    <w:p w14:paraId="4339CD97">
      <w:pPr>
        <w:pStyle w:val="7"/>
        <w:spacing w:line="360" w:lineRule="auto"/>
        <w:ind w:left="0" w:right="0" w:firstLine="556" w:firstLineChars="200"/>
        <w:rPr>
          <w:rFonts w:ascii="仿宋" w:hAnsi="仿宋" w:eastAsia="仿宋" w:cs="仿宋"/>
          <w:color w:val="auto"/>
          <w:spacing w:val="-1"/>
          <w:kern w:val="2"/>
          <w:sz w:val="28"/>
          <w:szCs w:val="28"/>
          <w:lang w:val="en-US" w:eastAsia="en-US" w:bidi="ar-SA"/>
        </w:rPr>
      </w:pPr>
      <w:r>
        <w:rPr>
          <w:rFonts w:ascii="仿宋" w:hAnsi="仿宋" w:eastAsia="仿宋" w:cs="仿宋"/>
          <w:color w:val="auto"/>
          <w:spacing w:val="-1"/>
          <w:kern w:val="2"/>
          <w:sz w:val="28"/>
          <w:szCs w:val="28"/>
          <w:lang w:val="en-US" w:eastAsia="en-US" w:bidi="ar-SA"/>
        </w:rPr>
        <w:t>结合本</w:t>
      </w:r>
      <w:r>
        <w:rPr>
          <w:rFonts w:hint="eastAsia" w:ascii="仿宋" w:hAnsi="仿宋" w:eastAsia="仿宋" w:cs="仿宋"/>
          <w:color w:val="auto"/>
          <w:spacing w:val="-1"/>
          <w:kern w:val="2"/>
          <w:sz w:val="28"/>
          <w:szCs w:val="28"/>
          <w:lang w:val="en-US" w:eastAsia="zh-CN" w:bidi="ar-SA"/>
        </w:rPr>
        <w:t>项目</w:t>
      </w:r>
      <w:r>
        <w:rPr>
          <w:rFonts w:ascii="仿宋" w:hAnsi="仿宋" w:eastAsia="仿宋" w:cs="仿宋"/>
          <w:color w:val="auto"/>
          <w:spacing w:val="-1"/>
          <w:kern w:val="2"/>
          <w:sz w:val="28"/>
          <w:szCs w:val="28"/>
          <w:lang w:val="en-US" w:eastAsia="en-US" w:bidi="ar-SA"/>
        </w:rPr>
        <w:t>的特点，本</w:t>
      </w:r>
      <w:r>
        <w:rPr>
          <w:rFonts w:hint="eastAsia" w:ascii="仿宋" w:hAnsi="仿宋" w:eastAsia="仿宋" w:cs="仿宋"/>
          <w:color w:val="auto"/>
          <w:spacing w:val="-1"/>
          <w:kern w:val="2"/>
          <w:sz w:val="28"/>
          <w:szCs w:val="28"/>
          <w:lang w:val="en-US" w:eastAsia="zh-CN" w:bidi="ar-SA"/>
        </w:rPr>
        <w:t>项目</w:t>
      </w:r>
      <w:r>
        <w:rPr>
          <w:rFonts w:ascii="仿宋" w:hAnsi="仿宋" w:eastAsia="仿宋" w:cs="仿宋"/>
          <w:color w:val="auto"/>
          <w:spacing w:val="-1"/>
          <w:kern w:val="2"/>
          <w:sz w:val="28"/>
          <w:szCs w:val="28"/>
          <w:lang w:val="en-US" w:eastAsia="en-US" w:bidi="ar-SA"/>
        </w:rPr>
        <w:t>系统包括：标志系统</w:t>
      </w:r>
    </w:p>
    <w:p w14:paraId="5F5982FA">
      <w:pPr>
        <w:keepNext w:val="0"/>
        <w:keepLines w:val="0"/>
        <w:widowControl/>
        <w:suppressLineNumbers w:val="0"/>
        <w:ind w:firstLine="558" w:firstLineChars="200"/>
        <w:jc w:val="left"/>
        <w:rPr>
          <w:rFonts w:ascii="仿宋" w:hAnsi="仿宋" w:eastAsia="仿宋" w:cs="仿宋"/>
          <w:b/>
          <w:bCs/>
          <w:color w:val="auto"/>
          <w:spacing w:val="-1"/>
          <w:kern w:val="2"/>
          <w:sz w:val="28"/>
          <w:szCs w:val="28"/>
          <w:lang w:val="en-US" w:eastAsia="en-US" w:bidi="ar-SA"/>
        </w:rPr>
      </w:pPr>
      <w:r>
        <w:rPr>
          <w:rFonts w:hint="eastAsia" w:ascii="仿宋" w:hAnsi="仿宋" w:eastAsia="仿宋" w:cs="仿宋"/>
          <w:b/>
          <w:bCs/>
          <w:color w:val="auto"/>
          <w:spacing w:val="-1"/>
          <w:kern w:val="2"/>
          <w:sz w:val="28"/>
          <w:szCs w:val="28"/>
          <w:lang w:val="en-US" w:eastAsia="zh-CN" w:bidi="ar-SA"/>
        </w:rPr>
        <w:t>（三）</w:t>
      </w:r>
      <w:r>
        <w:rPr>
          <w:rFonts w:ascii="仿宋" w:hAnsi="仿宋" w:eastAsia="仿宋" w:cs="仿宋"/>
          <w:b/>
          <w:bCs/>
          <w:color w:val="auto"/>
          <w:spacing w:val="-1"/>
          <w:kern w:val="2"/>
          <w:sz w:val="28"/>
          <w:szCs w:val="28"/>
          <w:lang w:val="en-US" w:eastAsia="zh-CN" w:bidi="ar-SA"/>
        </w:rPr>
        <w:t>总体技术要求</w:t>
      </w:r>
    </w:p>
    <w:p w14:paraId="4263E26F">
      <w:pPr>
        <w:pStyle w:val="7"/>
        <w:spacing w:line="360" w:lineRule="auto"/>
        <w:ind w:left="0" w:right="0" w:firstLine="552" w:firstLineChars="200"/>
        <w:rPr>
          <w:color w:val="auto"/>
        </w:rPr>
      </w:pPr>
      <w:r>
        <w:rPr>
          <w:rFonts w:hint="eastAsia"/>
          <w:color w:val="auto"/>
          <w:spacing w:val="-2"/>
          <w:lang w:val="en-US" w:eastAsia="zh-CN"/>
        </w:rPr>
        <w:t>1、</w:t>
      </w:r>
      <w:r>
        <w:rPr>
          <w:color w:val="auto"/>
          <w:spacing w:val="-2"/>
        </w:rPr>
        <w:t>交通标志设计严格按照国家标准及有关规范执行，力求做到类型齐全、</w:t>
      </w:r>
      <w:r>
        <w:rPr>
          <w:color w:val="auto"/>
          <w:spacing w:val="-1"/>
        </w:rPr>
        <w:t>功能完整，通过对司乘人员适时、准确的诱导，将道路快速、舒适、安全的效</w:t>
      </w:r>
      <w:r>
        <w:rPr>
          <w:color w:val="auto"/>
          <w:spacing w:val="-5"/>
        </w:rPr>
        <w:t>能充分发挥出来。</w:t>
      </w:r>
    </w:p>
    <w:p w14:paraId="5D6C854D">
      <w:pPr>
        <w:pStyle w:val="7"/>
        <w:spacing w:line="360" w:lineRule="auto"/>
        <w:ind w:left="0" w:right="0" w:firstLine="576" w:firstLineChars="200"/>
        <w:rPr>
          <w:color w:val="auto"/>
        </w:rPr>
      </w:pPr>
      <w:r>
        <w:rPr>
          <w:rFonts w:hint="eastAsia"/>
          <w:color w:val="auto"/>
          <w:spacing w:val="4"/>
          <w:lang w:val="en-US" w:eastAsia="zh-CN"/>
        </w:rPr>
        <w:t>2、</w:t>
      </w:r>
      <w:r>
        <w:rPr>
          <w:color w:val="auto"/>
          <w:spacing w:val="4"/>
        </w:rPr>
        <w:t>交通标志的设计以完全不熟悉本道路及其</w:t>
      </w:r>
      <w:r>
        <w:rPr>
          <w:color w:val="auto"/>
          <w:spacing w:val="3"/>
        </w:rPr>
        <w:t>周围路网体系的外地司机为</w:t>
      </w:r>
      <w:r>
        <w:rPr>
          <w:color w:val="auto"/>
          <w:spacing w:val="-5"/>
        </w:rPr>
        <w:t>设计对象。</w:t>
      </w:r>
      <w:r>
        <w:rPr>
          <w:color w:val="auto"/>
        </w:rPr>
        <w:t>通过设置警告、指示、指路等标志，向司乘人员传递管制、警告及引导等</w:t>
      </w:r>
      <w:r>
        <w:rPr>
          <w:color w:val="auto"/>
          <w:spacing w:val="-1"/>
        </w:rPr>
        <w:t>信息，保证交通安全、车流均一和有效</w:t>
      </w:r>
      <w:r>
        <w:rPr>
          <w:rFonts w:hint="eastAsia"/>
          <w:color w:val="auto"/>
          <w:spacing w:val="-1"/>
          <w:lang w:eastAsia="zh-CN"/>
        </w:rPr>
        <w:t>地</w:t>
      </w:r>
      <w:r>
        <w:rPr>
          <w:color w:val="auto"/>
          <w:spacing w:val="-1"/>
        </w:rPr>
        <w:t>运行，最终达到提高道路交通安全的</w:t>
      </w:r>
      <w:r>
        <w:rPr>
          <w:color w:val="auto"/>
          <w:spacing w:val="-18"/>
        </w:rPr>
        <w:t>目的。</w:t>
      </w:r>
    </w:p>
    <w:p w14:paraId="057AC181">
      <w:pPr>
        <w:pStyle w:val="7"/>
        <w:spacing w:line="360" w:lineRule="auto"/>
        <w:ind w:left="0" w:right="0" w:firstLine="576" w:firstLineChars="200"/>
        <w:rPr>
          <w:color w:val="auto"/>
        </w:rPr>
      </w:pPr>
      <w:r>
        <w:rPr>
          <w:rFonts w:hint="eastAsia"/>
          <w:color w:val="auto"/>
          <w:spacing w:val="4"/>
          <w:lang w:val="en-US" w:eastAsia="zh-CN"/>
        </w:rPr>
        <w:t>3、</w:t>
      </w:r>
      <w:r>
        <w:rPr>
          <w:color w:val="auto"/>
          <w:spacing w:val="4"/>
        </w:rPr>
        <w:t>在标志布设中，应注意与现有沿线设施系统的协调配合。</w:t>
      </w:r>
    </w:p>
    <w:p w14:paraId="30D1F7B8">
      <w:pPr>
        <w:pStyle w:val="7"/>
        <w:spacing w:line="360" w:lineRule="auto"/>
        <w:ind w:left="0" w:right="0" w:firstLine="576" w:firstLineChars="200"/>
        <w:rPr>
          <w:color w:val="auto"/>
        </w:rPr>
      </w:pPr>
      <w:r>
        <w:rPr>
          <w:rFonts w:hint="eastAsia"/>
          <w:color w:val="auto"/>
          <w:spacing w:val="4"/>
          <w:lang w:val="en-US" w:eastAsia="zh-CN"/>
        </w:rPr>
        <w:t>4、</w:t>
      </w:r>
      <w:r>
        <w:rPr>
          <w:color w:val="auto"/>
          <w:spacing w:val="4"/>
        </w:rPr>
        <w:t>本</w:t>
      </w:r>
      <w:r>
        <w:rPr>
          <w:rFonts w:hint="eastAsia"/>
          <w:color w:val="auto"/>
          <w:lang w:val="en-US" w:eastAsia="zh-CN"/>
        </w:rPr>
        <w:t>项目</w:t>
      </w:r>
      <w:r>
        <w:rPr>
          <w:color w:val="auto"/>
        </w:rPr>
        <w:t>交通</w:t>
      </w:r>
      <w:r>
        <w:rPr>
          <w:color w:val="auto"/>
          <w:spacing w:val="4"/>
        </w:rPr>
        <w:t>标志采用22</w:t>
      </w:r>
      <w:r>
        <w:rPr>
          <w:rFonts w:ascii="宋体" w:hAnsi="宋体" w:eastAsia="宋体" w:cs="宋体"/>
          <w:color w:val="auto"/>
          <w:spacing w:val="4"/>
        </w:rPr>
        <w:t>m/s</w:t>
      </w:r>
      <w:r>
        <w:rPr>
          <w:color w:val="auto"/>
          <w:spacing w:val="4"/>
        </w:rPr>
        <w:t>的承受风速进行结构设计。</w:t>
      </w:r>
    </w:p>
    <w:p w14:paraId="0E43BDB2">
      <w:pPr>
        <w:keepNext w:val="0"/>
        <w:keepLines w:val="0"/>
        <w:widowControl/>
        <w:suppressLineNumbers w:val="0"/>
        <w:ind w:firstLine="558" w:firstLineChars="200"/>
        <w:jc w:val="left"/>
        <w:rPr>
          <w:rFonts w:ascii="仿宋" w:hAnsi="仿宋" w:eastAsia="仿宋" w:cs="仿宋"/>
          <w:b/>
          <w:bCs/>
          <w:color w:val="auto"/>
          <w:spacing w:val="-1"/>
          <w:kern w:val="2"/>
          <w:sz w:val="28"/>
          <w:szCs w:val="28"/>
          <w:lang w:val="en-US" w:eastAsia="en-US" w:bidi="ar-SA"/>
        </w:rPr>
      </w:pPr>
      <w:r>
        <w:rPr>
          <w:rFonts w:hint="eastAsia" w:ascii="仿宋" w:hAnsi="仿宋" w:eastAsia="仿宋" w:cs="仿宋"/>
          <w:b/>
          <w:bCs/>
          <w:color w:val="auto"/>
          <w:spacing w:val="-1"/>
          <w:kern w:val="2"/>
          <w:sz w:val="28"/>
          <w:szCs w:val="28"/>
          <w:lang w:val="en-US" w:eastAsia="zh-CN" w:bidi="ar-SA"/>
        </w:rPr>
        <w:t>（四）</w:t>
      </w:r>
      <w:r>
        <w:rPr>
          <w:rFonts w:ascii="仿宋" w:hAnsi="仿宋" w:eastAsia="仿宋" w:cs="仿宋"/>
          <w:b/>
          <w:bCs/>
          <w:color w:val="auto"/>
          <w:spacing w:val="-1"/>
          <w:kern w:val="2"/>
          <w:sz w:val="28"/>
          <w:szCs w:val="28"/>
          <w:lang w:val="en-US" w:eastAsia="zh-CN" w:bidi="ar-SA"/>
        </w:rPr>
        <w:t>、标志板面技术要求</w:t>
      </w:r>
    </w:p>
    <w:p w14:paraId="4FEE8500">
      <w:pPr>
        <w:pStyle w:val="7"/>
        <w:spacing w:line="360" w:lineRule="auto"/>
        <w:ind w:left="0" w:right="0" w:firstLine="556" w:firstLineChars="200"/>
        <w:rPr>
          <w:color w:val="auto"/>
        </w:rPr>
      </w:pPr>
      <w:r>
        <w:rPr>
          <w:rFonts w:hint="eastAsia"/>
          <w:color w:val="auto"/>
          <w:spacing w:val="-1"/>
          <w:lang w:val="en-US" w:eastAsia="zh-CN"/>
        </w:rPr>
        <w:t>1、</w:t>
      </w:r>
      <w:r>
        <w:rPr>
          <w:color w:val="auto"/>
          <w:spacing w:val="-1"/>
        </w:rPr>
        <w:t>标志板面形状、图案、颜色应严格按照《道路交通标志和标线》</w:t>
      </w:r>
      <w:r>
        <w:rPr>
          <w:rFonts w:ascii="宋体" w:hAnsi="宋体" w:eastAsia="宋体" w:cs="宋体"/>
          <w:color w:val="auto"/>
          <w:spacing w:val="-1"/>
        </w:rPr>
        <w:t>(GB</w:t>
      </w:r>
      <w:r>
        <w:rPr>
          <w:rFonts w:ascii="宋体" w:hAnsi="宋体" w:eastAsia="宋体" w:cs="宋体"/>
          <w:color w:val="auto"/>
        </w:rPr>
        <w:t xml:space="preserve"> </w:t>
      </w:r>
      <w:r>
        <w:rPr>
          <w:rFonts w:ascii="Times New Roman" w:hAnsi="Times New Roman" w:eastAsia="Times New Roman" w:cs="Times New Roman"/>
          <w:color w:val="auto"/>
          <w:spacing w:val="-2"/>
        </w:rPr>
        <w:t>5768.2-2022)</w:t>
      </w:r>
      <w:r>
        <w:rPr>
          <w:color w:val="auto"/>
          <w:spacing w:val="-4"/>
        </w:rPr>
        <w:t>标准并结合设计图的规定执行。</w:t>
      </w:r>
    </w:p>
    <w:p w14:paraId="18CF0885">
      <w:pPr>
        <w:pStyle w:val="7"/>
        <w:spacing w:line="360" w:lineRule="auto"/>
        <w:ind w:left="0" w:right="0" w:firstLine="576" w:firstLineChars="200"/>
        <w:rPr>
          <w:color w:val="auto"/>
        </w:rPr>
      </w:pPr>
      <w:r>
        <w:rPr>
          <w:rFonts w:hint="eastAsia"/>
          <w:color w:val="auto"/>
          <w:spacing w:val="4"/>
          <w:lang w:val="en-US" w:eastAsia="zh-CN"/>
        </w:rPr>
        <w:t>2、</w:t>
      </w:r>
      <w:r>
        <w:rPr>
          <w:color w:val="auto"/>
          <w:spacing w:val="4"/>
        </w:rPr>
        <w:t>标志底板采用</w:t>
      </w:r>
      <w:r>
        <w:rPr>
          <w:rFonts w:ascii="Times New Roman" w:hAnsi="Times New Roman" w:eastAsia="Times New Roman" w:cs="Times New Roman"/>
          <w:color w:val="auto"/>
        </w:rPr>
        <w:t>IV</w:t>
      </w:r>
      <w:r>
        <w:rPr>
          <w:color w:val="auto"/>
          <w:spacing w:val="4"/>
        </w:rPr>
        <w:t>类反光膜，便于识别，保证夜间</w:t>
      </w:r>
      <w:r>
        <w:rPr>
          <w:color w:val="auto"/>
          <w:spacing w:val="3"/>
        </w:rPr>
        <w:t>行车安全。</w:t>
      </w:r>
    </w:p>
    <w:p w14:paraId="5F203AAF">
      <w:pPr>
        <w:pStyle w:val="7"/>
        <w:spacing w:line="360" w:lineRule="auto"/>
        <w:ind w:left="0" w:right="0" w:firstLine="576" w:firstLineChars="200"/>
        <w:rPr>
          <w:color w:val="auto"/>
        </w:rPr>
      </w:pPr>
      <w:r>
        <w:rPr>
          <w:rFonts w:hint="eastAsia"/>
          <w:color w:val="auto"/>
          <w:spacing w:val="4"/>
          <w:lang w:val="en-US" w:eastAsia="zh-CN"/>
        </w:rPr>
        <w:t>3、</w:t>
      </w:r>
      <w:r>
        <w:rPr>
          <w:color w:val="auto"/>
          <w:spacing w:val="4"/>
        </w:rPr>
        <w:t>标志板面的文字均采用英汉对照，英文字高为相应汉字高度</w:t>
      </w:r>
      <w:r>
        <w:rPr>
          <w:color w:val="auto"/>
          <w:spacing w:val="3"/>
        </w:rPr>
        <w:t>的一半，</w:t>
      </w:r>
      <w:r>
        <w:rPr>
          <w:color w:val="auto"/>
          <w:spacing w:val="-3"/>
        </w:rPr>
        <w:t>阿拉伯数字与汉字同高，版面文字内容在施工前应征询业主意见。</w:t>
      </w:r>
    </w:p>
    <w:p w14:paraId="703B494A">
      <w:pPr>
        <w:keepNext w:val="0"/>
        <w:keepLines w:val="0"/>
        <w:widowControl/>
        <w:suppressLineNumbers w:val="0"/>
        <w:jc w:val="left"/>
        <w:rPr>
          <w:rFonts w:ascii="仿宋" w:hAnsi="仿宋" w:eastAsia="仿宋" w:cs="仿宋"/>
          <w:color w:val="auto"/>
          <w:spacing w:val="-1"/>
          <w:kern w:val="2"/>
          <w:sz w:val="28"/>
          <w:szCs w:val="28"/>
          <w:lang w:val="en-US" w:eastAsia="en-US" w:bidi="ar-SA"/>
        </w:rPr>
      </w:pPr>
      <w:r>
        <w:rPr>
          <w:rFonts w:hint="eastAsia" w:ascii="仿宋" w:hAnsi="仿宋" w:eastAsia="仿宋" w:cs="仿宋"/>
          <w:color w:val="auto"/>
          <w:spacing w:val="-1"/>
          <w:kern w:val="2"/>
          <w:sz w:val="28"/>
          <w:szCs w:val="28"/>
          <w:lang w:val="en-US" w:eastAsia="zh-CN" w:bidi="ar-SA"/>
        </w:rPr>
        <w:t>（五）</w:t>
      </w:r>
      <w:r>
        <w:rPr>
          <w:rFonts w:ascii="仿宋" w:hAnsi="仿宋" w:eastAsia="仿宋" w:cs="仿宋"/>
          <w:color w:val="auto"/>
          <w:spacing w:val="-1"/>
          <w:kern w:val="2"/>
          <w:sz w:val="28"/>
          <w:szCs w:val="28"/>
          <w:lang w:val="en-US" w:eastAsia="zh-CN" w:bidi="ar-SA"/>
        </w:rPr>
        <w:t>主材技术参数要求</w:t>
      </w:r>
    </w:p>
    <w:p w14:paraId="6D4FF452">
      <w:pPr>
        <w:pStyle w:val="7"/>
        <w:spacing w:line="360" w:lineRule="auto"/>
        <w:ind w:left="0" w:right="0" w:firstLine="580" w:firstLineChars="200"/>
        <w:rPr>
          <w:color w:val="auto"/>
        </w:rPr>
      </w:pPr>
      <w:r>
        <w:rPr>
          <w:rFonts w:hint="eastAsia"/>
          <w:color w:val="auto"/>
          <w:spacing w:val="5"/>
          <w:lang w:val="en-US" w:eastAsia="zh-CN"/>
        </w:rPr>
        <w:t>1、</w:t>
      </w:r>
      <w:r>
        <w:rPr>
          <w:color w:val="auto"/>
          <w:spacing w:val="5"/>
        </w:rPr>
        <w:t>铝合金板材化学成分、板材牌号、规格、力学</w:t>
      </w:r>
      <w:r>
        <w:rPr>
          <w:color w:val="auto"/>
          <w:spacing w:val="4"/>
        </w:rPr>
        <w:t>性能(按</w:t>
      </w:r>
      <w:r>
        <w:rPr>
          <w:rFonts w:ascii="宋体" w:hAnsi="宋体" w:eastAsia="宋体" w:cs="宋体"/>
          <w:color w:val="auto"/>
        </w:rPr>
        <w:t>GB</w:t>
      </w:r>
      <w:r>
        <w:rPr>
          <w:rFonts w:ascii="宋体" w:hAnsi="宋体" w:eastAsia="宋体" w:cs="宋体"/>
          <w:color w:val="auto"/>
          <w:spacing w:val="4"/>
        </w:rPr>
        <w:t>5768-2009)</w:t>
      </w:r>
      <w:r>
        <w:rPr>
          <w:rFonts w:ascii="宋体" w:hAnsi="宋体" w:eastAsia="宋体" w:cs="宋体"/>
          <w:color w:val="auto"/>
        </w:rPr>
        <w:t xml:space="preserve"> </w:t>
      </w:r>
      <w:r>
        <w:rPr>
          <w:color w:val="auto"/>
        </w:rPr>
        <w:t>要求抗拉性强度应不小于289.3</w:t>
      </w:r>
      <w:r>
        <w:rPr>
          <w:rFonts w:ascii="Times New Roman" w:hAnsi="Times New Roman" w:eastAsia="Times New Roman" w:cs="Times New Roman"/>
          <w:color w:val="auto"/>
        </w:rPr>
        <w:t>Mpa</w:t>
      </w:r>
      <w:r>
        <w:rPr>
          <w:color w:val="auto"/>
          <w:spacing w:val="4"/>
        </w:rPr>
        <w:t>，</w:t>
      </w:r>
      <w:r>
        <w:rPr>
          <w:color w:val="auto"/>
        </w:rPr>
        <w:t>屈服点不小于241.2</w:t>
      </w:r>
      <w:r>
        <w:rPr>
          <w:rFonts w:ascii="Times New Roman" w:hAnsi="Times New Roman" w:eastAsia="Times New Roman" w:cs="Times New Roman"/>
          <w:color w:val="auto"/>
        </w:rPr>
        <w:t>M</w:t>
      </w:r>
      <w:r>
        <w:rPr>
          <w:rFonts w:ascii="Times New Roman" w:hAnsi="Times New Roman" w:eastAsia="Times New Roman" w:cs="Times New Roman"/>
          <w:color w:val="auto"/>
          <w:spacing w:val="-1"/>
        </w:rPr>
        <w:t>pa</w:t>
      </w:r>
      <w:r>
        <w:rPr>
          <w:color w:val="auto"/>
          <w:spacing w:val="4"/>
        </w:rPr>
        <w:t>，</w:t>
      </w:r>
      <w:r>
        <w:rPr>
          <w:color w:val="auto"/>
          <w:spacing w:val="-1"/>
        </w:rPr>
        <w:t>延伸率不小于</w:t>
      </w:r>
      <w:r>
        <w:rPr>
          <w:color w:val="auto"/>
          <w:spacing w:val="-8"/>
        </w:rPr>
        <w:t>4%-10%应符合</w:t>
      </w:r>
      <w:r>
        <w:rPr>
          <w:rFonts w:ascii="Times New Roman" w:hAnsi="Times New Roman" w:eastAsia="Times New Roman" w:cs="Times New Roman"/>
          <w:color w:val="auto"/>
          <w:spacing w:val="-8"/>
        </w:rPr>
        <w:t>GB/T3190</w:t>
      </w:r>
      <w:r>
        <w:rPr>
          <w:rFonts w:ascii="Times New Roman" w:hAnsi="Times New Roman" w:eastAsia="Times New Roman" w:cs="Times New Roman"/>
          <w:color w:val="auto"/>
          <w:spacing w:val="-37"/>
        </w:rPr>
        <w:t xml:space="preserve"> </w:t>
      </w:r>
      <w:r>
        <w:rPr>
          <w:rFonts w:ascii="宋体" w:hAnsi="宋体" w:eastAsia="宋体" w:cs="宋体"/>
          <w:color w:val="auto"/>
          <w:spacing w:val="-8"/>
        </w:rPr>
        <w:t>、</w:t>
      </w:r>
      <w:r>
        <w:rPr>
          <w:rFonts w:ascii="Times New Roman" w:hAnsi="Times New Roman" w:eastAsia="Times New Roman" w:cs="Times New Roman"/>
          <w:color w:val="auto"/>
          <w:spacing w:val="-8"/>
        </w:rPr>
        <w:t>GB/3880</w:t>
      </w:r>
      <w:r>
        <w:rPr>
          <w:rFonts w:ascii="Times New Roman" w:hAnsi="Times New Roman" w:eastAsia="Times New Roman" w:cs="Times New Roman"/>
          <w:color w:val="auto"/>
          <w:spacing w:val="-41"/>
        </w:rPr>
        <w:t xml:space="preserve"> </w:t>
      </w:r>
      <w:r>
        <w:rPr>
          <w:rFonts w:ascii="宋体" w:hAnsi="宋体" w:eastAsia="宋体" w:cs="宋体"/>
          <w:color w:val="auto"/>
          <w:spacing w:val="-8"/>
        </w:rPr>
        <w:t>、</w:t>
      </w:r>
      <w:r>
        <w:rPr>
          <w:rFonts w:ascii="Times New Roman" w:hAnsi="Times New Roman" w:eastAsia="Times New Roman" w:cs="Times New Roman"/>
          <w:color w:val="auto"/>
          <w:spacing w:val="-8"/>
        </w:rPr>
        <w:t>GB/T3194</w:t>
      </w:r>
      <w:r>
        <w:rPr>
          <w:color w:val="auto"/>
          <w:spacing w:val="-8"/>
        </w:rPr>
        <w:t>的规定。</w:t>
      </w:r>
    </w:p>
    <w:p w14:paraId="1A21C139">
      <w:pPr>
        <w:pStyle w:val="7"/>
        <w:spacing w:line="360" w:lineRule="auto"/>
        <w:ind w:left="0" w:right="0" w:firstLine="596" w:firstLineChars="200"/>
        <w:rPr>
          <w:color w:val="auto"/>
        </w:rPr>
      </w:pPr>
      <w:r>
        <w:rPr>
          <w:rFonts w:hint="eastAsia"/>
          <w:color w:val="auto"/>
          <w:spacing w:val="9"/>
          <w:lang w:val="en-US" w:eastAsia="zh-CN"/>
        </w:rPr>
        <w:t>2、</w:t>
      </w:r>
      <w:r>
        <w:rPr>
          <w:color w:val="auto"/>
          <w:spacing w:val="9"/>
        </w:rPr>
        <w:t>柱体材料要求(具体按设计图纸)</w:t>
      </w:r>
    </w:p>
    <w:p w14:paraId="1AFF4091">
      <w:pPr>
        <w:pStyle w:val="7"/>
        <w:spacing w:line="360" w:lineRule="auto"/>
        <w:ind w:left="0" w:right="0" w:firstLine="556" w:firstLineChars="200"/>
        <w:rPr>
          <w:rFonts w:ascii="宋体" w:hAnsi="宋体" w:eastAsia="宋体" w:cs="宋体"/>
          <w:color w:val="auto"/>
        </w:rPr>
      </w:pPr>
      <w:r>
        <w:rPr>
          <w:color w:val="auto"/>
          <w:spacing w:val="-1"/>
        </w:rPr>
        <w:t>柱体一般采用牌号为</w:t>
      </w:r>
      <w:r>
        <w:rPr>
          <w:rFonts w:ascii="Times New Roman" w:hAnsi="Times New Roman" w:eastAsia="Times New Roman" w:cs="Times New Roman"/>
          <w:color w:val="auto"/>
          <w:spacing w:val="-1"/>
        </w:rPr>
        <w:t>Q235</w:t>
      </w:r>
      <w:r>
        <w:rPr>
          <w:color w:val="auto"/>
          <w:spacing w:val="-1"/>
        </w:rPr>
        <w:t>的钢材</w:t>
      </w:r>
      <w:r>
        <w:rPr>
          <w:rFonts w:ascii="Times New Roman" w:hAnsi="Times New Roman" w:eastAsia="Times New Roman" w:cs="Times New Roman"/>
          <w:color w:val="auto"/>
          <w:spacing w:val="-1"/>
        </w:rPr>
        <w:t>(A3</w:t>
      </w:r>
      <w:r>
        <w:rPr>
          <w:color w:val="auto"/>
          <w:spacing w:val="-1"/>
        </w:rPr>
        <w:t>钢)制成。镀锌</w:t>
      </w:r>
      <w:r>
        <w:rPr>
          <w:color w:val="auto"/>
          <w:spacing w:val="-2"/>
        </w:rPr>
        <w:t>量：立柱、横梁不低</w:t>
      </w:r>
      <w:r>
        <w:rPr>
          <w:color w:val="auto"/>
          <w:spacing w:val="-5"/>
        </w:rPr>
        <w:t>于18</w:t>
      </w:r>
      <w:r>
        <w:rPr>
          <w:rFonts w:ascii="Times New Roman" w:hAnsi="Times New Roman" w:eastAsia="Times New Roman" w:cs="Times New Roman"/>
          <w:color w:val="auto"/>
          <w:spacing w:val="-5"/>
        </w:rPr>
        <w:t xml:space="preserve">um,  </w:t>
      </w:r>
      <w:r>
        <w:rPr>
          <w:color w:val="auto"/>
          <w:spacing w:val="-5"/>
        </w:rPr>
        <w:t>紧固件不低于50</w:t>
      </w:r>
      <w:r>
        <w:rPr>
          <w:rFonts w:ascii="Times New Roman" w:hAnsi="Times New Roman" w:eastAsia="Times New Roman" w:cs="Times New Roman"/>
          <w:color w:val="auto"/>
          <w:spacing w:val="-5"/>
        </w:rPr>
        <w:t>um</w:t>
      </w:r>
      <w:r>
        <w:rPr>
          <w:rFonts w:ascii="宋体" w:hAnsi="宋体" w:eastAsia="宋体" w:cs="宋体"/>
          <w:color w:val="auto"/>
          <w:spacing w:val="-5"/>
        </w:rPr>
        <w:t>。</w:t>
      </w:r>
    </w:p>
    <w:p w14:paraId="77AF09B7">
      <w:pPr>
        <w:pStyle w:val="7"/>
        <w:spacing w:line="360" w:lineRule="auto"/>
        <w:ind w:left="0" w:right="0" w:firstLine="560" w:firstLineChars="200"/>
        <w:rPr>
          <w:color w:val="auto"/>
        </w:rPr>
      </w:pPr>
      <w:r>
        <w:rPr>
          <w:rFonts w:hint="eastAsia"/>
          <w:color w:val="auto"/>
          <w:lang w:val="en-US" w:eastAsia="zh-CN"/>
        </w:rPr>
        <w:t>3、</w:t>
      </w:r>
      <w:r>
        <w:rPr>
          <w:color w:val="auto"/>
        </w:rPr>
        <w:t>版面反光材料要求</w:t>
      </w:r>
    </w:p>
    <w:p w14:paraId="48126C80">
      <w:pPr>
        <w:pStyle w:val="7"/>
        <w:spacing w:line="360" w:lineRule="auto"/>
        <w:ind w:left="0" w:right="0" w:firstLine="560" w:firstLineChars="200"/>
        <w:rPr>
          <w:color w:val="auto"/>
        </w:rPr>
      </w:pPr>
      <w:r>
        <w:rPr>
          <w:color w:val="auto"/>
        </w:rPr>
        <w:t>反光材料应符合设计规定的等级要求。</w:t>
      </w:r>
    </w:p>
    <w:p w14:paraId="17642DEF">
      <w:pPr>
        <w:keepNext w:val="0"/>
        <w:keepLines w:val="0"/>
        <w:widowControl/>
        <w:suppressLineNumbers w:val="0"/>
        <w:ind w:firstLine="558" w:firstLineChars="200"/>
        <w:jc w:val="left"/>
        <w:rPr>
          <w:rFonts w:ascii="仿宋" w:hAnsi="仿宋" w:eastAsia="仿宋" w:cs="仿宋"/>
          <w:b/>
          <w:bCs/>
          <w:color w:val="auto"/>
          <w:spacing w:val="-1"/>
          <w:kern w:val="2"/>
          <w:sz w:val="28"/>
          <w:szCs w:val="28"/>
          <w:lang w:val="en-US" w:eastAsia="en-US" w:bidi="ar-SA"/>
        </w:rPr>
      </w:pPr>
      <w:r>
        <w:rPr>
          <w:rFonts w:hint="eastAsia" w:ascii="仿宋" w:hAnsi="仿宋" w:eastAsia="仿宋" w:cs="仿宋"/>
          <w:b/>
          <w:bCs/>
          <w:color w:val="auto"/>
          <w:spacing w:val="-1"/>
          <w:kern w:val="2"/>
          <w:sz w:val="28"/>
          <w:szCs w:val="28"/>
          <w:lang w:val="en-US" w:eastAsia="zh-CN" w:bidi="ar-SA"/>
        </w:rPr>
        <w:t>（六）</w:t>
      </w:r>
      <w:r>
        <w:rPr>
          <w:rFonts w:ascii="仿宋" w:hAnsi="仿宋" w:eastAsia="仿宋" w:cs="仿宋"/>
          <w:b/>
          <w:bCs/>
          <w:color w:val="auto"/>
          <w:spacing w:val="-1"/>
          <w:kern w:val="2"/>
          <w:sz w:val="28"/>
          <w:szCs w:val="28"/>
          <w:lang w:val="en-US" w:eastAsia="zh-CN" w:bidi="ar-SA"/>
        </w:rPr>
        <w:t>制作、防腐及安装施工要求</w:t>
      </w:r>
    </w:p>
    <w:p w14:paraId="494E5544">
      <w:pPr>
        <w:pStyle w:val="7"/>
        <w:spacing w:line="360" w:lineRule="auto"/>
        <w:ind w:left="0" w:right="0" w:firstLine="560" w:firstLineChars="200"/>
        <w:rPr>
          <w:color w:val="auto"/>
        </w:rPr>
      </w:pPr>
      <w:r>
        <w:rPr>
          <w:color w:val="auto"/>
        </w:rPr>
        <w:t>1</w:t>
      </w:r>
      <w:r>
        <w:rPr>
          <w:rFonts w:hint="eastAsia"/>
          <w:color w:val="auto"/>
          <w:lang w:eastAsia="zh-CN"/>
        </w:rPr>
        <w:t>、</w:t>
      </w:r>
      <w:r>
        <w:rPr>
          <w:color w:val="auto"/>
        </w:rPr>
        <w:t>全路段金属结构部分采用喷砂除锈后热镀锌防腐，外喷环氧富锌漆；其中标志中杆应刷涂白漆。</w:t>
      </w:r>
    </w:p>
    <w:p w14:paraId="09F1A490">
      <w:pPr>
        <w:pStyle w:val="7"/>
        <w:spacing w:line="360" w:lineRule="auto"/>
        <w:ind w:left="0" w:right="0" w:firstLine="560" w:firstLineChars="200"/>
        <w:rPr>
          <w:color w:val="auto"/>
        </w:rPr>
      </w:pPr>
      <w:r>
        <w:rPr>
          <w:color w:val="auto"/>
        </w:rPr>
        <w:t>2</w:t>
      </w:r>
      <w:r>
        <w:rPr>
          <w:rFonts w:hint="eastAsia"/>
          <w:color w:val="auto"/>
          <w:lang w:eastAsia="zh-CN"/>
        </w:rPr>
        <w:t>、</w:t>
      </w:r>
      <w:r>
        <w:rPr>
          <w:color w:val="auto"/>
        </w:rPr>
        <w:t>标志牌尺寸在2 平米以下小型标志牌采用铝塑板材料，大型指路标志底板采用挤型铝板；材料厚度应符合规范要求。</w:t>
      </w:r>
    </w:p>
    <w:p w14:paraId="56A53073">
      <w:pPr>
        <w:pStyle w:val="7"/>
        <w:spacing w:line="360" w:lineRule="auto"/>
        <w:ind w:left="0" w:right="0" w:firstLine="560" w:firstLineChars="200"/>
        <w:rPr>
          <w:color w:val="auto"/>
          <w:spacing w:val="5"/>
        </w:rPr>
      </w:pPr>
      <w:r>
        <w:rPr>
          <w:color w:val="auto"/>
        </w:rPr>
        <w:t>3</w:t>
      </w:r>
      <w:r>
        <w:rPr>
          <w:rFonts w:hint="eastAsia"/>
          <w:color w:val="auto"/>
          <w:lang w:eastAsia="zh-CN"/>
        </w:rPr>
        <w:t>、</w:t>
      </w:r>
      <w:r>
        <w:rPr>
          <w:color w:val="auto"/>
        </w:rPr>
        <w:t>所有交通标志牌</w:t>
      </w:r>
      <w:r>
        <w:rPr>
          <w:color w:val="auto"/>
          <w:spacing w:val="5"/>
        </w:rPr>
        <w:t>上所贴的反光膜应采用超强级反光膜。</w:t>
      </w:r>
    </w:p>
    <w:p w14:paraId="252E0C1A">
      <w:pPr>
        <w:pStyle w:val="7"/>
        <w:spacing w:line="360" w:lineRule="auto"/>
        <w:ind w:left="0" w:right="0" w:firstLine="580" w:firstLineChars="200"/>
        <w:rPr>
          <w:color w:val="auto"/>
          <w:spacing w:val="5"/>
        </w:rPr>
      </w:pPr>
      <w:r>
        <w:rPr>
          <w:rFonts w:hint="eastAsia"/>
          <w:color w:val="auto"/>
          <w:spacing w:val="5"/>
          <w:lang w:val="en-US" w:eastAsia="zh-CN"/>
        </w:rPr>
        <w:t>4</w:t>
      </w:r>
      <w:r>
        <w:rPr>
          <w:rFonts w:hint="eastAsia"/>
          <w:color w:val="auto"/>
          <w:spacing w:val="5"/>
          <w:lang w:eastAsia="zh-CN"/>
        </w:rPr>
        <w:t>、</w:t>
      </w:r>
      <w:r>
        <w:rPr>
          <w:color w:val="auto"/>
          <w:spacing w:val="5"/>
        </w:rPr>
        <w:t>各类标志牌(架)的施工在保证其自身的安全和牢固的同时，其基础设置时应注意对现有管线的保护，如有矛盾，可适当调整交通标志的位置。</w:t>
      </w:r>
    </w:p>
    <w:p w14:paraId="556BA7DA">
      <w:pPr>
        <w:pStyle w:val="7"/>
        <w:spacing w:line="360" w:lineRule="auto"/>
        <w:ind w:left="0" w:right="0" w:firstLine="580" w:firstLineChars="200"/>
        <w:rPr>
          <w:color w:val="auto"/>
          <w:spacing w:val="5"/>
        </w:rPr>
      </w:pPr>
      <w:r>
        <w:rPr>
          <w:rFonts w:hint="eastAsia"/>
          <w:color w:val="auto"/>
          <w:spacing w:val="5"/>
          <w:lang w:val="en-US" w:eastAsia="zh-CN"/>
        </w:rPr>
        <w:t>5</w:t>
      </w:r>
      <w:r>
        <w:rPr>
          <w:rFonts w:hint="eastAsia"/>
          <w:color w:val="auto"/>
          <w:spacing w:val="5"/>
          <w:lang w:eastAsia="zh-CN"/>
        </w:rPr>
        <w:t>、</w:t>
      </w:r>
      <w:r>
        <w:rPr>
          <w:color w:val="auto"/>
          <w:spacing w:val="5"/>
        </w:rPr>
        <w:t>交通标志牌的大小应满足视认距离要求，达到能清晰识别；交通标线要求达到醒目、整齐、具有耐磨性、耐溶剂性。</w:t>
      </w:r>
    </w:p>
    <w:p w14:paraId="18C97E50">
      <w:pPr>
        <w:pStyle w:val="7"/>
        <w:spacing w:line="360" w:lineRule="auto"/>
        <w:ind w:left="0" w:right="0" w:firstLine="580" w:firstLineChars="200"/>
        <w:rPr>
          <w:color w:val="auto"/>
          <w:spacing w:val="5"/>
        </w:rPr>
      </w:pPr>
      <w:r>
        <w:rPr>
          <w:rFonts w:hint="eastAsia"/>
          <w:color w:val="auto"/>
          <w:spacing w:val="5"/>
          <w:lang w:val="en-US" w:eastAsia="zh-CN"/>
        </w:rPr>
        <w:t>6</w:t>
      </w:r>
      <w:r>
        <w:rPr>
          <w:rFonts w:hint="eastAsia"/>
          <w:color w:val="auto"/>
          <w:spacing w:val="5"/>
          <w:lang w:eastAsia="zh-CN"/>
        </w:rPr>
        <w:t>、</w:t>
      </w:r>
      <w:r>
        <w:rPr>
          <w:color w:val="auto"/>
          <w:spacing w:val="5"/>
        </w:rPr>
        <w:t>各类标志牌架均为钢结构，焊接时应保证焊缝有足够的长度和表面光洁平滑，同时应注意对交通标志牌(架)进行防锈和防腐处理。</w:t>
      </w:r>
    </w:p>
    <w:p w14:paraId="57A57913">
      <w:pPr>
        <w:pStyle w:val="7"/>
        <w:spacing w:line="360" w:lineRule="auto"/>
        <w:ind w:left="0" w:right="0" w:firstLine="580" w:firstLineChars="200"/>
        <w:rPr>
          <w:color w:val="auto"/>
          <w:spacing w:val="5"/>
        </w:rPr>
      </w:pPr>
      <w:r>
        <w:rPr>
          <w:rFonts w:hint="eastAsia"/>
          <w:color w:val="auto"/>
          <w:spacing w:val="5"/>
          <w:lang w:val="en-US" w:eastAsia="zh-CN"/>
        </w:rPr>
        <w:t>7</w:t>
      </w:r>
      <w:r>
        <w:rPr>
          <w:rFonts w:hint="eastAsia"/>
          <w:color w:val="auto"/>
          <w:spacing w:val="5"/>
          <w:lang w:eastAsia="zh-CN"/>
        </w:rPr>
        <w:t>、</w:t>
      </w:r>
      <w:r>
        <w:rPr>
          <w:color w:val="auto"/>
          <w:spacing w:val="5"/>
        </w:rPr>
        <w:t>所有交通标志牌(架)的设置均禁止占用车辆和行人的行驶空间(应满足净空和净宽的要求),同时应保证有良好的视线条件 。</w:t>
      </w:r>
    </w:p>
    <w:p w14:paraId="2270280B">
      <w:pPr>
        <w:pStyle w:val="7"/>
        <w:spacing w:line="360" w:lineRule="auto"/>
        <w:ind w:left="0" w:right="0" w:firstLine="580" w:firstLineChars="200"/>
        <w:rPr>
          <w:rFonts w:hint="eastAsia"/>
          <w:color w:val="auto"/>
          <w:spacing w:val="5"/>
          <w:lang w:eastAsia="zh-CN"/>
        </w:rPr>
      </w:pPr>
      <w:r>
        <w:rPr>
          <w:rFonts w:hint="eastAsia"/>
          <w:color w:val="auto"/>
          <w:spacing w:val="5"/>
          <w:lang w:val="en-US" w:eastAsia="zh-CN"/>
        </w:rPr>
        <w:t>8</w:t>
      </w:r>
      <w:r>
        <w:rPr>
          <w:rFonts w:hint="eastAsia"/>
          <w:color w:val="auto"/>
          <w:spacing w:val="5"/>
          <w:lang w:eastAsia="zh-CN"/>
        </w:rPr>
        <w:t>、</w:t>
      </w:r>
      <w:r>
        <w:rPr>
          <w:color w:val="auto"/>
          <w:spacing w:val="5"/>
        </w:rPr>
        <w:t>所有反光膜各项参数指标均应满足《道路交通反光膜GB/T18833-2012》的要求，并严格按规范要求进行验收</w:t>
      </w:r>
      <w:r>
        <w:rPr>
          <w:rFonts w:hint="eastAsia"/>
          <w:color w:val="auto"/>
          <w:spacing w:val="5"/>
          <w:lang w:eastAsia="zh-CN"/>
        </w:rPr>
        <w:t>。</w:t>
      </w:r>
    </w:p>
    <w:p w14:paraId="5707F685">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left"/>
        <w:textAlignment w:val="auto"/>
        <w:rPr>
          <w:rFonts w:hint="default" w:ascii="仿宋" w:hAnsi="仿宋" w:eastAsia="仿宋" w:cs="仿宋"/>
          <w:b/>
          <w:bCs/>
          <w:color w:val="auto"/>
          <w:spacing w:val="-1"/>
          <w:kern w:val="2"/>
          <w:sz w:val="28"/>
          <w:szCs w:val="28"/>
          <w:lang w:val="en-US" w:eastAsia="en-US" w:bidi="ar-SA"/>
        </w:rPr>
      </w:pPr>
      <w:r>
        <w:rPr>
          <w:rFonts w:hint="eastAsia" w:ascii="仿宋" w:hAnsi="仿宋" w:eastAsia="仿宋" w:cs="仿宋"/>
          <w:b/>
          <w:bCs/>
          <w:color w:val="auto"/>
          <w:spacing w:val="-1"/>
          <w:kern w:val="2"/>
          <w:sz w:val="28"/>
          <w:szCs w:val="28"/>
          <w:lang w:val="en-US" w:eastAsia="zh-CN" w:bidi="ar-SA"/>
        </w:rPr>
        <w:t>（七）</w:t>
      </w:r>
      <w:r>
        <w:rPr>
          <w:rFonts w:hint="default" w:ascii="仿宋" w:hAnsi="仿宋" w:eastAsia="仿宋" w:cs="仿宋"/>
          <w:b/>
          <w:bCs/>
          <w:color w:val="auto"/>
          <w:spacing w:val="-1"/>
          <w:kern w:val="2"/>
          <w:sz w:val="28"/>
          <w:szCs w:val="28"/>
          <w:lang w:val="en-US" w:eastAsia="en-US" w:bidi="ar-SA"/>
        </w:rPr>
        <w:t>验收标准及要求</w:t>
      </w:r>
    </w:p>
    <w:p w14:paraId="4D7D16C8">
      <w:pPr>
        <w:keepNext w:val="0"/>
        <w:keepLines w:val="0"/>
        <w:widowControl/>
        <w:suppressLineNumbers w:val="0"/>
        <w:ind w:firstLine="556" w:firstLineChars="200"/>
        <w:jc w:val="left"/>
        <w:rPr>
          <w:rFonts w:ascii="仿宋" w:hAnsi="仿宋" w:eastAsia="仿宋" w:cs="仿宋"/>
          <w:color w:val="auto"/>
          <w:spacing w:val="-1"/>
          <w:kern w:val="2"/>
          <w:sz w:val="28"/>
          <w:szCs w:val="28"/>
          <w:lang w:val="en-US" w:eastAsia="zh-CN" w:bidi="ar-SA"/>
        </w:rPr>
      </w:pPr>
      <w:r>
        <w:rPr>
          <w:rFonts w:hint="default" w:ascii="仿宋" w:hAnsi="仿宋" w:eastAsia="仿宋" w:cs="仿宋"/>
          <w:color w:val="auto"/>
          <w:spacing w:val="-1"/>
          <w:kern w:val="2"/>
          <w:sz w:val="28"/>
          <w:szCs w:val="28"/>
          <w:lang w:val="en-US" w:eastAsia="zh-CN" w:bidi="ar-SA"/>
        </w:rPr>
        <w:t>本项目所有交通标志的材料参数、制作工艺、防腐处理、安装施工质量及成品外观性能，均需完全</w:t>
      </w:r>
      <w:r>
        <w:rPr>
          <w:rFonts w:ascii="仿宋" w:hAnsi="仿宋" w:eastAsia="仿宋" w:cs="仿宋"/>
          <w:color w:val="auto"/>
          <w:spacing w:val="-1"/>
          <w:kern w:val="2"/>
          <w:sz w:val="28"/>
          <w:szCs w:val="28"/>
          <w:lang w:val="en-US" w:eastAsia="zh-CN" w:bidi="ar-SA"/>
        </w:rPr>
        <w:t>满足本需求列明的国家、行业、地方规范标准及各项技术要求，做到参数合规、工艺标准、安装牢固、外观规整、性能达标，相关验收资料完整齐全，</w:t>
      </w:r>
      <w:r>
        <w:rPr>
          <w:rFonts w:hint="eastAsia" w:ascii="仿宋" w:hAnsi="仿宋" w:eastAsia="仿宋" w:cs="仿宋"/>
          <w:color w:val="auto"/>
          <w:spacing w:val="-1"/>
          <w:kern w:val="2"/>
          <w:sz w:val="28"/>
          <w:szCs w:val="28"/>
          <w:lang w:val="en-US" w:eastAsia="zh-CN" w:bidi="ar-SA"/>
        </w:rPr>
        <w:t>确保顺利通过采购人和交警部门、自然资源和规划局、城管局等单位审核和认可方可实施</w:t>
      </w:r>
      <w:r>
        <w:rPr>
          <w:rFonts w:ascii="仿宋" w:hAnsi="仿宋" w:eastAsia="仿宋" w:cs="仿宋"/>
          <w:color w:val="auto"/>
          <w:spacing w:val="-1"/>
          <w:kern w:val="2"/>
          <w:sz w:val="28"/>
          <w:szCs w:val="28"/>
          <w:lang w:val="en-US" w:eastAsia="zh-CN" w:bidi="ar-SA"/>
        </w:rPr>
        <w:t>。</w:t>
      </w:r>
    </w:p>
    <w:p w14:paraId="45A74D57">
      <w:pPr>
        <w:rPr>
          <w:rFonts w:hint="default" w:ascii="仿宋" w:hAnsi="仿宋" w:eastAsia="仿宋" w:cs="仿宋"/>
          <w:b/>
          <w:bCs/>
          <w:color w:val="auto"/>
          <w:spacing w:val="-1"/>
          <w:kern w:val="2"/>
          <w:sz w:val="28"/>
          <w:szCs w:val="28"/>
          <w:lang w:val="en-US" w:eastAsia="zh-CN" w:bidi="ar-SA"/>
        </w:rPr>
      </w:pPr>
      <w:r>
        <w:rPr>
          <w:rFonts w:hint="eastAsia" w:ascii="仿宋" w:hAnsi="仿宋" w:eastAsia="仿宋" w:cs="仿宋"/>
          <w:color w:val="auto"/>
          <w:spacing w:val="-1"/>
          <w:kern w:val="2"/>
          <w:sz w:val="28"/>
          <w:szCs w:val="28"/>
          <w:lang w:val="en-US" w:eastAsia="zh-CN" w:bidi="ar-SA"/>
        </w:rPr>
        <w:t>（</w:t>
      </w:r>
      <w:r>
        <w:rPr>
          <w:rFonts w:hint="eastAsia" w:ascii="仿宋" w:hAnsi="仿宋" w:eastAsia="仿宋" w:cs="仿宋"/>
          <w:b/>
          <w:bCs/>
          <w:color w:val="auto"/>
          <w:spacing w:val="-1"/>
          <w:kern w:val="2"/>
          <w:sz w:val="28"/>
          <w:szCs w:val="28"/>
          <w:lang w:val="en-US" w:eastAsia="zh-CN" w:bidi="ar-SA"/>
        </w:rPr>
        <w:t>八）商务要求</w:t>
      </w:r>
    </w:p>
    <w:p w14:paraId="7399E7DE">
      <w:pPr>
        <w:keepNext w:val="0"/>
        <w:keepLines w:val="0"/>
        <w:widowControl/>
        <w:suppressLineNumbers w:val="0"/>
        <w:ind w:firstLine="556" w:firstLineChars="200"/>
        <w:jc w:val="left"/>
        <w:rPr>
          <w:rFonts w:hint="eastAsia" w:ascii="仿宋" w:hAnsi="仿宋" w:eastAsia="仿宋" w:cs="仿宋"/>
          <w:color w:val="auto"/>
          <w:spacing w:val="-1"/>
          <w:kern w:val="2"/>
          <w:sz w:val="28"/>
          <w:szCs w:val="28"/>
          <w:lang w:val="en-US" w:eastAsia="zh-CN" w:bidi="ar-SA"/>
        </w:rPr>
      </w:pPr>
      <w:r>
        <w:rPr>
          <w:rFonts w:hint="eastAsia" w:ascii="仿宋" w:hAnsi="仿宋" w:eastAsia="仿宋" w:cs="仿宋"/>
          <w:color w:val="auto"/>
          <w:spacing w:val="-1"/>
          <w:kern w:val="2"/>
          <w:sz w:val="28"/>
          <w:szCs w:val="28"/>
          <w:lang w:val="en-US" w:eastAsia="zh-CN" w:bidi="ar-SA"/>
        </w:rPr>
        <w:t>1、运输、装卸、安装调试：由中标人负责承担，最终通过使用科室、设备科及相关部门确认验收交付使用。</w:t>
      </w:r>
    </w:p>
    <w:p w14:paraId="2F4D25FA">
      <w:pPr>
        <w:keepNext w:val="0"/>
        <w:keepLines w:val="0"/>
        <w:widowControl/>
        <w:suppressLineNumbers w:val="0"/>
        <w:ind w:firstLine="556" w:firstLineChars="200"/>
        <w:jc w:val="left"/>
        <w:rPr>
          <w:rFonts w:hint="eastAsia" w:ascii="仿宋" w:hAnsi="仿宋" w:eastAsia="仿宋" w:cs="仿宋"/>
          <w:color w:val="auto"/>
          <w:spacing w:val="-1"/>
          <w:kern w:val="2"/>
          <w:sz w:val="28"/>
          <w:szCs w:val="28"/>
          <w:lang w:val="en-US" w:eastAsia="zh-CN" w:bidi="ar-SA"/>
        </w:rPr>
      </w:pPr>
      <w:r>
        <w:rPr>
          <w:rFonts w:hint="eastAsia" w:ascii="仿宋" w:hAnsi="仿宋" w:eastAsia="仿宋" w:cs="仿宋"/>
          <w:color w:val="auto"/>
          <w:spacing w:val="-1"/>
          <w:kern w:val="2"/>
          <w:sz w:val="28"/>
          <w:szCs w:val="28"/>
          <w:lang w:val="en-US" w:eastAsia="zh-CN" w:bidi="ar-SA"/>
        </w:rPr>
        <w:t>2、交货时间：签订合同后20个自然日内。</w:t>
      </w:r>
    </w:p>
    <w:p w14:paraId="08D60EDE">
      <w:pPr>
        <w:keepNext w:val="0"/>
        <w:keepLines w:val="0"/>
        <w:widowControl/>
        <w:suppressLineNumbers w:val="0"/>
        <w:ind w:firstLine="556" w:firstLineChars="200"/>
        <w:jc w:val="left"/>
        <w:rPr>
          <w:rFonts w:hint="eastAsia" w:ascii="仿宋" w:hAnsi="仿宋" w:eastAsia="仿宋" w:cs="仿宋"/>
          <w:color w:val="auto"/>
          <w:spacing w:val="-1"/>
          <w:kern w:val="2"/>
          <w:sz w:val="28"/>
          <w:szCs w:val="28"/>
          <w:lang w:val="en-US" w:eastAsia="zh-CN" w:bidi="ar-SA"/>
        </w:rPr>
      </w:pPr>
      <w:r>
        <w:rPr>
          <w:rFonts w:hint="eastAsia" w:ascii="仿宋" w:hAnsi="仿宋" w:eastAsia="仿宋" w:cs="仿宋"/>
          <w:color w:val="auto"/>
          <w:spacing w:val="-1"/>
          <w:kern w:val="2"/>
          <w:sz w:val="28"/>
          <w:szCs w:val="28"/>
          <w:lang w:val="en-US" w:eastAsia="zh-CN" w:bidi="ar-SA"/>
        </w:rPr>
        <w:t>3、交货地点：娄底市中心医院指定地点。</w:t>
      </w:r>
    </w:p>
    <w:p w14:paraId="0D09BFEE">
      <w:pPr>
        <w:keepNext w:val="0"/>
        <w:keepLines w:val="0"/>
        <w:widowControl/>
        <w:suppressLineNumbers w:val="0"/>
        <w:ind w:firstLine="556" w:firstLineChars="200"/>
        <w:jc w:val="left"/>
        <w:rPr>
          <w:rFonts w:hint="eastAsia" w:ascii="仿宋" w:hAnsi="仿宋" w:eastAsia="仿宋" w:cs="仿宋"/>
          <w:color w:val="auto"/>
          <w:spacing w:val="-1"/>
          <w:kern w:val="2"/>
          <w:sz w:val="28"/>
          <w:szCs w:val="28"/>
          <w:lang w:val="en-US" w:eastAsia="zh-CN" w:bidi="ar-SA"/>
        </w:rPr>
      </w:pPr>
      <w:r>
        <w:rPr>
          <w:rFonts w:hint="eastAsia" w:ascii="仿宋" w:hAnsi="仿宋" w:eastAsia="仿宋" w:cs="仿宋"/>
          <w:color w:val="auto"/>
          <w:spacing w:val="-1"/>
          <w:kern w:val="2"/>
          <w:sz w:val="28"/>
          <w:szCs w:val="28"/>
          <w:lang w:val="en-US" w:eastAsia="zh-CN" w:bidi="ar-SA"/>
        </w:rPr>
        <w:t>4、付款方式：设备验收合格后，供应商将发票交到娄底市中心医院后按程序支付货款90%（一般情况下4个月内支付、特殊情况下最多不超过6个月），院方在设备验收合格满1年后支付10%余款给中标人。</w:t>
      </w:r>
    </w:p>
    <w:p w14:paraId="19CB8293">
      <w:pPr>
        <w:keepNext w:val="0"/>
        <w:keepLines w:val="0"/>
        <w:widowControl/>
        <w:suppressLineNumbers w:val="0"/>
        <w:ind w:firstLine="556" w:firstLineChars="200"/>
        <w:jc w:val="left"/>
        <w:rPr>
          <w:rFonts w:hint="eastAsia" w:ascii="仿宋" w:hAnsi="仿宋" w:eastAsia="仿宋" w:cs="仿宋"/>
          <w:color w:val="auto"/>
          <w:spacing w:val="-1"/>
          <w:kern w:val="2"/>
          <w:sz w:val="28"/>
          <w:szCs w:val="28"/>
          <w:lang w:val="en-US" w:eastAsia="zh-CN" w:bidi="ar-SA"/>
        </w:rPr>
      </w:pPr>
      <w:r>
        <w:rPr>
          <w:rFonts w:hint="eastAsia" w:ascii="仿宋" w:hAnsi="仿宋" w:eastAsia="仿宋" w:cs="仿宋"/>
          <w:color w:val="auto"/>
          <w:spacing w:val="-1"/>
          <w:kern w:val="2"/>
          <w:sz w:val="28"/>
          <w:szCs w:val="28"/>
          <w:lang w:val="en-US" w:eastAsia="zh-CN" w:bidi="ar-SA"/>
        </w:rPr>
        <w:t>5、质保与售后：</w:t>
      </w:r>
    </w:p>
    <w:p w14:paraId="3FBA052A">
      <w:pPr>
        <w:keepNext w:val="0"/>
        <w:keepLines w:val="0"/>
        <w:widowControl/>
        <w:suppressLineNumbers w:val="0"/>
        <w:ind w:firstLine="556" w:firstLineChars="200"/>
        <w:jc w:val="left"/>
        <w:rPr>
          <w:rFonts w:hint="eastAsia" w:ascii="仿宋" w:hAnsi="仿宋" w:eastAsia="仿宋" w:cs="仿宋"/>
          <w:color w:val="auto"/>
          <w:spacing w:val="-1"/>
          <w:kern w:val="2"/>
          <w:sz w:val="28"/>
          <w:szCs w:val="28"/>
          <w:lang w:val="en-US" w:eastAsia="zh-CN" w:bidi="ar-SA"/>
        </w:rPr>
      </w:pPr>
      <w:r>
        <w:rPr>
          <w:rFonts w:hint="default" w:ascii="仿宋" w:hAnsi="仿宋" w:eastAsia="仿宋" w:cs="仿宋"/>
          <w:color w:val="auto"/>
          <w:spacing w:val="-1"/>
          <w:kern w:val="2"/>
          <w:sz w:val="28"/>
          <w:szCs w:val="28"/>
          <w:lang w:val="en-US" w:eastAsia="zh-CN" w:bidi="ar-SA"/>
        </w:rPr>
        <w:t>本项目所有交通</w:t>
      </w:r>
      <w:r>
        <w:rPr>
          <w:rFonts w:hint="eastAsia" w:ascii="仿宋" w:hAnsi="仿宋" w:eastAsia="仿宋" w:cs="仿宋"/>
          <w:color w:val="auto"/>
          <w:spacing w:val="-1"/>
          <w:kern w:val="2"/>
          <w:sz w:val="28"/>
          <w:szCs w:val="28"/>
          <w:lang w:val="en-US" w:eastAsia="zh-CN" w:bidi="ar-SA"/>
        </w:rPr>
        <w:t>标识牌</w:t>
      </w:r>
      <w:r>
        <w:rPr>
          <w:rFonts w:hint="default" w:ascii="仿宋" w:hAnsi="仿宋" w:eastAsia="仿宋" w:cs="仿宋"/>
          <w:color w:val="auto"/>
          <w:spacing w:val="-1"/>
          <w:kern w:val="2"/>
          <w:sz w:val="28"/>
          <w:szCs w:val="28"/>
          <w:lang w:val="en-US" w:eastAsia="zh-CN" w:bidi="ar-SA"/>
        </w:rPr>
        <w:t>的材料参数、制作工艺、防腐处理、安装施工质量及成品外观性能，均需完全</w:t>
      </w:r>
      <w:r>
        <w:rPr>
          <w:rFonts w:hint="eastAsia" w:ascii="仿宋" w:hAnsi="仿宋" w:eastAsia="仿宋" w:cs="仿宋"/>
          <w:color w:val="auto"/>
          <w:spacing w:val="-1"/>
          <w:kern w:val="2"/>
          <w:sz w:val="28"/>
          <w:szCs w:val="28"/>
          <w:lang w:val="en-US" w:eastAsia="zh-CN" w:bidi="ar-SA"/>
        </w:rPr>
        <w:t>满足本需求列明的国家、行业、地方规范标准及各项技术要求，做到参数合规、工艺标准、安装牢固、外观规整、性能达标，相关验收资料完整齐全。如投标文件/响应文件中的技术参数和质量标准高于国家标准，则货物的技术参数和质量标准以投标文件/响应文件为准，全部货物质保1年，终身维修。</w:t>
      </w:r>
    </w:p>
    <w:p w14:paraId="0B88932F">
      <w:pPr>
        <w:keepNext w:val="0"/>
        <w:keepLines w:val="0"/>
        <w:widowControl/>
        <w:suppressLineNumbers w:val="0"/>
        <w:ind w:firstLine="556" w:firstLineChars="200"/>
        <w:jc w:val="left"/>
        <w:rPr>
          <w:rFonts w:hint="eastAsia" w:ascii="仿宋" w:hAnsi="仿宋" w:eastAsia="仿宋" w:cs="仿宋"/>
          <w:color w:val="auto"/>
          <w:spacing w:val="-1"/>
          <w:kern w:val="2"/>
          <w:sz w:val="28"/>
          <w:szCs w:val="28"/>
          <w:lang w:val="en-US" w:eastAsia="zh-CN" w:bidi="ar-SA"/>
        </w:rPr>
      </w:pPr>
      <w:r>
        <w:rPr>
          <w:rFonts w:hint="eastAsia" w:ascii="仿宋" w:hAnsi="仿宋" w:eastAsia="仿宋" w:cs="仿宋"/>
          <w:color w:val="auto"/>
          <w:spacing w:val="-1"/>
          <w:kern w:val="2"/>
          <w:sz w:val="28"/>
          <w:szCs w:val="28"/>
          <w:lang w:val="en-US" w:eastAsia="zh-CN" w:bidi="ar-SA"/>
        </w:rPr>
        <w:t>投标人承诺验收时出具原厂售后质保承诺书，质保期内每年巡检一次，并提交巡检记录。如货物在质保期内出现质量问题，中标人应在接到院方通知（包括电话通知）后1小时内响应，在响应后12小时内赶到响应地点进行维修或更换全新合格货物，相关费用由投标人承担。</w:t>
      </w:r>
    </w:p>
    <w:p w14:paraId="4D978F81">
      <w:pPr>
        <w:keepNext w:val="0"/>
        <w:keepLines w:val="0"/>
        <w:widowControl/>
        <w:suppressLineNumbers w:val="0"/>
        <w:ind w:firstLine="556" w:firstLineChars="200"/>
        <w:jc w:val="left"/>
        <w:rPr>
          <w:rFonts w:hint="default" w:ascii="仿宋" w:hAnsi="仿宋" w:eastAsia="仿宋" w:cs="仿宋"/>
          <w:color w:val="auto"/>
          <w:spacing w:val="-1"/>
          <w:kern w:val="2"/>
          <w:sz w:val="28"/>
          <w:szCs w:val="28"/>
          <w:lang w:val="en-US" w:eastAsia="zh-CN" w:bidi="ar-SA"/>
        </w:rPr>
      </w:pPr>
      <w:r>
        <w:rPr>
          <w:rFonts w:hint="eastAsia" w:ascii="仿宋" w:hAnsi="仿宋" w:eastAsia="仿宋" w:cs="仿宋"/>
          <w:color w:val="auto"/>
          <w:spacing w:val="-1"/>
          <w:kern w:val="2"/>
          <w:sz w:val="28"/>
          <w:szCs w:val="28"/>
          <w:lang w:val="en-US" w:eastAsia="zh-CN" w:bidi="ar-SA"/>
        </w:rPr>
        <w:t>6、</w:t>
      </w:r>
      <w:r>
        <w:rPr>
          <w:rFonts w:hint="eastAsia" w:ascii="仿宋" w:hAnsi="仿宋" w:eastAsia="仿宋" w:cs="仿宋"/>
          <w:color w:val="auto"/>
          <w:spacing w:val="-1"/>
          <w:kern w:val="2"/>
          <w:sz w:val="28"/>
          <w:szCs w:val="28"/>
          <w:lang w:val="en-US" w:eastAsia="en-US" w:bidi="ar-SA"/>
        </w:rPr>
        <w:t>本项目</w:t>
      </w:r>
      <w:r>
        <w:rPr>
          <w:rFonts w:hint="eastAsia" w:ascii="仿宋" w:hAnsi="仿宋" w:eastAsia="仿宋" w:cs="仿宋"/>
          <w:color w:val="auto"/>
          <w:spacing w:val="-1"/>
          <w:kern w:val="2"/>
          <w:sz w:val="28"/>
          <w:szCs w:val="28"/>
          <w:lang w:val="en-US" w:eastAsia="zh-CN" w:bidi="ar-SA"/>
        </w:rPr>
        <w:t>全部报批流程及相关手续均由中标人全权负责，</w:t>
      </w:r>
      <w:r>
        <w:rPr>
          <w:rFonts w:hint="eastAsia" w:ascii="仿宋" w:hAnsi="仿宋" w:eastAsia="仿宋" w:cs="仿宋"/>
          <w:color w:val="auto"/>
          <w:spacing w:val="-1"/>
          <w:kern w:val="2"/>
          <w:sz w:val="28"/>
          <w:szCs w:val="28"/>
          <w:lang w:val="en-US" w:eastAsia="en-US" w:bidi="ar-SA"/>
        </w:rPr>
        <w:t>本项目所有交通</w:t>
      </w:r>
      <w:r>
        <w:rPr>
          <w:rFonts w:hint="eastAsia" w:ascii="仿宋" w:hAnsi="仿宋" w:eastAsia="仿宋" w:cs="仿宋"/>
          <w:color w:val="auto"/>
          <w:spacing w:val="-1"/>
          <w:kern w:val="2"/>
          <w:sz w:val="28"/>
          <w:szCs w:val="28"/>
          <w:lang w:val="en-US" w:eastAsia="zh-CN" w:bidi="ar-SA"/>
        </w:rPr>
        <w:t>标识牌</w:t>
      </w:r>
      <w:r>
        <w:rPr>
          <w:rFonts w:hint="eastAsia" w:ascii="仿宋" w:hAnsi="仿宋" w:eastAsia="仿宋" w:cs="仿宋"/>
          <w:color w:val="auto"/>
          <w:spacing w:val="-1"/>
          <w:kern w:val="2"/>
          <w:sz w:val="28"/>
          <w:szCs w:val="28"/>
          <w:lang w:val="en-US" w:eastAsia="en-US" w:bidi="ar-SA"/>
        </w:rPr>
        <w:t>必须确保顺利通过采购人和交警部门、自然资源和规划局、城管局等单位审核和认可方可实施。</w:t>
      </w:r>
    </w:p>
    <w:p w14:paraId="0643E91F">
      <w:pPr>
        <w:rPr>
          <w:rFonts w:hint="eastAsia" w:ascii="宋体" w:hAnsi="宋体" w:eastAsia="宋体" w:cs="宋体"/>
          <w:b/>
          <w:bCs/>
          <w:color w:val="auto"/>
          <w:spacing w:val="-1"/>
          <w:kern w:val="2"/>
          <w:sz w:val="32"/>
          <w:szCs w:val="32"/>
          <w:lang w:val="en-US" w:eastAsia="zh-CN" w:bidi="ar-SA"/>
        </w:rPr>
      </w:pPr>
    </w:p>
    <w:p w14:paraId="0361B3BA">
      <w:pPr>
        <w:rPr>
          <w:rFonts w:hint="eastAsia" w:ascii="宋体" w:hAnsi="宋体" w:eastAsia="宋体" w:cs="宋体"/>
          <w:b/>
          <w:bCs/>
          <w:color w:val="auto"/>
          <w:spacing w:val="-1"/>
          <w:kern w:val="2"/>
          <w:sz w:val="32"/>
          <w:szCs w:val="32"/>
          <w:lang w:val="en-US" w:eastAsia="zh-CN" w:bidi="ar-SA"/>
        </w:rPr>
      </w:pPr>
    </w:p>
    <w:p w14:paraId="1ED27D12">
      <w:pPr>
        <w:rPr>
          <w:rFonts w:hint="eastAsia" w:ascii="宋体" w:hAnsi="宋体" w:eastAsia="宋体" w:cs="宋体"/>
          <w:b/>
          <w:bCs/>
          <w:color w:val="auto"/>
          <w:spacing w:val="-1"/>
          <w:kern w:val="2"/>
          <w:sz w:val="32"/>
          <w:szCs w:val="32"/>
          <w:lang w:val="en-US" w:eastAsia="zh-CN" w:bidi="ar-SA"/>
        </w:rPr>
      </w:pPr>
    </w:p>
    <w:p w14:paraId="23CC0FE0">
      <w:pPr>
        <w:rPr>
          <w:rFonts w:hint="eastAsia" w:ascii="宋体" w:hAnsi="宋体" w:eastAsia="宋体" w:cs="宋体"/>
          <w:b/>
          <w:bCs/>
          <w:color w:val="auto"/>
          <w:spacing w:val="-1"/>
          <w:kern w:val="2"/>
          <w:sz w:val="32"/>
          <w:szCs w:val="32"/>
          <w:lang w:val="en-US" w:eastAsia="zh-CN" w:bidi="ar-SA"/>
        </w:rPr>
      </w:pPr>
    </w:p>
    <w:p w14:paraId="39262D1D">
      <w:pPr>
        <w:rPr>
          <w:rFonts w:hint="eastAsia" w:ascii="宋体" w:hAnsi="宋体" w:eastAsia="宋体" w:cs="宋体"/>
          <w:b/>
          <w:bCs/>
          <w:color w:val="auto"/>
          <w:spacing w:val="-1"/>
          <w:kern w:val="2"/>
          <w:sz w:val="32"/>
          <w:szCs w:val="32"/>
          <w:lang w:val="en-US" w:eastAsia="zh-CN" w:bidi="ar-SA"/>
        </w:rPr>
      </w:pPr>
    </w:p>
    <w:p w14:paraId="2EAADD8C">
      <w:pPr>
        <w:rPr>
          <w:rFonts w:hint="eastAsia" w:ascii="宋体" w:hAnsi="宋体" w:eastAsia="宋体" w:cs="宋体"/>
          <w:b/>
          <w:bCs/>
          <w:color w:val="auto"/>
          <w:spacing w:val="-1"/>
          <w:kern w:val="2"/>
          <w:sz w:val="32"/>
          <w:szCs w:val="32"/>
          <w:lang w:val="en-US" w:eastAsia="zh-CN" w:bidi="ar-SA"/>
        </w:rPr>
      </w:pPr>
    </w:p>
    <w:p w14:paraId="5A831D9D">
      <w:pPr>
        <w:rPr>
          <w:rFonts w:hint="eastAsia" w:ascii="宋体" w:hAnsi="宋体" w:eastAsia="宋体" w:cs="宋体"/>
          <w:b/>
          <w:bCs/>
          <w:color w:val="auto"/>
          <w:spacing w:val="-1"/>
          <w:kern w:val="2"/>
          <w:sz w:val="32"/>
          <w:szCs w:val="32"/>
          <w:lang w:val="en-US" w:eastAsia="zh-CN" w:bidi="ar-SA"/>
        </w:rPr>
      </w:pPr>
    </w:p>
    <w:p w14:paraId="74C947BC">
      <w:pPr>
        <w:rPr>
          <w:rFonts w:hint="eastAsia" w:ascii="宋体" w:hAnsi="宋体" w:eastAsia="宋体" w:cs="宋体"/>
          <w:b/>
          <w:bCs/>
          <w:color w:val="auto"/>
          <w:spacing w:val="-1"/>
          <w:kern w:val="2"/>
          <w:sz w:val="32"/>
          <w:szCs w:val="32"/>
          <w:lang w:val="en-US" w:eastAsia="zh-CN" w:bidi="ar-SA"/>
        </w:rPr>
      </w:pPr>
    </w:p>
    <w:p w14:paraId="0453A074">
      <w:pPr>
        <w:rPr>
          <w:rFonts w:hint="eastAsia" w:ascii="宋体" w:hAnsi="宋体" w:eastAsia="宋体" w:cs="宋体"/>
          <w:b/>
          <w:bCs/>
          <w:color w:val="auto"/>
          <w:spacing w:val="-1"/>
          <w:kern w:val="2"/>
          <w:sz w:val="32"/>
          <w:szCs w:val="32"/>
          <w:lang w:val="en-US" w:eastAsia="zh-CN" w:bidi="ar-SA"/>
        </w:rPr>
      </w:pPr>
    </w:p>
    <w:p w14:paraId="2516B637">
      <w:pPr>
        <w:rPr>
          <w:rFonts w:hint="eastAsia" w:ascii="宋体" w:hAnsi="宋体" w:eastAsia="宋体" w:cs="宋体"/>
          <w:b/>
          <w:bCs/>
          <w:color w:val="auto"/>
          <w:spacing w:val="-1"/>
          <w:kern w:val="2"/>
          <w:sz w:val="32"/>
          <w:szCs w:val="32"/>
          <w:lang w:val="en-US" w:eastAsia="zh-CN" w:bidi="ar-SA"/>
        </w:rPr>
      </w:pPr>
    </w:p>
    <w:p w14:paraId="7F8FA5F0">
      <w:pPr>
        <w:rPr>
          <w:rFonts w:hint="eastAsia" w:ascii="宋体" w:hAnsi="宋体" w:eastAsia="宋体" w:cs="宋体"/>
          <w:b/>
          <w:bCs/>
          <w:color w:val="auto"/>
          <w:spacing w:val="-1"/>
          <w:kern w:val="2"/>
          <w:sz w:val="32"/>
          <w:szCs w:val="32"/>
          <w:lang w:val="en-US" w:eastAsia="zh-CN" w:bidi="ar-SA"/>
        </w:rPr>
      </w:pPr>
    </w:p>
    <w:p w14:paraId="0E5C3084">
      <w:pPr>
        <w:rPr>
          <w:rFonts w:hint="eastAsia" w:ascii="宋体" w:hAnsi="宋体" w:eastAsia="宋体" w:cs="宋体"/>
          <w:b/>
          <w:bCs/>
          <w:color w:val="auto"/>
          <w:spacing w:val="-1"/>
          <w:kern w:val="2"/>
          <w:sz w:val="32"/>
          <w:szCs w:val="32"/>
          <w:lang w:val="en-US" w:eastAsia="zh-CN" w:bidi="ar-SA"/>
        </w:rPr>
      </w:pPr>
    </w:p>
    <w:p w14:paraId="521C8760">
      <w:pPr>
        <w:rPr>
          <w:rFonts w:hint="default" w:ascii="方正黑体_GBK" w:hAnsi="方正黑体_GBK" w:eastAsia="方正黑体_GBK" w:cs="方正黑体_GBK"/>
          <w:color w:val="auto"/>
          <w:kern w:val="2"/>
          <w:sz w:val="32"/>
          <w:szCs w:val="32"/>
          <w:lang w:val="en-US" w:eastAsia="zh-CN"/>
        </w:rPr>
      </w:pPr>
      <w:r>
        <w:rPr>
          <w:rFonts w:hint="eastAsia" w:ascii="宋体" w:hAnsi="宋体" w:eastAsia="宋体" w:cs="宋体"/>
          <w:b/>
          <w:bCs/>
          <w:color w:val="auto"/>
          <w:spacing w:val="-1"/>
          <w:kern w:val="2"/>
          <w:sz w:val="32"/>
          <w:szCs w:val="32"/>
          <w:lang w:val="en-US" w:eastAsia="zh-CN" w:bidi="ar-SA"/>
        </w:rPr>
        <w:t>设计效果图（参考图）</w:t>
      </w:r>
    </w:p>
    <w:p w14:paraId="28C9239E">
      <w:pPr>
        <w:pStyle w:val="22"/>
        <w:keepNext w:val="0"/>
        <w:keepLines w:val="0"/>
        <w:pageBreakBefore w:val="0"/>
        <w:widowControl w:val="0"/>
        <w:kinsoku/>
        <w:wordWrap/>
        <w:overflowPunct/>
        <w:topLinePunct w:val="0"/>
        <w:autoSpaceDE/>
        <w:autoSpaceDN/>
        <w:bidi w:val="0"/>
        <w:adjustRightInd/>
        <w:snapToGrid/>
        <w:spacing w:before="0" w:after="0" w:line="640" w:lineRule="exact"/>
        <w:ind w:left="0" w:leftChars="0"/>
        <w:jc w:val="both"/>
        <w:textAlignment w:val="auto"/>
        <w:outlineLvl w:val="9"/>
        <w:rPr>
          <w:rFonts w:hint="eastAsia" w:ascii="方正仿宋_GB2312" w:hAnsi="方正仿宋_GB2312" w:eastAsia="方正仿宋_GB2312" w:cs="方正仿宋_GB2312"/>
          <w:b/>
          <w:color w:val="auto"/>
          <w:sz w:val="32"/>
          <w:szCs w:val="32"/>
          <w:lang w:val="en-US" w:eastAsia="zh-CN"/>
        </w:rPr>
      </w:pPr>
      <w:r>
        <w:rPr>
          <w:rFonts w:hint="eastAsia" w:ascii="方正仿宋_GB2312" w:hAnsi="方正仿宋_GB2312" w:eastAsia="方正仿宋_GB2312" w:cs="方正仿宋_GB2312"/>
          <w:b/>
          <w:color w:val="auto"/>
          <w:sz w:val="32"/>
          <w:szCs w:val="32"/>
          <w:lang w:val="en-US" w:eastAsia="zh-CN"/>
        </w:rPr>
        <w:t>拟新增交通标识牌效果图（8块）</w:t>
      </w:r>
    </w:p>
    <w:p w14:paraId="31C62E32">
      <w:pPr>
        <w:pStyle w:val="22"/>
        <w:keepNext w:val="0"/>
        <w:keepLines w:val="0"/>
        <w:pageBreakBefore w:val="0"/>
        <w:widowControl w:val="0"/>
        <w:kinsoku/>
        <w:wordWrap/>
        <w:overflowPunct/>
        <w:topLinePunct w:val="0"/>
        <w:autoSpaceDE/>
        <w:autoSpaceDN/>
        <w:bidi w:val="0"/>
        <w:adjustRightInd/>
        <w:snapToGrid/>
        <w:spacing w:before="0" w:after="0" w:line="640" w:lineRule="exact"/>
        <w:ind w:left="0" w:leftChars="0"/>
        <w:jc w:val="both"/>
        <w:textAlignment w:val="auto"/>
        <w:outlineLvl w:val="9"/>
        <w:rPr>
          <w:rFonts w:hint="eastAsia" w:ascii="微软雅黑" w:hAnsi="微软雅黑" w:eastAsia="微软雅黑" w:cs="微软雅黑"/>
          <w:b w:val="0"/>
          <w:bCs w:val="0"/>
          <w:color w:val="auto"/>
          <w:sz w:val="44"/>
          <w:szCs w:val="44"/>
          <w:lang w:val="en-US" w:eastAsia="zh-CN"/>
        </w:rPr>
      </w:pPr>
    </w:p>
    <w:p w14:paraId="40593AC9">
      <w:pPr>
        <w:pStyle w:val="22"/>
        <w:keepNext w:val="0"/>
        <w:keepLines w:val="0"/>
        <w:pageBreakBefore w:val="0"/>
        <w:widowControl w:val="0"/>
        <w:kinsoku/>
        <w:wordWrap/>
        <w:overflowPunct/>
        <w:topLinePunct w:val="0"/>
        <w:autoSpaceDE/>
        <w:autoSpaceDN/>
        <w:bidi w:val="0"/>
        <w:adjustRightInd/>
        <w:snapToGrid/>
        <w:spacing w:before="0" w:after="0" w:line="640" w:lineRule="exact"/>
        <w:ind w:left="0" w:leftChars="0"/>
        <w:jc w:val="left"/>
        <w:textAlignment w:val="auto"/>
        <w:outlineLvl w:val="9"/>
        <w:rPr>
          <w:rFonts w:hint="eastAsia" w:ascii="微软雅黑" w:hAnsi="微软雅黑" w:eastAsia="微软雅黑" w:cs="微软雅黑"/>
          <w:b w:val="0"/>
          <w:bCs w:val="0"/>
          <w:color w:val="auto"/>
          <w:sz w:val="44"/>
          <w:szCs w:val="44"/>
          <w:lang w:val="en-US" w:eastAsia="zh-CN"/>
        </w:rPr>
      </w:pPr>
      <w:r>
        <w:rPr>
          <w:rFonts w:hint="eastAsia" w:ascii="仿宋_GB2312" w:hAnsi="仿宋_GB2312" w:eastAsia="仿宋_GB2312" w:cs="仿宋_GB2312"/>
          <w:b w:val="0"/>
          <w:bCs w:val="0"/>
          <w:color w:val="auto"/>
          <w:sz w:val="32"/>
          <w:szCs w:val="32"/>
          <w:lang w:val="en-US" w:eastAsia="zh-CN"/>
        </w:rPr>
        <w:t>娄底南高速收费站</w:t>
      </w:r>
    </w:p>
    <w:p w14:paraId="75D99714">
      <w:pPr>
        <w:jc w:val="center"/>
        <w:rPr>
          <w:rFonts w:hint="eastAsia" w:eastAsia="宋体"/>
          <w:color w:val="auto"/>
          <w:lang w:eastAsia="zh-CN"/>
        </w:rPr>
      </w:pPr>
      <w:r>
        <w:rPr>
          <w:rFonts w:hint="eastAsia" w:eastAsia="宋体"/>
          <w:color w:val="auto"/>
          <w:lang w:eastAsia="zh-CN"/>
        </w:rPr>
        <w:drawing>
          <wp:inline distT="0" distB="0" distL="114300" distR="114300">
            <wp:extent cx="6352540" cy="3536315"/>
            <wp:effectExtent l="0" t="0" r="10160" b="6985"/>
            <wp:docPr id="9" name="图片 9" descr="广医路牌(2)(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广医路牌(2)(1)_01"/>
                    <pic:cNvPicPr>
                      <a:picLocks noChangeAspect="1"/>
                    </pic:cNvPicPr>
                  </pic:nvPicPr>
                  <pic:blipFill>
                    <a:blip r:embed="rId9"/>
                    <a:srcRect l="34739" t="27654" r="8229" b="27592"/>
                    <a:stretch>
                      <a:fillRect/>
                    </a:stretch>
                  </pic:blipFill>
                  <pic:spPr>
                    <a:xfrm>
                      <a:off x="0" y="0"/>
                      <a:ext cx="6352540" cy="3536315"/>
                    </a:xfrm>
                    <a:prstGeom prst="rect">
                      <a:avLst/>
                    </a:prstGeom>
                  </pic:spPr>
                </pic:pic>
              </a:graphicData>
            </a:graphic>
          </wp:inline>
        </w:drawing>
      </w:r>
    </w:p>
    <w:p w14:paraId="2053099E">
      <w:pP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br w:type="page"/>
      </w:r>
    </w:p>
    <w:p w14:paraId="15A0BB9C">
      <w:pPr>
        <w:rPr>
          <w:rFonts w:hint="eastAsia" w:eastAsia="宋体"/>
          <w:b w:val="0"/>
          <w:bCs w:val="0"/>
          <w:color w:val="auto"/>
          <w:lang w:eastAsia="zh-CN"/>
        </w:rPr>
      </w:pPr>
      <w:r>
        <w:rPr>
          <w:rFonts w:hint="eastAsia" w:ascii="仿宋_GB2312" w:hAnsi="仿宋_GB2312" w:eastAsia="仿宋_GB2312" w:cs="仿宋_GB2312"/>
          <w:b w:val="0"/>
          <w:bCs w:val="0"/>
          <w:color w:val="auto"/>
          <w:sz w:val="32"/>
          <w:szCs w:val="32"/>
          <w:lang w:val="en-US" w:eastAsia="zh-CN"/>
        </w:rPr>
        <w:t>娄底东高速收费站</w:t>
      </w:r>
    </w:p>
    <w:p w14:paraId="7868B803">
      <w:pPr>
        <w:rPr>
          <w:rFonts w:hint="eastAsia" w:eastAsia="宋体"/>
          <w:color w:val="auto"/>
          <w:lang w:eastAsia="zh-CN"/>
        </w:rPr>
      </w:pPr>
    </w:p>
    <w:p w14:paraId="00A6875A">
      <w:pPr>
        <w:jc w:val="center"/>
        <w:rPr>
          <w:rFonts w:hint="eastAsia" w:eastAsia="宋体"/>
          <w:color w:val="auto"/>
          <w:lang w:eastAsia="zh-CN"/>
        </w:rPr>
      </w:pPr>
      <w:r>
        <w:rPr>
          <w:rFonts w:hint="eastAsia" w:eastAsia="宋体"/>
          <w:color w:val="auto"/>
          <w:lang w:eastAsia="zh-CN"/>
        </w:rPr>
        <w:drawing>
          <wp:inline distT="0" distB="0" distL="114300" distR="114300">
            <wp:extent cx="7868920" cy="3984625"/>
            <wp:effectExtent l="0" t="0" r="17780" b="15875"/>
            <wp:docPr id="10" name="图片 10" descr="广医路牌(2)(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广医路牌(2)(1)_02"/>
                    <pic:cNvPicPr>
                      <a:picLocks noChangeAspect="1"/>
                    </pic:cNvPicPr>
                  </pic:nvPicPr>
                  <pic:blipFill>
                    <a:blip r:embed="rId10"/>
                    <a:srcRect l="30845" t="27933" r="7150" b="27808"/>
                    <a:stretch>
                      <a:fillRect/>
                    </a:stretch>
                  </pic:blipFill>
                  <pic:spPr>
                    <a:xfrm>
                      <a:off x="0" y="0"/>
                      <a:ext cx="7868920" cy="3984625"/>
                    </a:xfrm>
                    <a:prstGeom prst="rect">
                      <a:avLst/>
                    </a:prstGeom>
                  </pic:spPr>
                </pic:pic>
              </a:graphicData>
            </a:graphic>
          </wp:inline>
        </w:drawing>
      </w:r>
    </w:p>
    <w:p w14:paraId="61A2E49F">
      <w:pPr>
        <w:rPr>
          <w:rFonts w:hint="eastAsia" w:ascii="仿宋_GB2312" w:hAnsi="仿宋_GB2312" w:eastAsia="仿宋_GB2312" w:cs="仿宋_GB2312"/>
          <w:b w:val="0"/>
          <w:bCs w:val="0"/>
          <w:color w:val="auto"/>
          <w:sz w:val="32"/>
          <w:szCs w:val="32"/>
          <w:lang w:val="en-US" w:eastAsia="zh-CN"/>
        </w:rPr>
      </w:pPr>
    </w:p>
    <w:p w14:paraId="449D30E7">
      <w:pPr>
        <w:rPr>
          <w:rFonts w:hint="eastAsia" w:ascii="仿宋_GB2312" w:hAnsi="仿宋_GB2312" w:eastAsia="仿宋_GB2312" w:cs="仿宋_GB2312"/>
          <w:b w:val="0"/>
          <w:bCs w:val="0"/>
          <w:color w:val="auto"/>
          <w:sz w:val="32"/>
          <w:szCs w:val="32"/>
          <w:lang w:val="en-US" w:eastAsia="zh-CN"/>
        </w:rPr>
      </w:pPr>
    </w:p>
    <w:p w14:paraId="7AFCFA59">
      <w:pP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br w:type="page"/>
      </w:r>
    </w:p>
    <w:p w14:paraId="65D3C593">
      <w:pPr>
        <w:rPr>
          <w:rFonts w:hint="eastAsia" w:eastAsia="宋体"/>
          <w:color w:val="auto"/>
          <w:lang w:eastAsia="zh-CN"/>
        </w:rPr>
      </w:pPr>
      <w:r>
        <w:rPr>
          <w:rFonts w:hint="eastAsia" w:ascii="仿宋_GB2312" w:hAnsi="仿宋_GB2312" w:eastAsia="仿宋_GB2312" w:cs="仿宋_GB2312"/>
          <w:b w:val="0"/>
          <w:bCs w:val="0"/>
          <w:color w:val="auto"/>
          <w:sz w:val="32"/>
          <w:szCs w:val="32"/>
          <w:lang w:val="en-US" w:eastAsia="zh-CN"/>
        </w:rPr>
        <w:t>娄底西高速收费站（交通指示牌合并）</w:t>
      </w:r>
    </w:p>
    <w:p w14:paraId="4A16D017">
      <w:pPr>
        <w:jc w:val="center"/>
        <w:rPr>
          <w:rFonts w:hint="eastAsia" w:ascii="仿宋_GB2312" w:hAnsi="仿宋_GB2312" w:eastAsia="仿宋_GB2312" w:cs="仿宋_GB2312"/>
          <w:b w:val="0"/>
          <w:bCs w:val="0"/>
          <w:color w:val="auto"/>
          <w:sz w:val="32"/>
          <w:szCs w:val="32"/>
          <w:lang w:val="en-US" w:eastAsia="zh-CN"/>
        </w:rPr>
      </w:pPr>
      <w:r>
        <w:rPr>
          <w:rFonts w:hint="eastAsia" w:eastAsia="宋体"/>
          <w:color w:val="auto"/>
          <w:lang w:eastAsia="zh-CN"/>
        </w:rPr>
        <w:drawing>
          <wp:inline distT="0" distB="0" distL="114300" distR="114300">
            <wp:extent cx="8426450" cy="4441825"/>
            <wp:effectExtent l="0" t="0" r="12700" b="15875"/>
            <wp:docPr id="11" name="图片 11" descr="图片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001"/>
                    <pic:cNvPicPr>
                      <a:picLocks noChangeAspect="1"/>
                    </pic:cNvPicPr>
                  </pic:nvPicPr>
                  <pic:blipFill>
                    <a:blip r:embed="rId11"/>
                    <a:stretch>
                      <a:fillRect/>
                    </a:stretch>
                  </pic:blipFill>
                  <pic:spPr>
                    <a:xfrm>
                      <a:off x="0" y="0"/>
                      <a:ext cx="8426450" cy="4441825"/>
                    </a:xfrm>
                    <a:prstGeom prst="rect">
                      <a:avLst/>
                    </a:prstGeom>
                  </pic:spPr>
                </pic:pic>
              </a:graphicData>
            </a:graphic>
          </wp:inline>
        </w:drawing>
      </w:r>
    </w:p>
    <w:p w14:paraId="3D3249B1">
      <w:pPr>
        <w:rPr>
          <w:rFonts w:hint="eastAsia" w:ascii="仿宋_GB2312" w:hAnsi="仿宋_GB2312" w:eastAsia="仿宋_GB2312" w:cs="仿宋_GB2312"/>
          <w:b w:val="0"/>
          <w:bCs w:val="0"/>
          <w:color w:val="auto"/>
          <w:sz w:val="32"/>
          <w:szCs w:val="32"/>
          <w:lang w:val="en-US" w:eastAsia="zh-CN"/>
        </w:rPr>
      </w:pPr>
    </w:p>
    <w:p w14:paraId="031CFC69">
      <w:pP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br w:type="page"/>
      </w:r>
    </w:p>
    <w:p w14:paraId="500401F0">
      <w:pP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娄底北高速收费站（交通指示牌合并）</w:t>
      </w:r>
    </w:p>
    <w:p w14:paraId="0966247C">
      <w:pPr>
        <w:jc w:val="center"/>
        <w:rPr>
          <w:rFonts w:hint="eastAsia" w:eastAsia="宋体"/>
          <w:color w:val="auto"/>
          <w:lang w:eastAsia="zh-CN"/>
        </w:rPr>
      </w:pPr>
      <w:r>
        <w:rPr>
          <w:rFonts w:hint="eastAsia" w:eastAsia="宋体"/>
          <w:color w:val="auto"/>
          <w:lang w:eastAsia="zh-CN"/>
        </w:rPr>
        <w:drawing>
          <wp:inline distT="0" distB="0" distL="114300" distR="114300">
            <wp:extent cx="7973695" cy="4084320"/>
            <wp:effectExtent l="0" t="0" r="8255" b="11430"/>
            <wp:docPr id="15" name="图片 15" descr="图片g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片gg2"/>
                    <pic:cNvPicPr>
                      <a:picLocks noChangeAspect="1"/>
                    </pic:cNvPicPr>
                  </pic:nvPicPr>
                  <pic:blipFill>
                    <a:blip r:embed="rId12"/>
                    <a:stretch>
                      <a:fillRect/>
                    </a:stretch>
                  </pic:blipFill>
                  <pic:spPr>
                    <a:xfrm>
                      <a:off x="0" y="0"/>
                      <a:ext cx="7973695" cy="4084320"/>
                    </a:xfrm>
                    <a:prstGeom prst="rect">
                      <a:avLst/>
                    </a:prstGeom>
                  </pic:spPr>
                </pic:pic>
              </a:graphicData>
            </a:graphic>
          </wp:inline>
        </w:drawing>
      </w:r>
    </w:p>
    <w:p w14:paraId="784C648F">
      <w:pPr>
        <w:rPr>
          <w:rFonts w:hint="eastAsia" w:eastAsia="宋体"/>
          <w:color w:val="auto"/>
          <w:lang w:eastAsia="zh-CN"/>
        </w:rPr>
      </w:pPr>
    </w:p>
    <w:p w14:paraId="4AA4E4A3">
      <w:pPr>
        <w:rPr>
          <w:rFonts w:hint="eastAsia" w:ascii="仿宋_GB2312" w:hAnsi="仿宋_GB2312" w:eastAsia="仿宋_GB2312" w:cs="仿宋_GB2312"/>
          <w:b w:val="0"/>
          <w:bCs w:val="0"/>
          <w:color w:val="auto"/>
          <w:sz w:val="32"/>
          <w:szCs w:val="32"/>
          <w:lang w:val="en-US" w:eastAsia="zh-CN"/>
        </w:rPr>
      </w:pPr>
    </w:p>
    <w:p w14:paraId="5B309954">
      <w:pPr>
        <w:rPr>
          <w:rFonts w:hint="eastAsia" w:ascii="仿宋_GB2312" w:hAnsi="仿宋_GB2312" w:eastAsia="仿宋_GB2312" w:cs="仿宋_GB2312"/>
          <w:b w:val="0"/>
          <w:bCs w:val="0"/>
          <w:color w:val="auto"/>
          <w:sz w:val="32"/>
          <w:szCs w:val="32"/>
          <w:lang w:val="en-US" w:eastAsia="zh-CN"/>
        </w:rPr>
      </w:pPr>
    </w:p>
    <w:p w14:paraId="085448BB">
      <w:pP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br w:type="page"/>
      </w:r>
    </w:p>
    <w:p w14:paraId="67EFBFEA">
      <w:pP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广州医科大学附属第一医院娄底医院主干道对面</w:t>
      </w:r>
    </w:p>
    <w:p w14:paraId="70A55B8C">
      <w:pPr>
        <w:rPr>
          <w:rFonts w:hint="eastAsia" w:eastAsia="宋体"/>
          <w:color w:val="auto"/>
          <w:lang w:eastAsia="zh-CN"/>
        </w:rPr>
      </w:pPr>
    </w:p>
    <w:p w14:paraId="7EC0B8EB">
      <w:pPr>
        <w:jc w:val="center"/>
        <w:rPr>
          <w:rFonts w:hint="eastAsia" w:eastAsia="宋体"/>
          <w:color w:val="auto"/>
          <w:lang w:eastAsia="zh-CN"/>
        </w:rPr>
      </w:pPr>
    </w:p>
    <w:p w14:paraId="59F02292">
      <w:pPr>
        <w:jc w:val="center"/>
        <w:rPr>
          <w:rFonts w:hint="eastAsia" w:eastAsia="宋体"/>
          <w:color w:val="auto"/>
          <w:lang w:eastAsia="zh-CN"/>
        </w:rPr>
      </w:pPr>
      <w:r>
        <w:rPr>
          <w:rFonts w:hint="eastAsia" w:eastAsia="宋体"/>
          <w:color w:val="auto"/>
          <w:lang w:eastAsia="zh-CN"/>
        </w:rPr>
        <w:drawing>
          <wp:inline distT="0" distB="0" distL="114300" distR="114300">
            <wp:extent cx="5393690" cy="4377055"/>
            <wp:effectExtent l="0" t="0" r="16510" b="4445"/>
            <wp:docPr id="16" name="图片 16" descr="广医路牌(2)(1)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广医路牌(2)(1)_03"/>
                    <pic:cNvPicPr>
                      <a:picLocks noChangeAspect="1"/>
                    </pic:cNvPicPr>
                  </pic:nvPicPr>
                  <pic:blipFill>
                    <a:blip r:embed="rId13"/>
                    <a:srcRect l="40395" t="20459" r="6682" b="18996"/>
                    <a:stretch>
                      <a:fillRect/>
                    </a:stretch>
                  </pic:blipFill>
                  <pic:spPr>
                    <a:xfrm>
                      <a:off x="0" y="0"/>
                      <a:ext cx="5393690" cy="4377055"/>
                    </a:xfrm>
                    <a:prstGeom prst="rect">
                      <a:avLst/>
                    </a:prstGeom>
                  </pic:spPr>
                </pic:pic>
              </a:graphicData>
            </a:graphic>
          </wp:inline>
        </w:drawing>
      </w:r>
    </w:p>
    <w:p w14:paraId="337431ED">
      <w:pPr>
        <w:rPr>
          <w:rFonts w:hint="eastAsia" w:eastAsia="宋体"/>
          <w:color w:val="auto"/>
          <w:lang w:eastAsia="zh-CN"/>
        </w:rPr>
      </w:pPr>
    </w:p>
    <w:p w14:paraId="42EB124D">
      <w:pP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br w:type="page"/>
      </w:r>
    </w:p>
    <w:p w14:paraId="784356BB">
      <w:pP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娄涟公路转高丰路处</w:t>
      </w:r>
    </w:p>
    <w:p w14:paraId="64BC60B8">
      <w:pPr>
        <w:rPr>
          <w:rFonts w:hint="eastAsia" w:eastAsia="宋体"/>
          <w:color w:val="auto"/>
          <w:lang w:eastAsia="zh-CN"/>
        </w:rPr>
      </w:pPr>
    </w:p>
    <w:p w14:paraId="4C641A13">
      <w:pPr>
        <w:jc w:val="center"/>
        <w:rPr>
          <w:rFonts w:hint="eastAsia" w:eastAsia="宋体"/>
          <w:color w:val="auto"/>
          <w:lang w:eastAsia="zh-CN"/>
        </w:rPr>
      </w:pPr>
      <w:r>
        <w:rPr>
          <w:rFonts w:hint="eastAsia" w:eastAsia="宋体"/>
          <w:color w:val="auto"/>
          <w:lang w:eastAsia="zh-CN"/>
        </w:rPr>
        <w:drawing>
          <wp:inline distT="0" distB="0" distL="114300" distR="114300">
            <wp:extent cx="7367270" cy="3997325"/>
            <wp:effectExtent l="0" t="0" r="5080" b="3175"/>
            <wp:docPr id="17" name="图片 17" descr="广医路牌(2)(1)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广医路牌(2)(1)_06"/>
                    <pic:cNvPicPr>
                      <a:picLocks noChangeAspect="1"/>
                    </pic:cNvPicPr>
                  </pic:nvPicPr>
                  <pic:blipFill>
                    <a:blip r:embed="rId14"/>
                    <a:srcRect l="30517" t="25715" r="6930" b="26435"/>
                    <a:stretch>
                      <a:fillRect/>
                    </a:stretch>
                  </pic:blipFill>
                  <pic:spPr>
                    <a:xfrm>
                      <a:off x="0" y="0"/>
                      <a:ext cx="7367270" cy="3997325"/>
                    </a:xfrm>
                    <a:prstGeom prst="rect">
                      <a:avLst/>
                    </a:prstGeom>
                  </pic:spPr>
                </pic:pic>
              </a:graphicData>
            </a:graphic>
          </wp:inline>
        </w:drawing>
      </w:r>
    </w:p>
    <w:p w14:paraId="0A75FB70">
      <w:pPr>
        <w:rPr>
          <w:rFonts w:hint="eastAsia" w:eastAsia="宋体"/>
          <w:color w:val="auto"/>
          <w:lang w:eastAsia="zh-CN"/>
        </w:rPr>
      </w:pPr>
    </w:p>
    <w:p w14:paraId="2EF69AB5">
      <w:pPr>
        <w:rPr>
          <w:rFonts w:hint="eastAsia" w:eastAsia="宋体"/>
          <w:b w:val="0"/>
          <w:bCs w:val="0"/>
          <w:color w:val="auto"/>
          <w:lang w:eastAsia="zh-CN"/>
        </w:rPr>
      </w:pPr>
    </w:p>
    <w:p w14:paraId="4FDC4CB8">
      <w:pPr>
        <w:jc w:val="left"/>
        <w:rPr>
          <w:rFonts w:hint="eastAsia" w:ascii="仿宋_GB2312" w:hAnsi="仿宋_GB2312" w:eastAsia="仿宋_GB2312" w:cs="仿宋_GB2312"/>
          <w:b w:val="0"/>
          <w:bCs w:val="0"/>
          <w:color w:val="auto"/>
          <w:sz w:val="32"/>
          <w:szCs w:val="32"/>
          <w:lang w:val="en-US" w:eastAsia="zh-CN"/>
        </w:rPr>
      </w:pPr>
    </w:p>
    <w:p w14:paraId="008F75A5">
      <w:pP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br w:type="page"/>
      </w:r>
    </w:p>
    <w:p w14:paraId="7F752C67">
      <w:pPr>
        <w:jc w:val="left"/>
        <w:rPr>
          <w:rFonts w:hint="eastAsia" w:eastAsia="宋体"/>
          <w:b w:val="0"/>
          <w:bCs w:val="0"/>
          <w:color w:val="auto"/>
          <w:lang w:eastAsia="zh-CN"/>
        </w:rPr>
      </w:pPr>
      <w:r>
        <w:rPr>
          <w:rFonts w:hint="eastAsia" w:ascii="仿宋_GB2312" w:hAnsi="仿宋_GB2312" w:eastAsia="仿宋_GB2312" w:cs="仿宋_GB2312"/>
          <w:b w:val="0"/>
          <w:bCs w:val="0"/>
          <w:color w:val="auto"/>
          <w:sz w:val="32"/>
          <w:szCs w:val="32"/>
          <w:lang w:val="en-US" w:eastAsia="zh-CN"/>
        </w:rPr>
        <w:t>娄底市规划和自然资源局马路前</w:t>
      </w:r>
    </w:p>
    <w:p w14:paraId="72B7A688">
      <w:pPr>
        <w:rPr>
          <w:rFonts w:hint="eastAsia" w:eastAsia="宋体"/>
          <w:color w:val="auto"/>
          <w:lang w:eastAsia="zh-CN"/>
        </w:rPr>
      </w:pPr>
    </w:p>
    <w:p w14:paraId="48194427">
      <w:pPr>
        <w:jc w:val="center"/>
        <w:rPr>
          <w:rFonts w:hint="eastAsia" w:ascii="仿宋_GB2312" w:hAnsi="仿宋_GB2312" w:eastAsia="仿宋_GB2312" w:cs="仿宋_GB2312"/>
          <w:b w:val="0"/>
          <w:bCs w:val="0"/>
          <w:color w:val="auto"/>
          <w:sz w:val="32"/>
          <w:szCs w:val="32"/>
          <w:lang w:val="en-US" w:eastAsia="zh-CN"/>
        </w:rPr>
      </w:pPr>
      <w:r>
        <w:rPr>
          <w:rFonts w:hint="eastAsia" w:eastAsia="宋体"/>
          <w:color w:val="auto"/>
          <w:lang w:eastAsia="zh-CN"/>
        </w:rPr>
        <w:drawing>
          <wp:inline distT="0" distB="0" distL="114300" distR="114300">
            <wp:extent cx="7910830" cy="4329430"/>
            <wp:effectExtent l="0" t="0" r="13970" b="13970"/>
            <wp:docPr id="18" name="图片 18" descr="广医路牌(2)(1)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广医路牌(2)(1)_07"/>
                    <pic:cNvPicPr>
                      <a:picLocks noChangeAspect="1"/>
                    </pic:cNvPicPr>
                  </pic:nvPicPr>
                  <pic:blipFill>
                    <a:blip r:embed="rId15"/>
                    <a:srcRect l="31387" t="26446" r="7488" b="26396"/>
                    <a:stretch>
                      <a:fillRect/>
                    </a:stretch>
                  </pic:blipFill>
                  <pic:spPr>
                    <a:xfrm>
                      <a:off x="0" y="0"/>
                      <a:ext cx="7910830" cy="4329430"/>
                    </a:xfrm>
                    <a:prstGeom prst="rect">
                      <a:avLst/>
                    </a:prstGeom>
                  </pic:spPr>
                </pic:pic>
              </a:graphicData>
            </a:graphic>
          </wp:inline>
        </w:drawing>
      </w:r>
    </w:p>
    <w:p w14:paraId="28F71F43">
      <w:pPr>
        <w:jc w:val="left"/>
        <w:rPr>
          <w:rFonts w:hint="eastAsia" w:ascii="仿宋_GB2312" w:hAnsi="仿宋_GB2312" w:eastAsia="仿宋_GB2312" w:cs="仿宋_GB2312"/>
          <w:b w:val="0"/>
          <w:bCs w:val="0"/>
          <w:color w:val="auto"/>
          <w:sz w:val="32"/>
          <w:szCs w:val="32"/>
          <w:lang w:val="en-US" w:eastAsia="zh-CN"/>
        </w:rPr>
      </w:pPr>
    </w:p>
    <w:p w14:paraId="4D572189">
      <w:pP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br w:type="page"/>
      </w:r>
    </w:p>
    <w:p w14:paraId="625494EE">
      <w:pPr>
        <w:jc w:val="left"/>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高铁南站前十字路口</w:t>
      </w:r>
    </w:p>
    <w:p w14:paraId="30473937">
      <w:pPr>
        <w:rPr>
          <w:rFonts w:hint="eastAsia" w:eastAsia="宋体"/>
          <w:color w:val="auto"/>
          <w:lang w:eastAsia="zh-CN"/>
        </w:rPr>
      </w:pPr>
    </w:p>
    <w:p w14:paraId="390FE95A">
      <w:pPr>
        <w:rPr>
          <w:rFonts w:ascii="仿宋" w:hAnsi="仿宋" w:eastAsia="仿宋" w:cs="仿宋"/>
          <w:color w:val="auto"/>
          <w:spacing w:val="-1"/>
          <w:kern w:val="2"/>
          <w:sz w:val="28"/>
          <w:szCs w:val="28"/>
          <w:lang w:val="en-US" w:eastAsia="zh-CN" w:bidi="ar-SA"/>
        </w:rPr>
      </w:pPr>
      <w:r>
        <w:rPr>
          <w:rFonts w:hint="eastAsia" w:eastAsia="宋体"/>
          <w:color w:val="auto"/>
          <w:lang w:eastAsia="zh-CN"/>
        </w:rPr>
        <w:drawing>
          <wp:inline distT="0" distB="0" distL="114300" distR="114300">
            <wp:extent cx="7821295" cy="4131945"/>
            <wp:effectExtent l="0" t="0" r="8255" b="1905"/>
            <wp:docPr id="19" name="图片 19" descr="广医路牌(2)(1)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广医路牌(2)(1)_08"/>
                    <pic:cNvPicPr>
                      <a:picLocks noChangeAspect="1"/>
                    </pic:cNvPicPr>
                  </pic:nvPicPr>
                  <pic:blipFill>
                    <a:blip r:embed="rId16"/>
                    <a:srcRect l="31379" t="27122" r="7325" b="27235"/>
                    <a:stretch>
                      <a:fillRect/>
                    </a:stretch>
                  </pic:blipFill>
                  <pic:spPr>
                    <a:xfrm>
                      <a:off x="0" y="0"/>
                      <a:ext cx="7821295" cy="4131945"/>
                    </a:xfrm>
                    <a:prstGeom prst="rect">
                      <a:avLst/>
                    </a:prstGeom>
                  </pic:spPr>
                </pic:pic>
              </a:graphicData>
            </a:graphic>
          </wp:inline>
        </w:drawing>
      </w:r>
      <w:r>
        <w:rPr>
          <w:rFonts w:ascii="仿宋" w:hAnsi="仿宋" w:eastAsia="仿宋" w:cs="仿宋"/>
          <w:color w:val="auto"/>
          <w:spacing w:val="-1"/>
          <w:kern w:val="2"/>
          <w:sz w:val="28"/>
          <w:szCs w:val="28"/>
          <w:lang w:val="en-US" w:eastAsia="zh-CN" w:bidi="ar-SA"/>
        </w:rPr>
        <w:br w:type="page"/>
      </w:r>
    </w:p>
    <w:p w14:paraId="7A4DE95A">
      <w:pPr>
        <w:keepNext w:val="0"/>
        <w:keepLines w:val="0"/>
        <w:widowControl/>
        <w:suppressLineNumbers w:val="0"/>
        <w:ind w:firstLine="556" w:firstLineChars="200"/>
        <w:jc w:val="left"/>
        <w:rPr>
          <w:rFonts w:ascii="仿宋" w:hAnsi="仿宋" w:eastAsia="仿宋" w:cs="仿宋"/>
          <w:color w:val="auto"/>
          <w:spacing w:val="-1"/>
          <w:kern w:val="2"/>
          <w:sz w:val="28"/>
          <w:szCs w:val="28"/>
          <w:lang w:val="en-US" w:eastAsia="zh-CN" w:bidi="ar-SA"/>
        </w:rPr>
      </w:pPr>
    </w:p>
    <w:p w14:paraId="459CA2A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textAlignment w:val="auto"/>
        <w:rPr>
          <w:rFonts w:hint="eastAsia" w:ascii="仿宋_GB2312" w:eastAsia="仿宋_GB2312" w:cs="仿宋_GB2312"/>
          <w:bCs/>
          <w:color w:val="auto"/>
          <w:kern w:val="0"/>
          <w:sz w:val="28"/>
          <w:szCs w:val="28"/>
          <w:lang w:val="en-US" w:eastAsia="zh-CN" w:bidi="ar-SA"/>
        </w:rPr>
      </w:pPr>
    </w:p>
    <w:p w14:paraId="41EA669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三</w:t>
      </w:r>
      <w:r>
        <w:rPr>
          <w:rFonts w:hint="eastAsia" w:ascii="仿宋_GB2312" w:hAnsi="Times New Roman" w:eastAsia="仿宋_GB2312" w:cs="仿宋_GB2312"/>
          <w:bCs/>
          <w:color w:val="auto"/>
          <w:kern w:val="0"/>
          <w:sz w:val="28"/>
          <w:szCs w:val="28"/>
          <w:lang w:val="en-US" w:eastAsia="zh-CN" w:bidi="ar-SA"/>
        </w:rPr>
        <w:t>、</w:t>
      </w:r>
      <w:r>
        <w:rPr>
          <w:rFonts w:hint="default" w:ascii="仿宋_GB2312" w:hAnsi="Times New Roman" w:eastAsia="仿宋_GB2312" w:cs="仿宋_GB2312"/>
          <w:bCs/>
          <w:color w:val="auto"/>
          <w:kern w:val="0"/>
          <w:sz w:val="28"/>
          <w:szCs w:val="28"/>
          <w:lang w:val="en-US" w:eastAsia="zh-CN" w:bidi="ar-SA"/>
        </w:rPr>
        <w:t>标书要求</w:t>
      </w:r>
    </w:p>
    <w:p w14:paraId="2CC67DB6">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14:paraId="2199F5FB">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14:paraId="45409F28">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、履行本项目所必需的资质证明；</w:t>
      </w:r>
    </w:p>
    <w:p w14:paraId="7CA238F1">
      <w:pPr>
        <w:pageBreakBefore w:val="0"/>
        <w:kinsoku/>
        <w:wordWrap/>
        <w:overflowPunct/>
        <w:topLinePunct w:val="0"/>
        <w:bidi w:val="0"/>
        <w:spacing w:line="440" w:lineRule="exact"/>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、投标人认为需提供的其他和评审有关的资料；</w:t>
      </w:r>
    </w:p>
    <w:p w14:paraId="0572E21A">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、投标文件的每一页都必须加盖投标单位的公章；</w:t>
      </w:r>
    </w:p>
    <w:p w14:paraId="0ADCA157">
      <w:pPr>
        <w:pStyle w:val="12"/>
        <w:pageBreakBefore w:val="0"/>
        <w:kinsoku/>
        <w:wordWrap/>
        <w:overflowPunct/>
        <w:topLinePunct w:val="0"/>
        <w:bidi w:val="0"/>
        <w:spacing w:line="440" w:lineRule="exact"/>
        <w:ind w:left="0" w:leftChars="0"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6、投标文件一正一副，均</w:t>
      </w:r>
      <w:r>
        <w:rPr>
          <w:rFonts w:hint="eastAsia" w:ascii="仿宋_GB2312" w:eastAsia="仿宋_GB2312" w:cs="仿宋_GB2312"/>
          <w:bCs/>
          <w:color w:val="auto"/>
          <w:kern w:val="0"/>
          <w:sz w:val="28"/>
          <w:szCs w:val="28"/>
          <w:lang w:val="en-US" w:eastAsia="zh-CN" w:bidi="ar-SA"/>
        </w:rPr>
        <w:t>须</w:t>
      </w:r>
      <w:r>
        <w:rPr>
          <w:rFonts w:hint="eastAsia" w:ascii="仿宋_GB2312" w:hAnsi="Times New Roman" w:eastAsia="仿宋_GB2312" w:cs="仿宋_GB2312"/>
          <w:bCs/>
          <w:color w:val="auto"/>
          <w:kern w:val="0"/>
          <w:sz w:val="28"/>
          <w:szCs w:val="28"/>
          <w:lang w:val="en-US" w:eastAsia="zh-CN" w:bidi="ar-SA"/>
        </w:rPr>
        <w:t>加盖公章；</w:t>
      </w:r>
    </w:p>
    <w:p w14:paraId="7AA24E65">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7、投标文件参数响应表中必须标注响应项佐证材料所对应页面。</w:t>
      </w:r>
    </w:p>
    <w:p w14:paraId="6844EC8E">
      <w:pPr>
        <w:pageBreakBefore w:val="0"/>
        <w:kinsoku/>
        <w:wordWrap/>
        <w:overflowPunct/>
        <w:topLinePunct w:val="0"/>
        <w:bidi w:val="0"/>
        <w:spacing w:line="440" w:lineRule="exact"/>
        <w:ind w:firstLine="560" w:firstLineChars="200"/>
        <w:textAlignment w:val="auto"/>
        <w:rPr>
          <w:rFonts w:hint="default"/>
          <w:color w:val="auto"/>
          <w:lang w:val="en-US" w:eastAsia="zh-CN"/>
        </w:rPr>
      </w:pPr>
      <w:r>
        <w:rPr>
          <w:rFonts w:hint="eastAsia" w:ascii="仿宋_GB2312" w:hAnsi="Times New Roman" w:eastAsia="仿宋_GB2312" w:cs="仿宋_GB2312"/>
          <w:bCs/>
          <w:color w:val="auto"/>
          <w:kern w:val="0"/>
          <w:sz w:val="28"/>
          <w:szCs w:val="28"/>
          <w:lang w:val="en-US" w:eastAsia="zh-CN" w:bidi="ar-SA"/>
        </w:rPr>
        <w:t>8、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5453A049">
      <w:pPr>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br w:type="page"/>
      </w:r>
    </w:p>
    <w:p w14:paraId="5CEC1E4F">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420" w:leftChars="0"/>
        <w:jc w:val="both"/>
        <w:textAlignment w:val="auto"/>
        <w:rPr>
          <w:rFonts w:hint="eastAsia" w:ascii="仿宋" w:hAnsi="仿宋" w:eastAsia="仿宋" w:cs="仿宋"/>
          <w:b w:val="0"/>
          <w:bCs/>
          <w:color w:val="auto"/>
          <w:sz w:val="28"/>
          <w:szCs w:val="28"/>
        </w:rPr>
      </w:pPr>
      <w:r>
        <w:rPr>
          <w:rFonts w:hint="eastAsia" w:ascii="仿宋_GB2312" w:eastAsia="仿宋_GB2312" w:cs="仿宋_GB2312"/>
          <w:bCs/>
          <w:color w:val="auto"/>
          <w:kern w:val="0"/>
          <w:sz w:val="28"/>
          <w:szCs w:val="28"/>
          <w:lang w:val="en-US" w:eastAsia="zh-CN" w:bidi="ar-SA"/>
        </w:rPr>
        <w:t>四、合同</w:t>
      </w:r>
      <w:r>
        <w:rPr>
          <w:rFonts w:hint="eastAsia" w:ascii="仿宋" w:hAnsi="仿宋" w:eastAsia="仿宋" w:cs="仿宋"/>
          <w:b w:val="0"/>
          <w:bCs/>
          <w:color w:val="auto"/>
          <w:sz w:val="28"/>
          <w:szCs w:val="28"/>
        </w:rPr>
        <w:t xml:space="preserve"> </w:t>
      </w:r>
    </w:p>
    <w:p w14:paraId="17EEFB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24"/>
          <w:szCs w:val="24"/>
          <w:highlight w:val="none"/>
          <w:lang w:val="en-US" w:eastAsia="zh-CN"/>
        </w:rPr>
      </w:pPr>
      <w:bookmarkStart w:id="1" w:name="OLE_LINK2"/>
      <w:r>
        <w:rPr>
          <w:rFonts w:hint="eastAsia" w:ascii="仿宋" w:hAnsi="仿宋" w:eastAsia="仿宋" w:cs="仿宋"/>
          <w:b w:val="0"/>
          <w:bCs w:val="0"/>
          <w:color w:val="auto"/>
          <w:sz w:val="28"/>
          <w:szCs w:val="28"/>
          <w:lang w:val="en-US" w:eastAsia="zh-CN"/>
        </w:rPr>
        <w:t xml:space="preserve">  </w:t>
      </w:r>
      <w:r>
        <w:rPr>
          <w:rFonts w:hint="eastAsia" w:ascii="仿宋" w:hAnsi="仿宋" w:eastAsia="仿宋" w:cs="仿宋"/>
          <w:b w:val="0"/>
          <w:bCs/>
          <w:color w:val="000000"/>
          <w:sz w:val="28"/>
          <w:szCs w:val="28"/>
          <w:lang w:val="en-US" w:eastAsia="zh-CN"/>
        </w:rPr>
        <w:t xml:space="preserve">      </w:t>
      </w:r>
      <w:r>
        <w:rPr>
          <w:rFonts w:hint="eastAsia" w:ascii="宋体" w:hAnsi="宋体" w:eastAsia="宋体" w:cs="宋体"/>
          <w:b w:val="0"/>
          <w:bCs w:val="0"/>
          <w:color w:val="auto"/>
          <w:sz w:val="24"/>
          <w:szCs w:val="24"/>
          <w:highlight w:val="none"/>
          <w:lang w:val="en-US" w:eastAsia="zh-CN"/>
        </w:rPr>
        <w:t xml:space="preserve">                                                合同编号：</w:t>
      </w:r>
    </w:p>
    <w:p w14:paraId="3693DE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sz w:val="24"/>
          <w:szCs w:val="24"/>
          <w:highlight w:val="none"/>
          <w:lang w:val="en-US" w:eastAsia="zh-CN"/>
        </w:rPr>
      </w:pPr>
      <w:r>
        <w:rPr>
          <w:rFonts w:hint="eastAsia" w:ascii="黑体" w:hAnsi="黑体" w:eastAsia="黑体" w:cs="黑体"/>
          <w:color w:val="auto"/>
          <w:sz w:val="44"/>
          <w:szCs w:val="44"/>
          <w:highlight w:val="none"/>
          <w:lang w:val="en-US" w:eastAsia="zh-CN"/>
        </w:rPr>
        <w:t>货物采购合同</w:t>
      </w:r>
    </w:p>
    <w:p w14:paraId="73D3624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auto"/>
          <w:sz w:val="24"/>
          <w:szCs w:val="24"/>
          <w:highlight w:val="none"/>
          <w:lang w:val="en-US" w:eastAsia="zh-CN"/>
        </w:rPr>
      </w:pPr>
    </w:p>
    <w:p w14:paraId="6E95960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甲方（采购方）：</w:t>
      </w:r>
      <w:r>
        <w:rPr>
          <w:rFonts w:hint="eastAsia" w:ascii="宋体" w:hAnsi="宋体" w:eastAsia="宋体" w:cs="宋体"/>
          <w:color w:val="auto"/>
          <w:sz w:val="24"/>
          <w:szCs w:val="24"/>
          <w:highlight w:val="none"/>
          <w:lang w:val="en-US" w:eastAsia="zh-CN"/>
        </w:rPr>
        <w:t>广州医科大学附属第一医院娄底医院</w:t>
      </w:r>
    </w:p>
    <w:p w14:paraId="19DDB2C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法定代表人：杨吉军</w:t>
      </w:r>
    </w:p>
    <w:p w14:paraId="0F0D6AF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统一社会信用代码：12431300MB1P52227T</w:t>
      </w:r>
    </w:p>
    <w:p w14:paraId="42D2BB6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地址：湖南省娄底市娄星区新星南路5000号</w:t>
      </w:r>
    </w:p>
    <w:p w14:paraId="5F6DDDC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w:t>
      </w:r>
    </w:p>
    <w:p w14:paraId="1936D49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联系电话：</w:t>
      </w:r>
    </w:p>
    <w:p w14:paraId="0D196EA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乙方（供货方）：</w:t>
      </w:r>
    </w:p>
    <w:p w14:paraId="189F4C3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法定代表人：</w:t>
      </w:r>
    </w:p>
    <w:p w14:paraId="7A086602">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统一社会信用代码：</w:t>
      </w:r>
    </w:p>
    <w:p w14:paraId="36CA54D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w:t>
      </w:r>
    </w:p>
    <w:p w14:paraId="0A7C9A9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w:t>
      </w:r>
    </w:p>
    <w:p w14:paraId="0535598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联系电话：</w:t>
      </w:r>
    </w:p>
    <w:p w14:paraId="2243D2F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p>
    <w:p w14:paraId="18781AAB">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甲方通过（□</w:t>
      </w:r>
      <w:r>
        <w:rPr>
          <w:rFonts w:hint="eastAsia" w:ascii="宋体" w:hAnsi="宋体" w:eastAsia="宋体" w:cs="宋体"/>
          <w:color w:val="auto"/>
          <w:sz w:val="24"/>
          <w:szCs w:val="24"/>
          <w:highlight w:val="none"/>
          <w:u w:val="none"/>
          <w:lang w:val="en-US" w:eastAsia="zh-CN"/>
        </w:rPr>
        <w:t>公开招标</w:t>
      </w:r>
      <w:r>
        <w:rPr>
          <w:rFonts w:hint="eastAsia" w:ascii="宋体" w:hAnsi="宋体" w:eastAsia="宋体" w:cs="宋体"/>
          <w:color w:val="auto"/>
          <w:sz w:val="24"/>
          <w:szCs w:val="24"/>
          <w:highlight w:val="none"/>
          <w:lang w:val="en-US" w:eastAsia="zh-CN"/>
        </w:rPr>
        <w:t>☑医院公开挂网□医院院内议价□湖南政府采购电子卖场竞价）</w:t>
      </w:r>
      <w:r>
        <w:rPr>
          <w:rFonts w:hint="eastAsia" w:ascii="宋体" w:hAnsi="宋体" w:eastAsia="宋体" w:cs="宋体"/>
          <w:color w:val="auto"/>
          <w:sz w:val="24"/>
          <w:szCs w:val="24"/>
          <w:highlight w:val="none"/>
          <w:u w:val="none"/>
          <w:lang w:val="en-US" w:eastAsia="zh-CN"/>
        </w:rPr>
        <w:t>方式</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u w:val="single"/>
          <w:lang w:val="en-US" w:eastAsia="zh-CN"/>
        </w:rPr>
        <w:t xml:space="preserve"> 娄底医院</w:t>
      </w:r>
      <w:r>
        <w:rPr>
          <w:rFonts w:hint="eastAsia" w:ascii="宋体" w:hAnsi="宋体" w:eastAsia="宋体" w:cs="宋体"/>
          <w:color w:val="auto"/>
          <w:kern w:val="0"/>
          <w:sz w:val="24"/>
          <w:szCs w:val="24"/>
          <w:highlight w:val="none"/>
          <w:u w:val="single"/>
          <w:lang w:val="en-US" w:eastAsia="zh-CN"/>
        </w:rPr>
        <w:t>交通标识牌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，乙方为中标/中选供应商，</w:t>
      </w:r>
      <w:r>
        <w:rPr>
          <w:rFonts w:hint="eastAsia" w:ascii="宋体" w:hAnsi="宋体" w:eastAsia="宋体" w:cs="宋体"/>
          <w:color w:val="auto"/>
          <w:sz w:val="24"/>
          <w:szCs w:val="24"/>
          <w:highlight w:val="none"/>
          <w:u w:val="none"/>
          <w:lang w:val="en-US" w:eastAsia="zh-CN"/>
        </w:rPr>
        <w:t>项目编号：</w:t>
      </w:r>
      <w:r>
        <w:rPr>
          <w:rFonts w:hint="eastAsia" w:ascii="宋体" w:hAnsi="宋体" w:eastAsia="宋体" w:cs="宋体"/>
          <w:color w:val="auto"/>
          <w:sz w:val="24"/>
          <w:szCs w:val="24"/>
          <w:highlight w:val="none"/>
          <w:u w:val="single"/>
          <w:lang w:val="en-US" w:eastAsia="zh-CN"/>
        </w:rPr>
        <w:t xml:space="preserve"> / </w:t>
      </w:r>
      <w:r>
        <w:rPr>
          <w:rFonts w:hint="eastAsia" w:ascii="宋体" w:hAnsi="宋体" w:eastAsia="宋体" w:cs="宋体"/>
          <w:color w:val="auto"/>
          <w:sz w:val="24"/>
          <w:szCs w:val="24"/>
          <w:highlight w:val="none"/>
          <w:lang w:val="en-US" w:eastAsia="zh-CN"/>
        </w:rPr>
        <w:t>。根据《中华人民共和国民法典》《中华人民共和国政府采购法》等相关法律规定，甲乙双方在采购项目确定的基础上，就采购</w:t>
      </w:r>
      <w:r>
        <w:rPr>
          <w:rFonts w:hint="eastAsia" w:ascii="宋体" w:hAnsi="宋体" w:eastAsia="宋体" w:cs="宋体"/>
          <w:color w:val="auto"/>
          <w:sz w:val="24"/>
          <w:szCs w:val="24"/>
          <w:highlight w:val="none"/>
          <w:u w:val="single"/>
          <w:lang w:val="en-US" w:eastAsia="zh-CN"/>
        </w:rPr>
        <w:t xml:space="preserve"> 娄底医院</w:t>
      </w:r>
      <w:r>
        <w:rPr>
          <w:rFonts w:hint="eastAsia" w:ascii="宋体" w:hAnsi="宋体" w:eastAsia="宋体" w:cs="宋体"/>
          <w:color w:val="auto"/>
          <w:kern w:val="0"/>
          <w:sz w:val="24"/>
          <w:szCs w:val="24"/>
          <w:highlight w:val="none"/>
          <w:u w:val="single"/>
          <w:lang w:val="en-US" w:eastAsia="zh-CN"/>
        </w:rPr>
        <w:t>交通标识牌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相关</w:t>
      </w:r>
      <w:r>
        <w:rPr>
          <w:rFonts w:hint="eastAsia" w:ascii="宋体" w:hAnsi="宋体" w:eastAsia="宋体" w:cs="宋体"/>
          <w:color w:val="auto"/>
          <w:sz w:val="24"/>
          <w:szCs w:val="24"/>
          <w:highlight w:val="none"/>
          <w:lang w:val="en-US" w:eastAsia="zh-CN"/>
        </w:rPr>
        <w:t>事宜平等、自愿、公平、诚信协商，达成一致，特订立本合同，以资共同遵守。</w:t>
      </w:r>
    </w:p>
    <w:p w14:paraId="5E740423">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SA"/>
        </w:rPr>
        <w:t xml:space="preserve">第一条  </w:t>
      </w:r>
      <w:r>
        <w:rPr>
          <w:rFonts w:hint="eastAsia" w:ascii="宋体" w:hAnsi="宋体" w:eastAsia="宋体" w:cs="宋体"/>
          <w:b/>
          <w:bCs/>
          <w:color w:val="auto"/>
          <w:sz w:val="24"/>
          <w:szCs w:val="24"/>
          <w:highlight w:val="none"/>
          <w:lang w:val="en-US" w:eastAsia="zh-CN"/>
        </w:rPr>
        <w:t>采购内容</w:t>
      </w:r>
    </w:p>
    <w:p w14:paraId="28637F9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 货物名称、品牌、型号、价格</w:t>
      </w:r>
    </w:p>
    <w:tbl>
      <w:tblPr>
        <w:tblStyle w:val="13"/>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06"/>
        <w:gridCol w:w="1478"/>
        <w:gridCol w:w="997"/>
        <w:gridCol w:w="1371"/>
        <w:gridCol w:w="2104"/>
      </w:tblGrid>
      <w:tr w14:paraId="3F004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3106" w:type="dxa"/>
            <w:noWrap w:val="0"/>
            <w:vAlign w:val="center"/>
          </w:tcPr>
          <w:p w14:paraId="339D55D7">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货物名</w:t>
            </w:r>
            <w:r>
              <w:rPr>
                <w:rFonts w:hint="eastAsia" w:ascii="宋体" w:hAnsi="宋体" w:eastAsia="宋体" w:cs="宋体"/>
                <w:b/>
                <w:bCs/>
                <w:color w:val="auto"/>
                <w:kern w:val="0"/>
                <w:sz w:val="24"/>
                <w:szCs w:val="24"/>
                <w:highlight w:val="none"/>
              </w:rPr>
              <w:t>称</w:t>
            </w:r>
          </w:p>
        </w:tc>
        <w:tc>
          <w:tcPr>
            <w:tcW w:w="1478" w:type="dxa"/>
            <w:noWrap w:val="0"/>
            <w:vAlign w:val="center"/>
          </w:tcPr>
          <w:p w14:paraId="3C781A8E">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单价（元）</w:t>
            </w:r>
          </w:p>
        </w:tc>
        <w:tc>
          <w:tcPr>
            <w:tcW w:w="997" w:type="dxa"/>
            <w:noWrap w:val="0"/>
            <w:vAlign w:val="center"/>
          </w:tcPr>
          <w:p w14:paraId="0F639ED0">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数量</w:t>
            </w:r>
          </w:p>
        </w:tc>
        <w:tc>
          <w:tcPr>
            <w:tcW w:w="1371" w:type="dxa"/>
            <w:noWrap w:val="0"/>
            <w:vAlign w:val="center"/>
          </w:tcPr>
          <w:p w14:paraId="76A40F33">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金额（元）</w:t>
            </w:r>
          </w:p>
        </w:tc>
        <w:tc>
          <w:tcPr>
            <w:tcW w:w="2104" w:type="dxa"/>
            <w:noWrap w:val="0"/>
            <w:vAlign w:val="center"/>
          </w:tcPr>
          <w:p w14:paraId="5E917CF5">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eastAsia="zh-CN"/>
              </w:rPr>
              <w:t>设计样式</w:t>
            </w:r>
            <w:r>
              <w:rPr>
                <w:rFonts w:hint="eastAsia" w:ascii="宋体" w:hAnsi="宋体" w:eastAsia="宋体" w:cs="宋体"/>
                <w:b/>
                <w:bCs/>
                <w:color w:val="auto"/>
                <w:kern w:val="0"/>
                <w:sz w:val="24"/>
                <w:szCs w:val="24"/>
                <w:highlight w:val="none"/>
                <w:lang w:val="en-US" w:eastAsia="zh-CN"/>
              </w:rPr>
              <w:t>/</w:t>
            </w:r>
          </w:p>
          <w:p w14:paraId="2D3B1195">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lang w:val="en-US" w:eastAsia="zh-CN"/>
              </w:rPr>
              <w:t>安装</w:t>
            </w:r>
            <w:r>
              <w:rPr>
                <w:rFonts w:hint="eastAsia" w:ascii="宋体" w:hAnsi="宋体" w:eastAsia="宋体" w:cs="宋体"/>
                <w:b/>
                <w:bCs/>
                <w:color w:val="auto"/>
                <w:kern w:val="0"/>
                <w:sz w:val="24"/>
                <w:szCs w:val="24"/>
                <w:highlight w:val="none"/>
                <w:lang w:eastAsia="zh-CN"/>
              </w:rPr>
              <w:t>地点</w:t>
            </w:r>
          </w:p>
        </w:tc>
      </w:tr>
      <w:tr w14:paraId="583C2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3106" w:type="dxa"/>
            <w:noWrap w:val="0"/>
            <w:vAlign w:val="center"/>
          </w:tcPr>
          <w:p w14:paraId="4F2B69DC">
            <w:pPr>
              <w:keepNext w:val="0"/>
              <w:keepLines w:val="0"/>
              <w:pageBreakBefore w:val="0"/>
              <w:widowControl/>
              <w:kinsoku/>
              <w:wordWrap/>
              <w:overflowPunct/>
              <w:topLinePunct w:val="0"/>
              <w:autoSpaceDE/>
              <w:autoSpaceDN/>
              <w:bidi w:val="0"/>
              <w:adjustRightInd/>
              <w:snapToGrid w:val="0"/>
              <w:spacing w:line="320" w:lineRule="exact"/>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娄底医院交通标识牌（全套）</w:t>
            </w:r>
          </w:p>
        </w:tc>
        <w:tc>
          <w:tcPr>
            <w:tcW w:w="1478" w:type="dxa"/>
            <w:noWrap w:val="0"/>
            <w:vAlign w:val="center"/>
          </w:tcPr>
          <w:p w14:paraId="7E7661D7">
            <w:pPr>
              <w:keepNext w:val="0"/>
              <w:keepLines w:val="0"/>
              <w:pageBreakBefore w:val="0"/>
              <w:widowControl/>
              <w:kinsoku/>
              <w:wordWrap/>
              <w:overflowPunct/>
              <w:topLinePunct w:val="0"/>
              <w:autoSpaceDE/>
              <w:autoSpaceDN/>
              <w:bidi w:val="0"/>
              <w:adjustRightInd/>
              <w:snapToGrid w:val="0"/>
              <w:spacing w:line="320" w:lineRule="exact"/>
              <w:jc w:val="center"/>
              <w:textAlignment w:val="auto"/>
              <w:rPr>
                <w:rFonts w:hint="default" w:ascii="宋体" w:hAnsi="宋体" w:eastAsia="宋体" w:cs="宋体"/>
                <w:color w:val="auto"/>
                <w:kern w:val="0"/>
                <w:sz w:val="24"/>
                <w:szCs w:val="24"/>
                <w:highlight w:val="none"/>
                <w:lang w:val="en-US" w:eastAsia="zh-CN"/>
              </w:rPr>
            </w:pPr>
          </w:p>
        </w:tc>
        <w:tc>
          <w:tcPr>
            <w:tcW w:w="997" w:type="dxa"/>
            <w:noWrap w:val="0"/>
            <w:vAlign w:val="center"/>
          </w:tcPr>
          <w:p w14:paraId="0B035EB3">
            <w:pPr>
              <w:keepNext w:val="0"/>
              <w:keepLines w:val="0"/>
              <w:pageBreakBefore w:val="0"/>
              <w:widowControl/>
              <w:kinsoku/>
              <w:wordWrap/>
              <w:overflowPunct/>
              <w:topLinePunct w:val="0"/>
              <w:autoSpaceDE/>
              <w:autoSpaceDN/>
              <w:bidi w:val="0"/>
              <w:adjustRightInd/>
              <w:snapToGrid w:val="0"/>
              <w:spacing w:line="320" w:lineRule="exact"/>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w:t>
            </w:r>
          </w:p>
        </w:tc>
        <w:tc>
          <w:tcPr>
            <w:tcW w:w="1371" w:type="dxa"/>
            <w:noWrap w:val="0"/>
            <w:vAlign w:val="center"/>
          </w:tcPr>
          <w:p w14:paraId="753E329A">
            <w:pPr>
              <w:keepNext w:val="0"/>
              <w:keepLines w:val="0"/>
              <w:pageBreakBefore w:val="0"/>
              <w:widowControl/>
              <w:kinsoku/>
              <w:wordWrap/>
              <w:overflowPunct/>
              <w:topLinePunct w:val="0"/>
              <w:autoSpaceDE/>
              <w:autoSpaceDN/>
              <w:bidi w:val="0"/>
              <w:adjustRightInd/>
              <w:snapToGrid w:val="0"/>
              <w:spacing w:line="320" w:lineRule="exact"/>
              <w:jc w:val="center"/>
              <w:textAlignment w:val="auto"/>
              <w:rPr>
                <w:rFonts w:hint="default" w:ascii="宋体" w:hAnsi="宋体" w:eastAsia="宋体" w:cs="宋体"/>
                <w:color w:val="auto"/>
                <w:kern w:val="0"/>
                <w:sz w:val="24"/>
                <w:szCs w:val="24"/>
                <w:highlight w:val="none"/>
                <w:lang w:val="en-US" w:eastAsia="zh-CN"/>
              </w:rPr>
            </w:pPr>
          </w:p>
        </w:tc>
        <w:tc>
          <w:tcPr>
            <w:tcW w:w="2104" w:type="dxa"/>
            <w:noWrap w:val="0"/>
            <w:vAlign w:val="center"/>
          </w:tcPr>
          <w:p w14:paraId="236FA1E2">
            <w:pPr>
              <w:keepNext w:val="0"/>
              <w:keepLines w:val="0"/>
              <w:pageBreakBefore w:val="0"/>
              <w:widowControl/>
              <w:kinsoku/>
              <w:wordWrap/>
              <w:overflowPunct/>
              <w:topLinePunct w:val="0"/>
              <w:autoSpaceDE/>
              <w:autoSpaceDN/>
              <w:bidi w:val="0"/>
              <w:adjustRightInd/>
              <w:snapToGrid w:val="0"/>
              <w:spacing w:line="320" w:lineRule="exact"/>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见附件1</w:t>
            </w:r>
          </w:p>
        </w:tc>
      </w:tr>
      <w:tr w14:paraId="08614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06" w:type="dxa"/>
            <w:noWrap w:val="0"/>
            <w:vAlign w:val="center"/>
          </w:tcPr>
          <w:p w14:paraId="6AA1A12A">
            <w:pPr>
              <w:keepNext w:val="0"/>
              <w:keepLines w:val="0"/>
              <w:pageBreakBefore w:val="0"/>
              <w:widowControl/>
              <w:kinsoku/>
              <w:wordWrap/>
              <w:overflowPunct/>
              <w:topLinePunct w:val="0"/>
              <w:autoSpaceDE/>
              <w:autoSpaceDN/>
              <w:bidi w:val="0"/>
              <w:adjustRightInd/>
              <w:snapToGrid w:val="0"/>
              <w:spacing w:line="320" w:lineRule="exact"/>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娄底医院交通标识牌（牌面）</w:t>
            </w:r>
          </w:p>
        </w:tc>
        <w:tc>
          <w:tcPr>
            <w:tcW w:w="1478" w:type="dxa"/>
            <w:noWrap w:val="0"/>
            <w:vAlign w:val="center"/>
          </w:tcPr>
          <w:p w14:paraId="30EA40FF">
            <w:pPr>
              <w:keepNext w:val="0"/>
              <w:keepLines w:val="0"/>
              <w:pageBreakBefore w:val="0"/>
              <w:widowControl/>
              <w:kinsoku/>
              <w:wordWrap/>
              <w:overflowPunct/>
              <w:topLinePunct w:val="0"/>
              <w:autoSpaceDE/>
              <w:autoSpaceDN/>
              <w:bidi w:val="0"/>
              <w:adjustRightInd/>
              <w:snapToGrid w:val="0"/>
              <w:spacing w:line="320" w:lineRule="exact"/>
              <w:jc w:val="center"/>
              <w:textAlignment w:val="auto"/>
              <w:rPr>
                <w:rFonts w:hint="eastAsia" w:ascii="宋体" w:hAnsi="宋体" w:eastAsia="宋体" w:cs="宋体"/>
                <w:color w:val="auto"/>
                <w:kern w:val="0"/>
                <w:sz w:val="24"/>
                <w:szCs w:val="24"/>
                <w:highlight w:val="none"/>
                <w:lang w:val="en-US" w:eastAsia="zh-CN"/>
              </w:rPr>
            </w:pPr>
          </w:p>
        </w:tc>
        <w:tc>
          <w:tcPr>
            <w:tcW w:w="997" w:type="dxa"/>
            <w:noWrap w:val="0"/>
            <w:vAlign w:val="center"/>
          </w:tcPr>
          <w:p w14:paraId="547EECE1">
            <w:pPr>
              <w:keepNext w:val="0"/>
              <w:keepLines w:val="0"/>
              <w:pageBreakBefore w:val="0"/>
              <w:widowControl/>
              <w:kinsoku/>
              <w:wordWrap/>
              <w:overflowPunct/>
              <w:topLinePunct w:val="0"/>
              <w:autoSpaceDE/>
              <w:autoSpaceDN/>
              <w:bidi w:val="0"/>
              <w:adjustRightInd/>
              <w:snapToGrid w:val="0"/>
              <w:spacing w:line="320" w:lineRule="exact"/>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p>
        </w:tc>
        <w:tc>
          <w:tcPr>
            <w:tcW w:w="1371" w:type="dxa"/>
            <w:noWrap w:val="0"/>
            <w:vAlign w:val="center"/>
          </w:tcPr>
          <w:p w14:paraId="4B53129D">
            <w:pPr>
              <w:keepNext w:val="0"/>
              <w:keepLines w:val="0"/>
              <w:pageBreakBefore w:val="0"/>
              <w:widowControl/>
              <w:kinsoku/>
              <w:wordWrap/>
              <w:overflowPunct/>
              <w:topLinePunct w:val="0"/>
              <w:autoSpaceDE/>
              <w:autoSpaceDN/>
              <w:bidi w:val="0"/>
              <w:adjustRightInd/>
              <w:snapToGrid w:val="0"/>
              <w:spacing w:line="320" w:lineRule="exact"/>
              <w:jc w:val="center"/>
              <w:textAlignment w:val="auto"/>
              <w:rPr>
                <w:rFonts w:hint="default" w:ascii="宋体" w:hAnsi="宋体" w:eastAsia="宋体" w:cs="宋体"/>
                <w:color w:val="auto"/>
                <w:kern w:val="0"/>
                <w:sz w:val="24"/>
                <w:szCs w:val="24"/>
                <w:highlight w:val="none"/>
                <w:lang w:val="en-US" w:eastAsia="zh-CN"/>
              </w:rPr>
            </w:pPr>
          </w:p>
        </w:tc>
        <w:tc>
          <w:tcPr>
            <w:tcW w:w="2104" w:type="dxa"/>
            <w:noWrap w:val="0"/>
            <w:vAlign w:val="center"/>
          </w:tcPr>
          <w:p w14:paraId="7EC41860">
            <w:pPr>
              <w:keepNext w:val="0"/>
              <w:keepLines w:val="0"/>
              <w:pageBreakBefore w:val="0"/>
              <w:widowControl/>
              <w:kinsoku/>
              <w:wordWrap/>
              <w:overflowPunct/>
              <w:topLinePunct w:val="0"/>
              <w:autoSpaceDE/>
              <w:autoSpaceDN/>
              <w:bidi w:val="0"/>
              <w:adjustRightInd/>
              <w:snapToGrid w:val="0"/>
              <w:spacing w:line="320" w:lineRule="exact"/>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见附件1</w:t>
            </w:r>
          </w:p>
        </w:tc>
      </w:tr>
      <w:tr w14:paraId="3D5E0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9056" w:type="dxa"/>
            <w:gridSpan w:val="5"/>
            <w:noWrap w:val="0"/>
            <w:vAlign w:val="center"/>
          </w:tcPr>
          <w:p w14:paraId="331752F8">
            <w:pPr>
              <w:keepNext w:val="0"/>
              <w:keepLines w:val="0"/>
              <w:pageBreakBefore w:val="0"/>
              <w:widowControl/>
              <w:kinsoku/>
              <w:wordWrap/>
              <w:overflowPunct/>
              <w:topLinePunct w:val="0"/>
              <w:autoSpaceDE/>
              <w:autoSpaceDN/>
              <w:bidi w:val="0"/>
              <w:adjustRightInd/>
              <w:snapToGrid w:val="0"/>
              <w:spacing w:line="32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合计</w:t>
            </w:r>
            <w:r>
              <w:rPr>
                <w:rFonts w:hint="eastAsia" w:ascii="宋体" w:hAnsi="宋体" w:eastAsia="宋体" w:cs="宋体"/>
                <w:color w:val="auto"/>
                <w:kern w:val="0"/>
                <w:sz w:val="24"/>
                <w:szCs w:val="24"/>
                <w:highlight w:val="none"/>
                <w:lang w:eastAsia="zh-CN"/>
              </w:rPr>
              <w:t>价款</w:t>
            </w:r>
            <w:r>
              <w:rPr>
                <w:rFonts w:hint="eastAsia" w:ascii="宋体" w:hAnsi="宋体" w:eastAsia="宋体" w:cs="宋体"/>
                <w:color w:val="auto"/>
                <w:kern w:val="0"/>
                <w:sz w:val="24"/>
                <w:szCs w:val="24"/>
                <w:highlight w:val="none"/>
              </w:rPr>
              <w:t>金额人民币（大写）：</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lang w:eastAsia="zh-CN"/>
              </w:rPr>
              <w:t>元</w:t>
            </w:r>
            <w:r>
              <w:rPr>
                <w:rFonts w:hint="eastAsia" w:ascii="宋体" w:hAnsi="宋体" w:eastAsia="宋体" w:cs="宋体"/>
                <w:color w:val="auto"/>
                <w:kern w:val="0"/>
                <w:sz w:val="24"/>
                <w:szCs w:val="24"/>
                <w:highlight w:val="none"/>
                <w:lang w:val="en-US" w:eastAsia="zh-CN"/>
              </w:rPr>
              <w:t xml:space="preserve">整      </w:t>
            </w:r>
            <w:r>
              <w:rPr>
                <w:rFonts w:hint="eastAsia" w:ascii="宋体" w:hAnsi="宋体" w:eastAsia="宋体" w:cs="宋体"/>
                <w:color w:val="auto"/>
                <w:kern w:val="0"/>
                <w:sz w:val="24"/>
                <w:szCs w:val="24"/>
                <w:highlight w:val="none"/>
              </w:rPr>
              <w:t>（小写）：</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lang w:val="en-US" w:eastAsia="zh-CN"/>
              </w:rPr>
              <w:t>元</w:t>
            </w:r>
          </w:p>
        </w:tc>
      </w:tr>
    </w:tbl>
    <w:p w14:paraId="68CA0B4F">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6E5C607A">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s="宋体"/>
          <w:color w:val="auto"/>
          <w:sz w:val="24"/>
          <w:szCs w:val="24"/>
          <w:highlight w:val="none"/>
        </w:rPr>
      </w:pPr>
      <w:r>
        <w:rPr>
          <w:rFonts w:hint="eastAsia" w:ascii="宋体" w:hAnsi="宋体" w:eastAsia="宋体" w:cs="宋体"/>
          <w:color w:val="auto"/>
          <w:sz w:val="24"/>
          <w:szCs w:val="24"/>
          <w:highlight w:val="none"/>
          <w:lang w:val="en-US" w:eastAsia="zh-CN"/>
        </w:rPr>
        <w:t>1.3 ☑</w:t>
      </w:r>
      <w:r>
        <w:rPr>
          <w:rFonts w:hint="eastAsia" w:ascii="宋体" w:hAnsi="宋体" w:cs="宋体"/>
          <w:color w:val="auto"/>
          <w:sz w:val="24"/>
          <w:szCs w:val="24"/>
          <w:highlight w:val="none"/>
        </w:rPr>
        <w:t>本合同</w:t>
      </w:r>
      <w:r>
        <w:rPr>
          <w:rFonts w:hint="eastAsia" w:ascii="宋体" w:hAnsi="宋体" w:cs="宋体"/>
          <w:color w:val="auto"/>
          <w:sz w:val="24"/>
          <w:szCs w:val="24"/>
          <w:highlight w:val="none"/>
          <w:lang w:eastAsia="zh-CN"/>
        </w:rPr>
        <w:t>货物无需</w:t>
      </w:r>
      <w:r>
        <w:rPr>
          <w:rFonts w:hint="eastAsia" w:ascii="宋体" w:hAnsi="宋体" w:cs="宋体"/>
          <w:color w:val="auto"/>
          <w:sz w:val="24"/>
          <w:szCs w:val="24"/>
          <w:highlight w:val="none"/>
        </w:rPr>
        <w:t>与甲方</w:t>
      </w:r>
      <w:r>
        <w:rPr>
          <w:rFonts w:hint="eastAsia" w:ascii="宋体" w:hAnsi="宋体" w:cs="宋体"/>
          <w:color w:val="auto"/>
          <w:sz w:val="24"/>
          <w:szCs w:val="24"/>
          <w:highlight w:val="none"/>
          <w:lang w:eastAsia="zh-CN"/>
        </w:rPr>
        <w:t>使用的</w:t>
      </w:r>
      <w:r>
        <w:rPr>
          <w:rFonts w:hint="eastAsia" w:ascii="宋体" w:hAnsi="宋体" w:cs="宋体"/>
          <w:color w:val="auto"/>
          <w:sz w:val="24"/>
          <w:szCs w:val="24"/>
          <w:highlight w:val="none"/>
        </w:rPr>
        <w:t>信息系统</w:t>
      </w:r>
      <w:r>
        <w:rPr>
          <w:rFonts w:hint="eastAsia" w:ascii="宋体" w:hAnsi="宋体" w:cs="宋体"/>
          <w:color w:val="auto"/>
          <w:sz w:val="24"/>
          <w:szCs w:val="24"/>
          <w:highlight w:val="none"/>
          <w:lang w:eastAsia="zh-CN"/>
        </w:rPr>
        <w:t>对接。</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rPr>
        <w:t>本合同</w:t>
      </w:r>
      <w:r>
        <w:rPr>
          <w:rFonts w:hint="eastAsia" w:ascii="宋体" w:hAnsi="宋体" w:cs="宋体"/>
          <w:color w:val="auto"/>
          <w:sz w:val="24"/>
          <w:szCs w:val="24"/>
          <w:highlight w:val="none"/>
          <w:lang w:eastAsia="zh-CN"/>
        </w:rPr>
        <w:t>货物需要</w:t>
      </w:r>
      <w:r>
        <w:rPr>
          <w:rFonts w:hint="eastAsia" w:ascii="宋体" w:hAnsi="宋体" w:cs="宋体"/>
          <w:color w:val="auto"/>
          <w:sz w:val="24"/>
          <w:szCs w:val="24"/>
          <w:highlight w:val="none"/>
        </w:rPr>
        <w:t>与甲方</w:t>
      </w:r>
      <w:r>
        <w:rPr>
          <w:rFonts w:hint="eastAsia" w:ascii="宋体" w:hAnsi="宋体" w:cs="宋体"/>
          <w:color w:val="auto"/>
          <w:sz w:val="24"/>
          <w:szCs w:val="24"/>
          <w:highlight w:val="none"/>
          <w:lang w:eastAsia="zh-CN"/>
        </w:rPr>
        <w:t>使用的</w:t>
      </w:r>
      <w:r>
        <w:rPr>
          <w:rFonts w:hint="eastAsia" w:ascii="宋体" w:hAnsi="宋体" w:cs="宋体"/>
          <w:color w:val="auto"/>
          <w:sz w:val="24"/>
          <w:szCs w:val="24"/>
          <w:highlight w:val="none"/>
        </w:rPr>
        <w:t>信息系统</w:t>
      </w:r>
      <w:r>
        <w:rPr>
          <w:rFonts w:hint="eastAsia" w:ascii="宋体" w:hAnsi="宋体" w:cs="宋体"/>
          <w:color w:val="auto"/>
          <w:sz w:val="24"/>
          <w:szCs w:val="24"/>
          <w:highlight w:val="none"/>
          <w:lang w:eastAsia="zh-CN"/>
        </w:rPr>
        <w:t>对接，因</w:t>
      </w:r>
      <w:r>
        <w:rPr>
          <w:rFonts w:hint="eastAsia" w:ascii="宋体" w:hAnsi="宋体" w:cs="宋体"/>
          <w:color w:val="auto"/>
          <w:sz w:val="24"/>
          <w:szCs w:val="24"/>
          <w:highlight w:val="none"/>
        </w:rPr>
        <w:t>对接产生的接口开发等</w:t>
      </w:r>
      <w:r>
        <w:rPr>
          <w:rFonts w:hint="eastAsia" w:ascii="宋体" w:hAnsi="宋体" w:cs="宋体"/>
          <w:color w:val="auto"/>
          <w:sz w:val="24"/>
          <w:szCs w:val="24"/>
          <w:highlight w:val="none"/>
          <w:lang w:eastAsia="zh-CN"/>
        </w:rPr>
        <w:t>乙方及第三方需要收取的</w:t>
      </w:r>
      <w:r>
        <w:rPr>
          <w:rFonts w:hint="eastAsia" w:ascii="宋体" w:hAnsi="宋体" w:cs="宋体"/>
          <w:color w:val="auto"/>
          <w:sz w:val="24"/>
          <w:szCs w:val="24"/>
          <w:highlight w:val="none"/>
        </w:rPr>
        <w:t>全部费用均由乙方承担。</w:t>
      </w:r>
    </w:p>
    <w:p w14:paraId="713CAD5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both"/>
        <w:textAlignment w:val="auto"/>
        <w:rPr>
          <w:rFonts w:hint="default" w:ascii="宋体" w:hAnsi="宋体" w:cs="宋体"/>
          <w:color w:val="auto"/>
          <w:sz w:val="24"/>
          <w:szCs w:val="24"/>
          <w:highlight w:val="none"/>
          <w:u w:val="none"/>
          <w:lang w:val="en-US" w:eastAsia="zh-CN"/>
        </w:rPr>
      </w:pPr>
      <w:r>
        <w:rPr>
          <w:rFonts w:hint="eastAsia" w:ascii="宋体" w:hAnsi="宋体" w:cs="宋体"/>
          <w:color w:val="auto"/>
          <w:sz w:val="24"/>
          <w:szCs w:val="24"/>
          <w:highlight w:val="none"/>
          <w:lang w:val="en-US" w:eastAsia="zh-CN"/>
        </w:rPr>
        <w:t xml:space="preserve">1.4 </w:t>
      </w:r>
      <w:r>
        <w:rPr>
          <w:rFonts w:hint="default" w:ascii="宋体" w:hAnsi="宋体" w:cs="宋体"/>
          <w:color w:val="auto"/>
          <w:sz w:val="24"/>
          <w:szCs w:val="24"/>
          <w:highlight w:val="none"/>
          <w:u w:val="none"/>
          <w:lang w:val="en-US" w:eastAsia="zh-CN"/>
        </w:rPr>
        <w:t>乙方应于本合同签订之日起</w:t>
      </w:r>
      <w:r>
        <w:rPr>
          <w:rFonts w:hint="eastAsia" w:ascii="宋体" w:hAnsi="宋体" w:cs="宋体"/>
          <w:color w:val="auto"/>
          <w:sz w:val="24"/>
          <w:szCs w:val="24"/>
          <w:highlight w:val="none"/>
          <w:u w:val="single"/>
          <w:lang w:val="en-US" w:eastAsia="zh-CN"/>
        </w:rPr>
        <w:t xml:space="preserve"> 3 </w:t>
      </w:r>
      <w:r>
        <w:rPr>
          <w:rFonts w:hint="default" w:ascii="宋体" w:hAnsi="宋体" w:cs="宋体"/>
          <w:color w:val="auto"/>
          <w:sz w:val="24"/>
          <w:szCs w:val="24"/>
          <w:highlight w:val="none"/>
          <w:u w:val="none"/>
          <w:lang w:val="en-US" w:eastAsia="zh-CN"/>
        </w:rPr>
        <w:t>个工作日内，将所有货物的版面内容提交甲方审核。经甲方审核通过后，乙方应于</w:t>
      </w:r>
      <w:r>
        <w:rPr>
          <w:rFonts w:hint="eastAsia" w:ascii="宋体" w:hAnsi="宋体" w:cs="宋体"/>
          <w:color w:val="auto"/>
          <w:sz w:val="24"/>
          <w:szCs w:val="24"/>
          <w:highlight w:val="none"/>
          <w:u w:val="single"/>
          <w:lang w:val="en-US" w:eastAsia="zh-CN"/>
        </w:rPr>
        <w:t xml:space="preserve"> 3 </w:t>
      </w:r>
      <w:r>
        <w:rPr>
          <w:rFonts w:hint="default" w:ascii="宋体" w:hAnsi="宋体" w:cs="宋体"/>
          <w:color w:val="auto"/>
          <w:sz w:val="24"/>
          <w:szCs w:val="24"/>
          <w:highlight w:val="none"/>
          <w:u w:val="none"/>
          <w:lang w:val="en-US" w:eastAsia="zh-CN"/>
        </w:rPr>
        <w:t>个工作日内，将该内容报送交警部门审核。前述全部审核流程均通过后，乙方方可进行制作、实施及安装。</w:t>
      </w:r>
    </w:p>
    <w:p w14:paraId="3E891A0C">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482" w:firstLineChars="200"/>
        <w:jc w:val="both"/>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SA"/>
        </w:rPr>
        <w:t xml:space="preserve">第二条  </w:t>
      </w:r>
      <w:r>
        <w:rPr>
          <w:rFonts w:hint="default" w:ascii="宋体" w:hAnsi="宋体" w:eastAsia="宋体" w:cs="宋体"/>
          <w:b/>
          <w:bCs/>
          <w:color w:val="auto"/>
          <w:sz w:val="24"/>
          <w:szCs w:val="24"/>
          <w:highlight w:val="none"/>
          <w:lang w:val="en-US" w:eastAsia="zh-CN"/>
        </w:rPr>
        <w:t>交货时间、地点、运输</w:t>
      </w:r>
      <w:r>
        <w:rPr>
          <w:rFonts w:hint="eastAsia" w:ascii="宋体" w:hAnsi="宋体" w:eastAsia="宋体" w:cs="宋体"/>
          <w:b/>
          <w:bCs/>
          <w:color w:val="auto"/>
          <w:sz w:val="24"/>
          <w:szCs w:val="24"/>
          <w:highlight w:val="none"/>
          <w:lang w:val="en-US" w:eastAsia="zh-CN"/>
        </w:rPr>
        <w:t>、</w:t>
      </w:r>
      <w:r>
        <w:rPr>
          <w:rFonts w:hint="default" w:ascii="宋体" w:hAnsi="宋体" w:eastAsia="宋体" w:cs="宋体"/>
          <w:b/>
          <w:bCs/>
          <w:color w:val="auto"/>
          <w:sz w:val="24"/>
          <w:szCs w:val="24"/>
          <w:highlight w:val="none"/>
          <w:lang w:val="en-US" w:eastAsia="zh-CN"/>
        </w:rPr>
        <w:t>装卸</w:t>
      </w:r>
      <w:r>
        <w:rPr>
          <w:rFonts w:hint="eastAsia" w:ascii="宋体" w:hAnsi="宋体" w:eastAsia="宋体" w:cs="宋体"/>
          <w:b/>
          <w:bCs/>
          <w:color w:val="auto"/>
          <w:sz w:val="24"/>
          <w:szCs w:val="24"/>
          <w:highlight w:val="none"/>
          <w:lang w:val="en-US" w:eastAsia="zh-CN"/>
        </w:rPr>
        <w:t>、搬运</w:t>
      </w:r>
    </w:p>
    <w:p w14:paraId="3C450FE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2.1 </w:t>
      </w:r>
      <w:r>
        <w:rPr>
          <w:rFonts w:hint="default" w:ascii="宋体" w:hAnsi="宋体" w:eastAsia="宋体" w:cs="宋体"/>
          <w:color w:val="auto"/>
          <w:sz w:val="24"/>
          <w:szCs w:val="24"/>
          <w:highlight w:val="none"/>
          <w:lang w:val="en-US" w:eastAsia="zh-CN"/>
        </w:rPr>
        <w:t>交货时间：</w:t>
      </w:r>
    </w:p>
    <w:p w14:paraId="7EE3A81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lang w:val="en-US" w:eastAsia="zh-CN"/>
        </w:rPr>
        <w:t>本合同货物</w:t>
      </w:r>
      <w:r>
        <w:rPr>
          <w:rFonts w:hint="eastAsia" w:ascii="宋体" w:hAnsi="宋体" w:eastAsia="宋体" w:cs="宋体"/>
          <w:color w:val="auto"/>
          <w:sz w:val="24"/>
          <w:szCs w:val="24"/>
          <w:highlight w:val="none"/>
          <w:u w:val="none"/>
          <w:lang w:val="en-US" w:eastAsia="zh-CN"/>
        </w:rPr>
        <w:t>要求一次性交付，</w:t>
      </w:r>
      <w:r>
        <w:rPr>
          <w:rFonts w:hint="default" w:ascii="宋体" w:hAnsi="宋体" w:eastAsia="宋体" w:cs="宋体"/>
          <w:color w:val="auto"/>
          <w:sz w:val="24"/>
          <w:szCs w:val="24"/>
          <w:highlight w:val="none"/>
          <w:lang w:val="en-US" w:eastAsia="zh-CN"/>
        </w:rPr>
        <w:t>乙方应在</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none"/>
          <w:lang w:val="en-US" w:eastAsia="zh-CN"/>
        </w:rPr>
        <w:t>☑自接到甲方通知之日起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lang w:val="en-US" w:eastAsia="zh-CN"/>
        </w:rPr>
        <w:t>20</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日内□</w:t>
      </w:r>
      <w:r>
        <w:rPr>
          <w:rFonts w:hint="default"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年</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月</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日之前</w:t>
      </w:r>
      <w:r>
        <w:rPr>
          <w:rFonts w:hint="eastAsia" w:ascii="宋体" w:hAnsi="宋体" w:eastAsia="宋体" w:cs="宋体"/>
          <w:color w:val="auto"/>
          <w:sz w:val="24"/>
          <w:szCs w:val="24"/>
          <w:highlight w:val="none"/>
          <w:u w:val="none"/>
          <w:lang w:val="en-US" w:eastAsia="zh-CN"/>
        </w:rPr>
        <w:t>）</w:t>
      </w:r>
      <w:r>
        <w:rPr>
          <w:rFonts w:hint="default" w:ascii="宋体" w:hAnsi="宋体" w:eastAsia="宋体" w:cs="宋体"/>
          <w:color w:val="auto"/>
          <w:sz w:val="24"/>
          <w:szCs w:val="24"/>
          <w:highlight w:val="none"/>
          <w:lang w:val="en-US" w:eastAsia="zh-CN"/>
        </w:rPr>
        <w:t>将</w:t>
      </w:r>
      <w:r>
        <w:rPr>
          <w:rFonts w:hint="eastAsia" w:ascii="宋体" w:hAnsi="宋体" w:eastAsia="宋体" w:cs="宋体"/>
          <w:color w:val="auto"/>
          <w:sz w:val="24"/>
          <w:szCs w:val="24"/>
          <w:highlight w:val="none"/>
          <w:lang w:val="en-US" w:eastAsia="zh-CN"/>
        </w:rPr>
        <w:t>全部货物</w:t>
      </w:r>
      <w:r>
        <w:rPr>
          <w:rFonts w:hint="default" w:ascii="宋体" w:hAnsi="宋体" w:eastAsia="宋体" w:cs="宋体"/>
          <w:color w:val="auto"/>
          <w:sz w:val="24"/>
          <w:szCs w:val="24"/>
          <w:highlight w:val="none"/>
          <w:lang w:val="en-US" w:eastAsia="zh-CN"/>
        </w:rPr>
        <w:t>运至</w:t>
      </w:r>
      <w:r>
        <w:rPr>
          <w:rFonts w:hint="eastAsia" w:ascii="宋体" w:hAnsi="宋体" w:eastAsia="宋体" w:cs="宋体"/>
          <w:color w:val="auto"/>
          <w:sz w:val="24"/>
          <w:szCs w:val="24"/>
          <w:highlight w:val="none"/>
          <w:lang w:val="en-US" w:eastAsia="zh-CN"/>
        </w:rPr>
        <w:t>甲方指定交货</w:t>
      </w:r>
      <w:r>
        <w:rPr>
          <w:rFonts w:hint="default" w:ascii="宋体" w:hAnsi="宋体" w:eastAsia="宋体" w:cs="宋体"/>
          <w:color w:val="auto"/>
          <w:sz w:val="24"/>
          <w:szCs w:val="24"/>
          <w:highlight w:val="none"/>
          <w:lang w:val="en-US" w:eastAsia="zh-CN"/>
        </w:rPr>
        <w:t>地点，</w:t>
      </w:r>
      <w:r>
        <w:rPr>
          <w:rFonts w:hint="eastAsia" w:ascii="宋体" w:hAnsi="宋体" w:eastAsia="宋体" w:cs="宋体"/>
          <w:color w:val="auto"/>
          <w:sz w:val="24"/>
          <w:szCs w:val="24"/>
          <w:highlight w:val="none"/>
          <w:lang w:val="en-US" w:eastAsia="zh-CN"/>
        </w:rPr>
        <w:t>通过验收并交付甲方使用。</w:t>
      </w:r>
    </w:p>
    <w:p w14:paraId="257003F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u w:val="none"/>
          <w:lang w:val="en-US" w:eastAsia="zh-CN"/>
        </w:rPr>
        <w:t>□本合同货物分批次交付，乙方应在每次接到甲方通知之日起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日内将</w:t>
      </w:r>
      <w:r>
        <w:rPr>
          <w:rFonts w:hint="eastAsia" w:ascii="宋体" w:hAnsi="宋体" w:eastAsia="宋体" w:cs="宋体"/>
          <w:color w:val="auto"/>
          <w:sz w:val="24"/>
          <w:szCs w:val="24"/>
          <w:highlight w:val="none"/>
          <w:lang w:val="en-US" w:eastAsia="zh-CN"/>
        </w:rPr>
        <w:t>甲方要求的货物运至甲方指定交货地点，通过验收并交付甲方使用。</w:t>
      </w:r>
    </w:p>
    <w:p w14:paraId="13850FD5">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.2 甲方指定</w:t>
      </w:r>
      <w:r>
        <w:rPr>
          <w:rFonts w:hint="default" w:ascii="宋体" w:hAnsi="宋体" w:eastAsia="宋体" w:cs="宋体"/>
          <w:color w:val="auto"/>
          <w:sz w:val="24"/>
          <w:szCs w:val="24"/>
          <w:highlight w:val="none"/>
          <w:lang w:val="en-US" w:eastAsia="zh-CN"/>
        </w:rPr>
        <w:t>交货地点：</w:t>
      </w:r>
      <w:r>
        <w:rPr>
          <w:rFonts w:hint="eastAsia" w:ascii="宋体" w:hAnsi="宋体" w:eastAsia="宋体" w:cs="宋体"/>
          <w:color w:val="auto"/>
          <w:sz w:val="24"/>
          <w:szCs w:val="24"/>
          <w:highlight w:val="none"/>
          <w:lang w:val="en-US" w:eastAsia="zh-CN"/>
        </w:rPr>
        <w:t>本项目交货及安装地点，以甲方确认为准（详见附件一）</w:t>
      </w:r>
      <w:r>
        <w:rPr>
          <w:rFonts w:hint="default" w:ascii="宋体" w:hAnsi="宋体" w:eastAsia="宋体" w:cs="宋体"/>
          <w:color w:val="auto"/>
          <w:sz w:val="24"/>
          <w:szCs w:val="24"/>
          <w:highlight w:val="none"/>
          <w:lang w:val="en-US" w:eastAsia="zh-CN"/>
        </w:rPr>
        <w:t xml:space="preserve">。 </w:t>
      </w:r>
    </w:p>
    <w:p w14:paraId="706F67C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default"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lang w:val="en-US" w:eastAsia="zh-CN"/>
        </w:rPr>
        <w:t>运输</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装卸</w:t>
      </w:r>
      <w:r>
        <w:rPr>
          <w:rFonts w:hint="eastAsia" w:ascii="宋体" w:hAnsi="宋体" w:eastAsia="宋体" w:cs="宋体"/>
          <w:color w:val="auto"/>
          <w:sz w:val="24"/>
          <w:szCs w:val="24"/>
          <w:highlight w:val="none"/>
          <w:lang w:val="en-US" w:eastAsia="zh-CN"/>
        </w:rPr>
        <w:t>、搬运</w:t>
      </w:r>
      <w:r>
        <w:rPr>
          <w:rFonts w:hint="default" w:ascii="宋体" w:hAnsi="宋体" w:eastAsia="宋体" w:cs="宋体"/>
          <w:color w:val="auto"/>
          <w:sz w:val="24"/>
          <w:szCs w:val="24"/>
          <w:highlight w:val="none"/>
          <w:lang w:val="en-US" w:eastAsia="zh-CN"/>
        </w:rPr>
        <w:t>：由乙方自备交通运输工具将</w:t>
      </w:r>
      <w:r>
        <w:rPr>
          <w:rFonts w:hint="eastAsia" w:ascii="宋体" w:hAnsi="宋体" w:eastAsia="宋体" w:cs="宋体"/>
          <w:color w:val="auto"/>
          <w:sz w:val="24"/>
          <w:szCs w:val="24"/>
          <w:highlight w:val="none"/>
          <w:lang w:val="en-US" w:eastAsia="zh-CN"/>
        </w:rPr>
        <w:t>货物</w:t>
      </w:r>
      <w:r>
        <w:rPr>
          <w:rFonts w:hint="default" w:ascii="宋体" w:hAnsi="宋体" w:eastAsia="宋体" w:cs="宋体"/>
          <w:color w:val="auto"/>
          <w:sz w:val="24"/>
          <w:szCs w:val="24"/>
          <w:highlight w:val="none"/>
          <w:lang w:val="en-US" w:eastAsia="zh-CN"/>
        </w:rPr>
        <w:t>运至合同约定地点，并负责</w:t>
      </w:r>
      <w:r>
        <w:rPr>
          <w:rFonts w:hint="eastAsia" w:ascii="宋体" w:hAnsi="宋体" w:eastAsia="宋体" w:cs="宋体"/>
          <w:color w:val="auto"/>
          <w:sz w:val="24"/>
          <w:szCs w:val="24"/>
          <w:highlight w:val="none"/>
          <w:lang w:val="en-US" w:eastAsia="zh-CN"/>
        </w:rPr>
        <w:t>货物</w:t>
      </w:r>
      <w:r>
        <w:rPr>
          <w:rFonts w:hint="default" w:ascii="宋体" w:hAnsi="宋体" w:eastAsia="宋体" w:cs="宋体"/>
          <w:color w:val="auto"/>
          <w:sz w:val="24"/>
          <w:szCs w:val="24"/>
          <w:highlight w:val="none"/>
          <w:lang w:val="en-US" w:eastAsia="zh-CN"/>
        </w:rPr>
        <w:t>装卸</w:t>
      </w:r>
      <w:r>
        <w:rPr>
          <w:rFonts w:hint="eastAsia" w:ascii="宋体" w:hAnsi="宋体" w:eastAsia="宋体" w:cs="宋体"/>
          <w:color w:val="auto"/>
          <w:sz w:val="24"/>
          <w:szCs w:val="24"/>
          <w:highlight w:val="none"/>
          <w:lang w:val="en-US" w:eastAsia="zh-CN"/>
        </w:rPr>
        <w:t>、搬运的人工及费用</w:t>
      </w:r>
      <w:r>
        <w:rPr>
          <w:rFonts w:hint="default" w:ascii="宋体" w:hAnsi="宋体" w:eastAsia="宋体" w:cs="宋体"/>
          <w:color w:val="auto"/>
          <w:sz w:val="24"/>
          <w:szCs w:val="24"/>
          <w:highlight w:val="none"/>
          <w:lang w:val="en-US" w:eastAsia="zh-CN"/>
        </w:rPr>
        <w:t>。</w:t>
      </w:r>
    </w:p>
    <w:p w14:paraId="62348685">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2"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第三条 质量标准、质量验收、包装要求</w:t>
      </w:r>
    </w:p>
    <w:p w14:paraId="53F8AF27">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 质量标准：乙方提供货物的质量、安装应符合或优于国家标准；如投标文件/响应文件中的技术参数和质量标准高于国家标准，则货物的技术参数和质量标准以投标文件/响应文件为准；如乙方投标/响应时提交了样品并经甲方确认封存的，货物质量标准以样品为准。</w:t>
      </w:r>
    </w:p>
    <w:p w14:paraId="54774BD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 质量验收：以本合同约定标准按以下方式进行验收：</w:t>
      </w:r>
    </w:p>
    <w:p w14:paraId="5E2204BD">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3.2.1 （□乙方将货物运至指定交货地点后☑乙方将货物运至指定交货地点并将货物全部拆包、安装、调试后），应通知甲方，并负责完成本项目涉及的所有行政报备、行业审批、备案等全部手续，以及向甲方提供厂家标准资料文件（进口货物需提供真实有效的海关报关单，其他货物需提供产品合格证和售后质保承诺书）。甲方自接到乙方通知之日起</w:t>
      </w:r>
      <w:r>
        <w:rPr>
          <w:rFonts w:hint="eastAsia" w:ascii="宋体" w:hAnsi="宋体" w:eastAsia="宋体" w:cs="宋体"/>
          <w:color w:val="auto"/>
          <w:sz w:val="24"/>
          <w:szCs w:val="24"/>
          <w:highlight w:val="none"/>
          <w:u w:val="single"/>
          <w:lang w:val="en-US" w:eastAsia="zh-CN"/>
        </w:rPr>
        <w:t xml:space="preserve"> 3 </w:t>
      </w:r>
      <w:r>
        <w:rPr>
          <w:rFonts w:hint="eastAsia" w:ascii="宋体" w:hAnsi="宋体" w:eastAsia="宋体" w:cs="宋体"/>
          <w:color w:val="auto"/>
          <w:sz w:val="24"/>
          <w:szCs w:val="24"/>
          <w:highlight w:val="none"/>
          <w:lang w:val="en-US" w:eastAsia="zh-CN"/>
        </w:rPr>
        <w:t>日内自行组织验收，验收合格后签署验收报告单。如经甲方验收不合格，乙方应在</w:t>
      </w:r>
      <w:r>
        <w:rPr>
          <w:rFonts w:hint="eastAsia" w:ascii="宋体" w:hAnsi="宋体" w:eastAsia="宋体" w:cs="宋体"/>
          <w:color w:val="auto"/>
          <w:sz w:val="24"/>
          <w:szCs w:val="24"/>
          <w:highlight w:val="none"/>
          <w:u w:val="single"/>
          <w:lang w:val="en-US" w:eastAsia="zh-CN"/>
        </w:rPr>
        <w:t xml:space="preserve"> 3 </w:t>
      </w:r>
      <w:r>
        <w:rPr>
          <w:rFonts w:hint="eastAsia" w:ascii="宋体" w:hAnsi="宋体" w:eastAsia="宋体" w:cs="宋体"/>
          <w:color w:val="auto"/>
          <w:sz w:val="24"/>
          <w:szCs w:val="24"/>
          <w:highlight w:val="none"/>
          <w:lang w:val="en-US" w:eastAsia="zh-CN"/>
        </w:rPr>
        <w:t>日内无条件予以返工并承担所有费用。</w:t>
      </w:r>
    </w:p>
    <w:p w14:paraId="7FAEF419">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3.2.2 甲方验收时如发现乙方所交付的货物不符合本合同约定，甲方应做出详尽的现场记录，由甲乙双方签署备忘录，该现场记录和备忘录作为乙方补交缺少部件、更换不符合标准部件的有效依据，由此产生的一切经济损失由乙方承担。</w:t>
      </w:r>
    </w:p>
    <w:p w14:paraId="0B2D8CF6">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3.3 包装要求：乙方提供的货物必须为原厂包装，外包装到货时应保证完好无损，否则甲方有权拒绝收货，由此造成的延期交货违约责任和一切经济损失全部由乙方承担。</w:t>
      </w:r>
    </w:p>
    <w:p w14:paraId="68139CF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第四条 施工事项</w:t>
      </w:r>
    </w:p>
    <w:p w14:paraId="0DCE5860">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4.1 乙方负责协调、处理与安装、调试有关事宜。</w:t>
      </w:r>
    </w:p>
    <w:p w14:paraId="3E842CC2">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4.2 乙方在安装、调试过程中应加强操作人员的安全教育，杜绝安全事故的发生。 </w:t>
      </w:r>
    </w:p>
    <w:p w14:paraId="3F32736C">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第五条 售后服务</w:t>
      </w:r>
    </w:p>
    <w:p w14:paraId="34168001">
      <w:pPr>
        <w:keepNext w:val="0"/>
        <w:keepLines w:val="0"/>
        <w:pageBreakBefore w:val="0"/>
        <w:widowControl/>
        <w:numPr>
          <w:ilvl w:val="-1"/>
          <w:numId w:val="0"/>
        </w:numPr>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5.1 本合同货物质保期为</w:t>
      </w:r>
      <w:r>
        <w:rPr>
          <w:rFonts w:hint="eastAsia" w:ascii="宋体" w:hAnsi="宋体" w:eastAsia="宋体" w:cs="宋体"/>
          <w:color w:val="auto"/>
          <w:sz w:val="24"/>
          <w:szCs w:val="24"/>
          <w:highlight w:val="none"/>
          <w:u w:val="single"/>
          <w:lang w:val="en-US" w:eastAsia="zh-CN"/>
        </w:rPr>
        <w:t xml:space="preserve"> 1 </w:t>
      </w:r>
      <w:r>
        <w:rPr>
          <w:rFonts w:hint="eastAsia" w:ascii="宋体" w:hAnsi="宋体" w:eastAsia="宋体" w:cs="宋体"/>
          <w:color w:val="auto"/>
          <w:sz w:val="24"/>
          <w:szCs w:val="24"/>
          <w:highlight w:val="none"/>
          <w:lang w:val="en-US" w:eastAsia="zh-CN"/>
        </w:rPr>
        <w:t>年，自甲方在验收报告单上签字确认合格之日起开始计算。</w:t>
      </w:r>
    </w:p>
    <w:p w14:paraId="037FAD82">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 质保期内乙方免费提供维修、更换服务。</w:t>
      </w:r>
    </w:p>
    <w:p w14:paraId="3A2CE06D">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5.2.1 如货物在</w:t>
      </w:r>
      <w:r>
        <w:rPr>
          <w:rFonts w:hint="eastAsia" w:ascii="宋体" w:hAnsi="宋体" w:eastAsia="宋体" w:cs="宋体"/>
          <w:color w:val="auto"/>
          <w:sz w:val="24"/>
          <w:highlight w:val="none"/>
        </w:rPr>
        <w:t>质</w:t>
      </w:r>
      <w:r>
        <w:rPr>
          <w:rFonts w:hint="eastAsia" w:ascii="宋体" w:hAnsi="宋体" w:eastAsia="宋体" w:cs="宋体"/>
          <w:color w:val="auto"/>
          <w:sz w:val="24"/>
          <w:szCs w:val="24"/>
          <w:highlight w:val="none"/>
          <w:lang w:val="en-US" w:eastAsia="zh-CN"/>
        </w:rPr>
        <w:t>保期内出现质量问题，乙方应在接到甲方通知（包括电话通知）后</w:t>
      </w:r>
      <w:r>
        <w:rPr>
          <w:rFonts w:hint="eastAsia" w:ascii="宋体" w:hAnsi="宋体" w:eastAsia="宋体" w:cs="宋体"/>
          <w:color w:val="auto"/>
          <w:sz w:val="24"/>
          <w:szCs w:val="24"/>
          <w:highlight w:val="none"/>
          <w:u w:val="single"/>
          <w:lang w:val="en-US" w:eastAsia="zh-CN"/>
        </w:rPr>
        <w:t xml:space="preserve"> 1 </w:t>
      </w:r>
      <w:r>
        <w:rPr>
          <w:rFonts w:hint="eastAsia" w:ascii="宋体" w:hAnsi="宋体" w:eastAsia="宋体" w:cs="宋体"/>
          <w:color w:val="auto"/>
          <w:sz w:val="24"/>
          <w:szCs w:val="24"/>
          <w:highlight w:val="none"/>
          <w:lang w:val="en-US" w:eastAsia="zh-CN"/>
        </w:rPr>
        <w:t>小时内响应，响应后</w:t>
      </w:r>
      <w:r>
        <w:rPr>
          <w:rFonts w:hint="eastAsia" w:ascii="宋体" w:hAnsi="宋体" w:eastAsia="宋体" w:cs="宋体"/>
          <w:color w:val="auto"/>
          <w:sz w:val="24"/>
          <w:szCs w:val="24"/>
          <w:highlight w:val="none"/>
          <w:u w:val="single"/>
          <w:lang w:val="en-US" w:eastAsia="zh-CN"/>
        </w:rPr>
        <w:t xml:space="preserve"> 12 </w:t>
      </w:r>
      <w:r>
        <w:rPr>
          <w:rFonts w:hint="eastAsia" w:ascii="宋体" w:hAnsi="宋体" w:eastAsia="宋体" w:cs="宋体"/>
          <w:color w:val="auto"/>
          <w:sz w:val="24"/>
          <w:szCs w:val="24"/>
          <w:highlight w:val="none"/>
          <w:lang w:val="en-US" w:eastAsia="zh-CN"/>
        </w:rPr>
        <w:t>小时内赶到甲方进行维修或更换全新合格货物，相关费用由乙方承担。</w:t>
      </w:r>
    </w:p>
    <w:p w14:paraId="5E8B28E1">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5.2.2 质保期内甲方有权随时对货物进行质量监督，如货物经甲方样品比对、随机抽检或送第三方检测机构检测不合格的，乙方须在接到甲方通知后</w:t>
      </w:r>
      <w:r>
        <w:rPr>
          <w:rFonts w:hint="eastAsia" w:ascii="宋体" w:hAnsi="宋体" w:eastAsia="宋体" w:cs="宋体"/>
          <w:color w:val="auto"/>
          <w:sz w:val="24"/>
          <w:szCs w:val="24"/>
          <w:highlight w:val="none"/>
          <w:u w:val="single"/>
          <w:lang w:val="en-US" w:eastAsia="zh-CN"/>
        </w:rPr>
        <w:t xml:space="preserve"> 7 </w:t>
      </w:r>
      <w:r>
        <w:rPr>
          <w:rFonts w:hint="eastAsia" w:ascii="宋体" w:hAnsi="宋体" w:eastAsia="宋体" w:cs="宋体"/>
          <w:color w:val="auto"/>
          <w:sz w:val="24"/>
          <w:szCs w:val="24"/>
          <w:highlight w:val="none"/>
          <w:u w:val="none"/>
          <w:lang w:val="en-US" w:eastAsia="zh-CN"/>
        </w:rPr>
        <w:t>日内</w:t>
      </w:r>
      <w:r>
        <w:rPr>
          <w:rFonts w:hint="eastAsia" w:ascii="宋体" w:hAnsi="宋体" w:eastAsia="宋体" w:cs="宋体"/>
          <w:color w:val="auto"/>
          <w:sz w:val="24"/>
          <w:szCs w:val="24"/>
          <w:highlight w:val="none"/>
          <w:lang w:val="en-US" w:eastAsia="zh-CN"/>
        </w:rPr>
        <w:t>对不合格货物所在送货批次的全部货物进行更换，第三方检测费用和更换产生的相关费用均由乙方承担。</w:t>
      </w:r>
    </w:p>
    <w:p w14:paraId="424E26D5">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5.2.3 质保期内如乙方不及时维修、更换货物，甲方有权委托第三方提供服务，由此产生的相关费用，甲方有权在应付款中扣除、不足部分由乙方另行补足，或要求乙方将第三方提供服务产生的相关费用直接支付给甲方。</w:t>
      </w:r>
    </w:p>
    <w:p w14:paraId="51208A99">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5.3 质保期届满后，如货物出现问题，乙方应在接到甲方通知（包括电话通知）后</w:t>
      </w:r>
      <w:r>
        <w:rPr>
          <w:rFonts w:hint="eastAsia" w:ascii="宋体" w:hAnsi="宋体" w:eastAsia="宋体" w:cs="宋体"/>
          <w:color w:val="auto"/>
          <w:sz w:val="24"/>
          <w:szCs w:val="24"/>
          <w:highlight w:val="none"/>
          <w:u w:val="single"/>
          <w:lang w:val="en-US" w:eastAsia="zh-CN"/>
        </w:rPr>
        <w:t xml:space="preserve"> 1 </w:t>
      </w:r>
      <w:r>
        <w:rPr>
          <w:rFonts w:hint="eastAsia" w:ascii="宋体" w:hAnsi="宋体" w:eastAsia="宋体" w:cs="宋体"/>
          <w:color w:val="auto"/>
          <w:sz w:val="24"/>
          <w:szCs w:val="24"/>
          <w:highlight w:val="none"/>
          <w:lang w:val="en-US" w:eastAsia="zh-CN"/>
        </w:rPr>
        <w:t>小时内响应，响应后</w:t>
      </w:r>
      <w:r>
        <w:rPr>
          <w:rFonts w:hint="eastAsia" w:ascii="宋体" w:hAnsi="宋体" w:eastAsia="宋体" w:cs="宋体"/>
          <w:color w:val="auto"/>
          <w:sz w:val="24"/>
          <w:szCs w:val="24"/>
          <w:highlight w:val="none"/>
          <w:u w:val="single"/>
          <w:lang w:val="en-US" w:eastAsia="zh-CN"/>
        </w:rPr>
        <w:t>24</w:t>
      </w:r>
      <w:r>
        <w:rPr>
          <w:rFonts w:hint="eastAsia" w:ascii="宋体" w:hAnsi="宋体" w:eastAsia="宋体" w:cs="宋体"/>
          <w:color w:val="auto"/>
          <w:sz w:val="24"/>
          <w:szCs w:val="24"/>
          <w:highlight w:val="none"/>
          <w:lang w:val="en-US" w:eastAsia="zh-CN"/>
        </w:rPr>
        <w:t>小时上门服务，相关费用由甲方承担。</w:t>
      </w:r>
    </w:p>
    <w:p w14:paraId="13573EA9">
      <w:pPr>
        <w:keepNext w:val="0"/>
        <w:keepLines w:val="0"/>
        <w:pageBreakBefore w:val="0"/>
        <w:numPr>
          <w:ilvl w:val="0"/>
          <w:numId w:val="0"/>
        </w:numPr>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color w:val="auto"/>
          <w:sz w:val="24"/>
          <w:szCs w:val="24"/>
          <w:highlight w:val="none"/>
          <w:lang w:val="en-US" w:eastAsia="zh-CN"/>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4 </w:t>
      </w:r>
      <w:r>
        <w:rPr>
          <w:rFonts w:hint="eastAsia" w:ascii="宋体" w:hAnsi="宋体" w:eastAsia="宋体" w:cs="宋体"/>
          <w:color w:val="auto"/>
          <w:sz w:val="24"/>
          <w:szCs w:val="24"/>
          <w:highlight w:val="none"/>
        </w:rPr>
        <w:t>乙方须指派</w:t>
      </w:r>
      <w:r>
        <w:rPr>
          <w:rFonts w:hint="eastAsia" w:ascii="宋体" w:hAnsi="宋体" w:eastAsia="宋体" w:cs="宋体"/>
          <w:color w:val="auto"/>
          <w:sz w:val="24"/>
          <w:szCs w:val="24"/>
          <w:highlight w:val="none"/>
          <w:u w:val="non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专门负责与甲方联系售后服务事宜，如人员发生变动，应及时通知甲方。</w:t>
      </w:r>
    </w:p>
    <w:p w14:paraId="0CBB4B04">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第六条 付款时间、方式</w:t>
      </w:r>
    </w:p>
    <w:p w14:paraId="7BE99934">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6.1 甲方通过银行转账方式向乙方指定银行账户支付款项：甲方在全部货物验收合格之日起4个月内，向乙方支付合同约定总价款的90%；余款10%，甲方在全部货物质保期届满且不存在需被扣除情形之日起10个工作日内，免息支付给乙方。</w:t>
      </w:r>
    </w:p>
    <w:p w14:paraId="1DF1C7AD">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olor w:val="auto"/>
          <w:sz w:val="28"/>
          <w:szCs w:val="28"/>
          <w:highlight w:val="none"/>
          <w:u w:val="none"/>
          <w:lang w:val="en-US" w:eastAsia="zh-CN"/>
        </w:rPr>
      </w:pPr>
      <w:r>
        <w:rPr>
          <w:rFonts w:hint="eastAsia" w:ascii="宋体" w:hAnsi="宋体" w:eastAsia="宋体" w:cs="宋体"/>
          <w:color w:val="auto"/>
          <w:sz w:val="24"/>
          <w:szCs w:val="24"/>
          <w:highlight w:val="none"/>
          <w:lang w:val="en-US" w:eastAsia="zh-CN"/>
        </w:rPr>
        <w:t>6.2 乙方指定收款银行账户的开户名：</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lang w:val="en-US" w:eastAsia="zh-CN"/>
        </w:rPr>
        <w:t>开户银行：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lang w:val="en-US" w:eastAsia="zh-CN"/>
        </w:rPr>
        <w:t>账号：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r>
        <w:rPr>
          <w:rFonts w:hint="eastAsia" w:ascii="宋体" w:hAnsi="宋体"/>
          <w:color w:val="auto"/>
          <w:sz w:val="28"/>
          <w:szCs w:val="28"/>
          <w:highlight w:val="none"/>
          <w:u w:val="none"/>
          <w:lang w:val="en-US" w:eastAsia="zh-CN"/>
        </w:rPr>
        <w:t xml:space="preserve">  </w:t>
      </w:r>
    </w:p>
    <w:p w14:paraId="29658B01">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6.3 乙方应在甲方首次付款前，向甲方提供以乙方自己名义开具的与本合同总价等额的增值税普通发票；如乙方未及时提供发票，甲方有权顺延付款，由此产生的责任均由乙方自行承担。</w:t>
      </w:r>
    </w:p>
    <w:p w14:paraId="6DDDE210">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2"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第七条 风险承担</w:t>
      </w:r>
    </w:p>
    <w:p w14:paraId="79B0F785">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7.1 乙方履行本合同过程中发生事故，包括但不限于在运输、装卸、安装及调试过程中发生事故，给甲方、乙方或第三方人身、财产造成的所有损失，均由乙方负责处理和承担全部法律责任、经济赔偿。</w:t>
      </w:r>
    </w:p>
    <w:p w14:paraId="1F585BA4">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7.2 本合同货物毁损、丢失的风险自甲方在验收报告单上签字确认合格后转移给甲方，此前货物的一切风险均由乙方承担。</w:t>
      </w:r>
    </w:p>
    <w:p w14:paraId="1D951E82">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7.3 如甲方因乙方货物、质保服务等原因涉及纠纷、诉讼或被处以行政处罚，由乙方承担甲方因纠纷、诉讼、罚款等造成的全部经济损失。</w:t>
      </w:r>
    </w:p>
    <w:p w14:paraId="4AC5F7B5">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第八条 廉洁条款</w:t>
      </w:r>
    </w:p>
    <w:p w14:paraId="42AC208F">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8.1 乙方应严格遵守国家相关法律法规，涉及合同的有关业务活动必须坚持公开、公平、公正、诚信原则，不得为获取不正当利益，损害国家、集体和甲方利益。</w:t>
      </w:r>
    </w:p>
    <w:p w14:paraId="3949C806">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2" w:firstLineChars="200"/>
        <w:jc w:val="both"/>
        <w:textAlignment w:val="auto"/>
        <w:rPr>
          <w:rFonts w:hint="eastAsia" w:ascii="宋体" w:hAnsi="宋体" w:eastAsia="宋体" w:cs="宋体"/>
          <w:b/>
          <w:bCs/>
          <w:color w:val="auto"/>
          <w:sz w:val="24"/>
          <w:highlight w:val="none"/>
        </w:rPr>
      </w:pPr>
      <w:r>
        <w:rPr>
          <w:rFonts w:hint="default" w:ascii="宋体" w:hAnsi="宋体" w:eastAsia="宋体" w:cs="宋体"/>
          <w:b/>
          <w:bCs/>
          <w:color w:val="auto"/>
          <w:sz w:val="24"/>
          <w:szCs w:val="24"/>
          <w:highlight w:val="none"/>
          <w:lang w:val="en-US" w:eastAsia="zh-CN"/>
        </w:rPr>
        <w:t xml:space="preserve">8.2 </w:t>
      </w:r>
      <w:r>
        <w:rPr>
          <w:rFonts w:hint="default" w:ascii="宋体" w:hAnsi="宋体" w:eastAsia="宋体" w:cs="宋体"/>
          <w:b/>
          <w:bCs/>
          <w:color w:val="auto"/>
          <w:sz w:val="24"/>
          <w:szCs w:val="24"/>
          <w:highlight w:val="none"/>
          <w:u w:val="single"/>
          <w:lang w:val="en-US" w:eastAsia="zh-CN"/>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0797BF2">
      <w:pPr>
        <w:keepNext w:val="0"/>
        <w:keepLines w:val="0"/>
        <w:pageBreakBefore w:val="0"/>
        <w:kinsoku/>
        <w:wordWrap/>
        <w:overflowPunct/>
        <w:topLinePunct w:val="0"/>
        <w:autoSpaceDE/>
        <w:autoSpaceDN/>
        <w:bidi w:val="0"/>
        <w:adjustRightInd/>
        <w:snapToGrid/>
        <w:spacing w:line="420" w:lineRule="exact"/>
        <w:ind w:firstLine="482" w:firstLineChars="200"/>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第九条 保密条款</w:t>
      </w:r>
    </w:p>
    <w:p w14:paraId="27F09B4A">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9.1 本合同订立、履行、变更等产生的研究、商讨、交流等信息，履行本合同获悉的甲方商业秘密、运营信息、工作人员信息、患陪个人信息等，均属保密信息。</w:t>
      </w:r>
    </w:p>
    <w:p w14:paraId="627A9D05">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9.2 乙方应对保密信息应当采取有效手段严格保密，不得用于非本合同之目的或向第三方泄露。如政府部门、法院或其他有权部门要求乙方提供保密信息，乙方应当立即向甲方通报。</w:t>
      </w:r>
    </w:p>
    <w:p w14:paraId="5A4A1457">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9.3 因乙方未履行本合同保密义务造成甲方或第三方损失的，由乙方承担全部赔偿责任。</w:t>
      </w:r>
    </w:p>
    <w:p w14:paraId="5BB6D91C">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9.4 本合同保密条款在合同被认定无效、被撤销或终止、解除后仍然有效。</w:t>
      </w:r>
    </w:p>
    <w:p w14:paraId="52B06EC1">
      <w:pPr>
        <w:keepNext w:val="0"/>
        <w:keepLines w:val="0"/>
        <w:pageBreakBefore w:val="0"/>
        <w:kinsoku/>
        <w:wordWrap/>
        <w:overflowPunct/>
        <w:topLinePunct w:val="0"/>
        <w:autoSpaceDE/>
        <w:autoSpaceDN/>
        <w:bidi w:val="0"/>
        <w:adjustRightInd/>
        <w:snapToGrid/>
        <w:spacing w:line="420" w:lineRule="exact"/>
        <w:ind w:firstLine="482" w:firstLineChars="200"/>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 xml:space="preserve">第十条 </w:t>
      </w:r>
      <w:r>
        <w:rPr>
          <w:rFonts w:hint="default" w:ascii="宋体" w:hAnsi="宋体" w:eastAsia="宋体" w:cs="宋体"/>
          <w:b/>
          <w:bCs/>
          <w:color w:val="auto"/>
          <w:sz w:val="24"/>
          <w:highlight w:val="none"/>
          <w:lang w:val="en-US" w:eastAsia="zh-CN"/>
        </w:rPr>
        <w:t>通知</w:t>
      </w:r>
      <w:r>
        <w:rPr>
          <w:rFonts w:hint="eastAsia" w:ascii="宋体" w:hAnsi="宋体" w:eastAsia="宋体" w:cs="宋体"/>
          <w:b/>
          <w:bCs/>
          <w:color w:val="auto"/>
          <w:sz w:val="24"/>
          <w:highlight w:val="none"/>
          <w:lang w:val="en-US" w:eastAsia="zh-CN"/>
        </w:rPr>
        <w:t>与送达</w:t>
      </w:r>
    </w:p>
    <w:p w14:paraId="5F6A68BC">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10.1 甲乙双方同意，与本合同有关的任何文书，应以书面方式按照本合同约定发送，书面方式包括手机短信、微信、书面函件、电子邮件等形式。</w:t>
      </w:r>
    </w:p>
    <w:p w14:paraId="769B9DC5">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10.2 双方确认的文书（包括未来可能发生的诉讼或仲裁活动中法院或仲裁机构的送达法律文书）送达地址：</w:t>
      </w:r>
    </w:p>
    <w:p w14:paraId="5B3797BA">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 xml:space="preserve">10.2.1 </w:t>
      </w:r>
      <w:r>
        <w:rPr>
          <w:rFonts w:hint="default" w:ascii="宋体" w:hAnsi="宋体" w:eastAsia="宋体" w:cs="宋体"/>
          <w:b w:val="0"/>
          <w:bCs w:val="0"/>
          <w:color w:val="auto"/>
          <w:sz w:val="24"/>
          <w:highlight w:val="none"/>
          <w:lang w:val="en-US" w:eastAsia="zh-CN"/>
        </w:rPr>
        <w:t>甲方的联系地址：</w:t>
      </w:r>
      <w:r>
        <w:rPr>
          <w:rFonts w:hint="default" w:ascii="宋体" w:hAnsi="宋体" w:eastAsia="宋体" w:cs="宋体"/>
          <w:b w:val="0"/>
          <w:bCs w:val="0"/>
          <w:color w:val="auto"/>
          <w:sz w:val="24"/>
          <w:highlight w:val="none"/>
          <w:u w:val="single"/>
          <w:lang w:val="en-US" w:eastAsia="zh-CN"/>
        </w:rPr>
        <w:t xml:space="preserve"> </w:t>
      </w:r>
      <w:r>
        <w:rPr>
          <w:rFonts w:hint="eastAsia" w:asciiTheme="minorEastAsia" w:hAnsiTheme="minorEastAsia" w:eastAsiaTheme="minorEastAsia" w:cstheme="minorEastAsia"/>
          <w:b w:val="0"/>
          <w:bCs w:val="0"/>
          <w:color w:val="000000" w:themeColor="text1"/>
          <w:sz w:val="24"/>
          <w:szCs w:val="24"/>
          <w:highlight w:val="none"/>
          <w:u w:val="single"/>
          <w:lang w:val="en-US" w:eastAsia="zh-CN"/>
          <w14:textFill>
            <w14:solidFill>
              <w14:schemeClr w14:val="tx1"/>
            </w14:solidFill>
          </w14:textFill>
        </w:rPr>
        <w:t>湖南省娄底市中心医院科教楼408</w:t>
      </w:r>
      <w:r>
        <w:rPr>
          <w:rFonts w:hint="default"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，联系人：</w:t>
      </w:r>
      <w:r>
        <w:rPr>
          <w:rFonts w:hint="eastAsia" w:ascii="宋体" w:hAnsi="宋体" w:eastAsia="宋体" w:cs="宋体"/>
          <w:b w:val="0"/>
          <w:bCs w:val="0"/>
          <w:color w:val="auto"/>
          <w:sz w:val="24"/>
          <w:highlight w:val="none"/>
          <w:u w:val="single"/>
          <w:lang w:val="en-US" w:eastAsia="zh-CN"/>
        </w:rPr>
        <w:t xml:space="preserve"> </w:t>
      </w:r>
      <w:r>
        <w:rPr>
          <w:rFonts w:hint="eastAsia" w:asciiTheme="minorEastAsia" w:hAnsiTheme="minorEastAsia" w:eastAsiaTheme="minorEastAsia" w:cstheme="minorEastAsia"/>
          <w:b w:val="0"/>
          <w:bCs w:val="0"/>
          <w:color w:val="000000" w:themeColor="text1"/>
          <w:sz w:val="24"/>
          <w:szCs w:val="24"/>
          <w:highlight w:val="none"/>
          <w:u w:val="single"/>
          <w:lang w:val="en-US" w:eastAsia="zh-CN"/>
          <w14:textFill>
            <w14:solidFill>
              <w14:schemeClr w14:val="tx1"/>
            </w14:solidFill>
          </w14:textFill>
        </w:rPr>
        <w:t>梅舒</w:t>
      </w:r>
      <w:r>
        <w:rPr>
          <w:rFonts w:hint="eastAsia"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，联系电话：</w:t>
      </w:r>
      <w:r>
        <w:rPr>
          <w:rFonts w:hint="eastAsia" w:ascii="宋体" w:hAnsi="宋体" w:eastAsia="宋体" w:cs="宋体"/>
          <w:b w:val="0"/>
          <w:bCs w:val="0"/>
          <w:color w:val="auto"/>
          <w:sz w:val="24"/>
          <w:highlight w:val="none"/>
          <w:u w:val="single"/>
          <w:lang w:val="en-US" w:eastAsia="zh-CN"/>
        </w:rPr>
        <w:t xml:space="preserve"> </w:t>
      </w:r>
      <w:r>
        <w:rPr>
          <w:rFonts w:hint="eastAsia" w:asciiTheme="minorEastAsia" w:hAnsiTheme="minorEastAsia" w:eastAsiaTheme="minorEastAsia" w:cstheme="minorEastAsia"/>
          <w:b w:val="0"/>
          <w:bCs w:val="0"/>
          <w:color w:val="000000" w:themeColor="text1"/>
          <w:sz w:val="24"/>
          <w:szCs w:val="24"/>
          <w:highlight w:val="none"/>
          <w:u w:val="single"/>
          <w:lang w:val="en-US" w:eastAsia="zh-CN"/>
          <w14:textFill>
            <w14:solidFill>
              <w14:schemeClr w14:val="tx1"/>
            </w14:solidFill>
          </w14:textFill>
        </w:rPr>
        <w:t>15717380189</w:t>
      </w:r>
      <w:r>
        <w:rPr>
          <w:rFonts w:hint="eastAsia" w:ascii="宋体" w:hAnsi="宋体" w:eastAsia="宋体" w:cs="宋体"/>
          <w:b w:val="0"/>
          <w:bCs w:val="0"/>
          <w:color w:val="auto"/>
          <w:sz w:val="24"/>
          <w:highlight w:val="none"/>
          <w:u w:val="single"/>
          <w:lang w:val="en-US" w:eastAsia="zh-CN"/>
        </w:rPr>
        <w:t xml:space="preserve"> </w:t>
      </w:r>
      <w:r>
        <w:rPr>
          <w:rFonts w:hint="eastAsia" w:ascii="宋体" w:hAnsi="宋体" w:eastAsia="宋体" w:cs="宋体"/>
          <w:b w:val="0"/>
          <w:bCs w:val="0"/>
          <w:color w:val="auto"/>
          <w:sz w:val="24"/>
          <w:highlight w:val="none"/>
          <w:u w:val="none"/>
          <w:lang w:val="en-US" w:eastAsia="zh-CN"/>
        </w:rPr>
        <w:t>。</w:t>
      </w:r>
    </w:p>
    <w:p w14:paraId="6BE26A8D">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 xml:space="preserve">10.2.2 </w:t>
      </w:r>
      <w:r>
        <w:rPr>
          <w:rFonts w:hint="default" w:ascii="宋体" w:hAnsi="宋体" w:eastAsia="宋体" w:cs="宋体"/>
          <w:b w:val="0"/>
          <w:bCs w:val="0"/>
          <w:color w:val="auto"/>
          <w:sz w:val="24"/>
          <w:highlight w:val="none"/>
          <w:lang w:val="en-US" w:eastAsia="zh-CN"/>
        </w:rPr>
        <w:t>乙方的联系地址：</w:t>
      </w:r>
      <w:r>
        <w:rPr>
          <w:rFonts w:hint="default"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 xml:space="preserve"> ，联系人：</w:t>
      </w:r>
      <w:r>
        <w:rPr>
          <w:rFonts w:hint="eastAsia"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 联系电话：</w:t>
      </w:r>
      <w:r>
        <w:rPr>
          <w:rFonts w:hint="eastAsia"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w:t>
      </w:r>
    </w:p>
    <w:p w14:paraId="7E76B178">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27F70218">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9945E1E">
      <w:pPr>
        <w:keepNext w:val="0"/>
        <w:keepLines w:val="0"/>
        <w:pageBreakBefore w:val="0"/>
        <w:kinsoku/>
        <w:wordWrap/>
        <w:overflowPunct/>
        <w:topLinePunct w:val="0"/>
        <w:autoSpaceDE/>
        <w:autoSpaceDN/>
        <w:bidi w:val="0"/>
        <w:adjustRightInd/>
        <w:snapToGrid/>
        <w:spacing w:line="420" w:lineRule="exact"/>
        <w:ind w:firstLine="482" w:firstLineChars="200"/>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eastAsia="zh-CN"/>
        </w:rPr>
        <w:t>第十</w:t>
      </w: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lang w:eastAsia="zh-CN"/>
        </w:rPr>
        <w:t>条</w:t>
      </w:r>
      <w:r>
        <w:rPr>
          <w:rFonts w:hint="eastAsia" w:ascii="宋体" w:hAnsi="宋体" w:eastAsia="宋体" w:cs="宋体"/>
          <w:b/>
          <w:bCs/>
          <w:color w:val="auto"/>
          <w:sz w:val="24"/>
          <w:highlight w:val="none"/>
          <w:lang w:val="en-US" w:eastAsia="zh-CN"/>
        </w:rPr>
        <w:t xml:space="preserve"> 合同的变更、解除</w:t>
      </w:r>
    </w:p>
    <w:p w14:paraId="29F9A2A9">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11.1 本合同经双方协商一致后可以变更，双方应另行签订补充协议。</w:t>
      </w:r>
    </w:p>
    <w:p w14:paraId="366425A7">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11.2 如甲方因政策变化等非自身主观原因不需要购买本合同全部货物，经书面通知乙方后可以提前终止本合同；如甲方因运营需要等原因不需要购买本合同部分货物，不需要购买的部分自动从采购内容中剔除。</w:t>
      </w:r>
    </w:p>
    <w:p w14:paraId="1BDD412C">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11.3 </w:t>
      </w:r>
      <w:r>
        <w:rPr>
          <w:rFonts w:hint="eastAsia" w:ascii="宋体" w:hAnsi="宋体" w:eastAsia="宋体" w:cs="宋体"/>
          <w:color w:val="auto"/>
          <w:sz w:val="24"/>
          <w:highlight w:val="none"/>
        </w:rPr>
        <w:t>乙方出现以下违约情形之一的，甲方有权拒绝支付任何价款并解除合同：</w:t>
      </w:r>
    </w:p>
    <w:p w14:paraId="00DF8418">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ascii="宋体" w:hAnsi="宋体" w:eastAsia="宋体" w:cs="宋体"/>
          <w:color w:val="auto"/>
          <w:sz w:val="24"/>
          <w:highlight w:val="none"/>
        </w:rPr>
      </w:pPr>
      <w:r>
        <w:rPr>
          <w:rFonts w:hint="eastAsia" w:ascii="宋体" w:hAnsi="宋体" w:cs="宋体"/>
          <w:color w:val="auto"/>
          <w:sz w:val="24"/>
          <w:highlight w:val="none"/>
          <w:lang w:val="en-US" w:eastAsia="zh-CN"/>
        </w:rPr>
        <w:t>11</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.1 乙方逾期</w:t>
      </w:r>
      <w:r>
        <w:rPr>
          <w:rFonts w:hint="eastAsia" w:ascii="宋体" w:hAnsi="宋体" w:eastAsia="宋体" w:cs="宋体"/>
          <w:color w:val="auto"/>
          <w:sz w:val="24"/>
          <w:highlight w:val="none"/>
          <w:u w:val="single"/>
          <w:lang w:val="en-US" w:eastAsia="zh-CN"/>
        </w:rPr>
        <w:t xml:space="preserve"> 7 </w:t>
      </w:r>
      <w:r>
        <w:rPr>
          <w:rFonts w:hint="eastAsia" w:ascii="宋体" w:hAnsi="宋体" w:eastAsia="宋体" w:cs="宋体"/>
          <w:color w:val="auto"/>
          <w:sz w:val="24"/>
          <w:highlight w:val="none"/>
        </w:rPr>
        <w:t>日仍不能供货；</w:t>
      </w:r>
    </w:p>
    <w:p w14:paraId="10CCFC2A">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ascii="宋体" w:hAnsi="宋体" w:eastAsia="宋体" w:cs="宋体"/>
          <w:color w:val="auto"/>
          <w:sz w:val="24"/>
          <w:highlight w:val="none"/>
        </w:rPr>
      </w:pPr>
      <w:r>
        <w:rPr>
          <w:rFonts w:hint="eastAsia" w:ascii="宋体" w:hAnsi="宋体" w:cs="宋体"/>
          <w:color w:val="auto"/>
          <w:sz w:val="24"/>
          <w:highlight w:val="none"/>
          <w:lang w:val="en-US" w:eastAsia="zh-CN"/>
        </w:rPr>
        <w:t>11</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.2 乙方提供的</w:t>
      </w:r>
      <w:r>
        <w:rPr>
          <w:rFonts w:hint="eastAsia" w:ascii="宋体" w:hAnsi="宋体" w:eastAsia="宋体" w:cs="宋体"/>
          <w:color w:val="auto"/>
          <w:sz w:val="24"/>
          <w:highlight w:val="none"/>
          <w:lang w:eastAsia="zh-CN"/>
        </w:rPr>
        <w:t>货物</w:t>
      </w:r>
      <w:r>
        <w:rPr>
          <w:rFonts w:hint="eastAsia" w:ascii="宋体" w:hAnsi="宋体" w:eastAsia="宋体" w:cs="宋体"/>
          <w:color w:val="auto"/>
          <w:sz w:val="24"/>
          <w:highlight w:val="none"/>
        </w:rPr>
        <w:t>质量不符合国家标准、本合同标准或</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响应文件约定标准；</w:t>
      </w:r>
    </w:p>
    <w:p w14:paraId="21E4DE9A">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ascii="宋体" w:hAnsi="宋体" w:eastAsia="宋体" w:cs="宋体"/>
          <w:color w:val="auto"/>
          <w:sz w:val="24"/>
          <w:highlight w:val="none"/>
        </w:rPr>
      </w:pPr>
      <w:r>
        <w:rPr>
          <w:rFonts w:hint="eastAsia" w:ascii="宋体" w:hAnsi="宋体" w:cs="宋体"/>
          <w:color w:val="auto"/>
          <w:sz w:val="24"/>
          <w:highlight w:val="none"/>
          <w:lang w:val="en-US" w:eastAsia="zh-CN"/>
        </w:rPr>
        <w:t>11</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.3 乙方将</w:t>
      </w:r>
      <w:r>
        <w:rPr>
          <w:rFonts w:hint="eastAsia" w:ascii="宋体" w:hAnsi="宋体" w:eastAsia="宋体" w:cs="宋体"/>
          <w:color w:val="auto"/>
          <w:sz w:val="24"/>
          <w:highlight w:val="none"/>
          <w:lang w:val="en-US" w:eastAsia="zh-CN"/>
        </w:rPr>
        <w:t>本合同权利义务全部或部分转让给</w:t>
      </w:r>
      <w:r>
        <w:rPr>
          <w:rFonts w:hint="eastAsia" w:ascii="宋体" w:hAnsi="宋体" w:eastAsia="宋体" w:cs="宋体"/>
          <w:color w:val="auto"/>
          <w:sz w:val="24"/>
          <w:highlight w:val="none"/>
        </w:rPr>
        <w:t>第三方；</w:t>
      </w:r>
    </w:p>
    <w:p w14:paraId="29CD7276">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bCs/>
          <w:color w:val="auto"/>
          <w:sz w:val="24"/>
          <w:highlight w:val="none"/>
        </w:rPr>
      </w:pPr>
      <w:r>
        <w:rPr>
          <w:rFonts w:hint="eastAsia" w:ascii="宋体" w:hAnsi="宋体" w:cs="宋体"/>
          <w:color w:val="auto"/>
          <w:sz w:val="24"/>
          <w:highlight w:val="none"/>
          <w:lang w:val="en-US" w:eastAsia="zh-CN"/>
        </w:rPr>
        <w:t>11</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.4 其他根本违约的情形。</w:t>
      </w:r>
    </w:p>
    <w:p w14:paraId="4174AF0D">
      <w:pPr>
        <w:keepNext w:val="0"/>
        <w:keepLines w:val="0"/>
        <w:pageBreakBefore w:val="0"/>
        <w:kinsoku/>
        <w:wordWrap/>
        <w:overflowPunct/>
        <w:topLinePunct w:val="0"/>
        <w:autoSpaceDE/>
        <w:autoSpaceDN/>
        <w:bidi w:val="0"/>
        <w:adjustRightInd/>
        <w:snapToGrid/>
        <w:spacing w:line="42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第</w:t>
      </w:r>
      <w:r>
        <w:rPr>
          <w:rFonts w:hint="eastAsia" w:ascii="宋体" w:hAnsi="宋体" w:eastAsia="宋体" w:cs="宋体"/>
          <w:b/>
          <w:bCs/>
          <w:color w:val="auto"/>
          <w:sz w:val="24"/>
          <w:highlight w:val="none"/>
          <w:lang w:eastAsia="zh-CN"/>
        </w:rPr>
        <w:t>十</w:t>
      </w: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条 违约责任</w:t>
      </w:r>
    </w:p>
    <w:p w14:paraId="16B61025">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ascii="宋体" w:hAnsi="宋体" w:eastAsia="宋体" w:cs="宋体"/>
          <w:color w:val="auto"/>
          <w:sz w:val="24"/>
          <w:highlight w:val="none"/>
        </w:rPr>
      </w:pPr>
      <w:r>
        <w:rPr>
          <w:rFonts w:hint="eastAsia" w:ascii="宋体" w:hAnsi="宋体" w:cs="宋体"/>
          <w:color w:val="auto"/>
          <w:sz w:val="24"/>
          <w:highlight w:val="none"/>
          <w:lang w:val="en-US" w:eastAsia="zh-CN"/>
        </w:rPr>
        <w:t>12</w:t>
      </w:r>
      <w:r>
        <w:rPr>
          <w:rFonts w:hint="eastAsia" w:ascii="宋体" w:hAnsi="宋体" w:eastAsia="宋体" w:cs="宋体"/>
          <w:color w:val="auto"/>
          <w:sz w:val="24"/>
          <w:highlight w:val="none"/>
        </w:rPr>
        <w:t xml:space="preserve">.1 </w:t>
      </w:r>
      <w:r>
        <w:rPr>
          <w:rFonts w:hint="eastAsia" w:ascii="宋体" w:hAnsi="宋体" w:eastAsia="宋体" w:cs="宋体"/>
          <w:color w:val="auto"/>
          <w:sz w:val="24"/>
          <w:highlight w:val="none"/>
          <w:lang w:eastAsia="zh-CN"/>
        </w:rPr>
        <w:t>甲方因</w:t>
      </w:r>
      <w:r>
        <w:rPr>
          <w:rFonts w:hint="eastAsia" w:ascii="宋体" w:hAnsi="宋体" w:eastAsia="宋体" w:cs="宋体"/>
          <w:color w:val="auto"/>
          <w:sz w:val="24"/>
          <w:highlight w:val="none"/>
          <w:lang w:val="en-US" w:eastAsia="zh-CN"/>
        </w:rPr>
        <w:t>11.2情形提前终止本合同或剔除部分采购内容均无须承担违约责任，乙方不得因此要求甲方予以任何经济赔偿或补偿。</w:t>
      </w:r>
    </w:p>
    <w:p w14:paraId="4A4D589C">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12</w:t>
      </w:r>
      <w:r>
        <w:rPr>
          <w:rFonts w:hint="eastAsia" w:ascii="宋体" w:hAnsi="宋体" w:eastAsia="宋体" w:cs="宋体"/>
          <w:color w:val="auto"/>
          <w:sz w:val="24"/>
          <w:highlight w:val="none"/>
        </w:rPr>
        <w:t>.2 如乙方未在本合同约定时间内将验收合格的</w:t>
      </w:r>
      <w:r>
        <w:rPr>
          <w:rFonts w:hint="eastAsia" w:ascii="宋体" w:hAnsi="宋体" w:eastAsia="宋体" w:cs="宋体"/>
          <w:color w:val="auto"/>
          <w:sz w:val="24"/>
          <w:highlight w:val="none"/>
          <w:lang w:val="en-US" w:eastAsia="zh-CN"/>
        </w:rPr>
        <w:t>货物</w:t>
      </w:r>
      <w:r>
        <w:rPr>
          <w:rFonts w:hint="eastAsia" w:ascii="宋体" w:hAnsi="宋体" w:eastAsia="宋体" w:cs="宋体"/>
          <w:color w:val="auto"/>
          <w:sz w:val="24"/>
          <w:highlight w:val="none"/>
        </w:rPr>
        <w:t>交付给甲方使用，除应赔偿甲方因此造成的损失外，每逾期一日，按</w:t>
      </w:r>
      <w:r>
        <w:rPr>
          <w:rFonts w:hint="eastAsia" w:ascii="宋体" w:hAnsi="宋体" w:eastAsia="宋体" w:cs="宋体"/>
          <w:color w:val="auto"/>
          <w:sz w:val="24"/>
          <w:highlight w:val="none"/>
          <w:lang w:eastAsia="zh-CN"/>
        </w:rPr>
        <w:t>（</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元 ☑</w:t>
      </w:r>
      <w:r>
        <w:rPr>
          <w:rFonts w:hint="eastAsia" w:ascii="宋体" w:hAnsi="宋体" w:eastAsia="宋体" w:cs="宋体"/>
          <w:color w:val="auto"/>
          <w:sz w:val="24"/>
          <w:highlight w:val="none"/>
          <w:u w:val="none"/>
        </w:rPr>
        <w:t>本合同约定总价款的</w:t>
      </w:r>
      <w:r>
        <w:rPr>
          <w:rFonts w:hint="eastAsia" w:ascii="宋体" w:hAnsi="宋体" w:eastAsia="宋体" w:cs="宋体"/>
          <w:color w:val="auto"/>
          <w:sz w:val="24"/>
          <w:highlight w:val="none"/>
          <w:u w:val="none"/>
          <w:lang w:eastAsia="zh-CN"/>
        </w:rPr>
        <w:t>千分之一</w:t>
      </w:r>
      <w:r>
        <w:rPr>
          <w:rFonts w:hint="eastAsia" w:ascii="宋体" w:hAnsi="宋体" w:eastAsia="宋体" w:cs="宋体"/>
          <w:color w:val="auto"/>
          <w:sz w:val="24"/>
          <w:highlight w:val="none"/>
          <w:lang w:eastAsia="zh-CN"/>
        </w:rPr>
        <w:t>）标准</w:t>
      </w:r>
      <w:r>
        <w:rPr>
          <w:rFonts w:hint="eastAsia" w:ascii="宋体" w:hAnsi="宋体" w:eastAsia="宋体" w:cs="宋体"/>
          <w:color w:val="auto"/>
          <w:sz w:val="24"/>
          <w:highlight w:val="none"/>
        </w:rPr>
        <w:t>向甲方支付违约金。</w:t>
      </w:r>
    </w:p>
    <w:p w14:paraId="51C10936">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ascii="宋体" w:hAnsi="宋体" w:eastAsia="宋体" w:cs="宋体"/>
          <w:color w:val="auto"/>
          <w:sz w:val="24"/>
          <w:highlight w:val="none"/>
        </w:rPr>
      </w:pPr>
      <w:r>
        <w:rPr>
          <w:rFonts w:hint="eastAsia" w:ascii="宋体" w:hAnsi="宋体" w:cs="宋体"/>
          <w:color w:val="auto"/>
          <w:sz w:val="24"/>
          <w:highlight w:val="none"/>
          <w:lang w:val="en-US" w:eastAsia="zh-CN"/>
        </w:rPr>
        <w:t>12</w:t>
      </w:r>
      <w:r>
        <w:rPr>
          <w:rFonts w:hint="eastAsia" w:ascii="宋体" w:hAnsi="宋体" w:eastAsia="宋体" w:cs="宋体"/>
          <w:color w:val="auto"/>
          <w:sz w:val="24"/>
          <w:highlight w:val="none"/>
        </w:rPr>
        <w:t>.3 如乙方单方解除合同或甲方因</w:t>
      </w:r>
      <w:r>
        <w:rPr>
          <w:rFonts w:hint="eastAsia" w:ascii="宋体" w:hAnsi="宋体" w:eastAsia="宋体" w:cs="宋体"/>
          <w:color w:val="auto"/>
          <w:sz w:val="24"/>
          <w:highlight w:val="none"/>
          <w:lang w:val="en-US" w:eastAsia="zh-CN"/>
        </w:rPr>
        <w:t>11.3情形</w:t>
      </w:r>
      <w:r>
        <w:rPr>
          <w:rFonts w:hint="eastAsia" w:ascii="宋体" w:hAnsi="宋体" w:eastAsia="宋体" w:cs="宋体"/>
          <w:color w:val="auto"/>
          <w:sz w:val="24"/>
          <w:highlight w:val="none"/>
        </w:rPr>
        <w:t>解除合同，乙方应赔偿给甲方造成的全部经济损失，并按</w:t>
      </w:r>
      <w:r>
        <w:rPr>
          <w:rFonts w:hint="eastAsia" w:ascii="宋体" w:hAnsi="宋体" w:eastAsia="宋体" w:cs="宋体"/>
          <w:color w:val="auto"/>
          <w:sz w:val="24"/>
          <w:highlight w:val="none"/>
          <w:lang w:eastAsia="zh-CN"/>
        </w:rPr>
        <w:t>（</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元 ☑</w:t>
      </w:r>
      <w:r>
        <w:rPr>
          <w:rFonts w:hint="eastAsia" w:ascii="宋体" w:hAnsi="宋体" w:eastAsia="宋体" w:cs="宋体"/>
          <w:color w:val="auto"/>
          <w:sz w:val="24"/>
          <w:highlight w:val="none"/>
          <w:u w:val="none"/>
        </w:rPr>
        <w:t>本合同总价款30%</w:t>
      </w:r>
      <w:r>
        <w:rPr>
          <w:rFonts w:hint="eastAsia" w:ascii="宋体" w:hAnsi="宋体" w:eastAsia="宋体" w:cs="宋体"/>
          <w:color w:val="auto"/>
          <w:sz w:val="24"/>
          <w:highlight w:val="none"/>
          <w:u w:val="none"/>
          <w:lang w:eastAsia="zh-CN"/>
        </w:rPr>
        <w:t>）</w:t>
      </w:r>
      <w:r>
        <w:rPr>
          <w:rFonts w:hint="eastAsia" w:ascii="宋体" w:hAnsi="宋体" w:eastAsia="宋体" w:cs="宋体"/>
          <w:color w:val="auto"/>
          <w:sz w:val="24"/>
          <w:highlight w:val="none"/>
        </w:rPr>
        <w:t>标准</w:t>
      </w:r>
      <w:r>
        <w:rPr>
          <w:rFonts w:hint="eastAsia" w:ascii="宋体" w:hAnsi="宋体" w:eastAsia="宋体" w:cs="宋体"/>
          <w:color w:val="auto"/>
          <w:sz w:val="24"/>
          <w:highlight w:val="none"/>
          <w:lang w:val="en-US" w:eastAsia="zh-CN"/>
        </w:rPr>
        <w:t>向</w:t>
      </w:r>
      <w:r>
        <w:rPr>
          <w:rFonts w:hint="eastAsia" w:ascii="宋体" w:hAnsi="宋体" w:eastAsia="宋体" w:cs="宋体"/>
          <w:color w:val="auto"/>
          <w:sz w:val="24"/>
          <w:highlight w:val="none"/>
        </w:rPr>
        <w:t>甲方支付违约金。</w:t>
      </w:r>
    </w:p>
    <w:p w14:paraId="56AE1DF9">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2" w:firstLineChars="200"/>
        <w:jc w:val="both"/>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u w:val="single"/>
          <w:lang w:val="en-US" w:eastAsia="zh-CN"/>
        </w:rPr>
        <w:t>12.4 无论甲方在任意时候（不限于本合同履行期间）发现存在违反本合同廉洁条款的行为，乙方均须向甲方一次性支付惩罚性违约金</w:t>
      </w:r>
      <w:r>
        <w:rPr>
          <w:rFonts w:hint="eastAsia" w:ascii="宋体" w:hAnsi="宋体" w:cs="宋体"/>
          <w:b/>
          <w:bCs/>
          <w:color w:val="auto"/>
          <w:sz w:val="24"/>
          <w:szCs w:val="24"/>
          <w:highlight w:val="none"/>
          <w:u w:val="single"/>
          <w:lang w:val="en-US" w:eastAsia="zh-CN"/>
        </w:rPr>
        <w:t>2</w:t>
      </w:r>
      <w:r>
        <w:rPr>
          <w:rFonts w:hint="eastAsia" w:ascii="宋体" w:hAnsi="宋体" w:eastAsia="宋体" w:cs="宋体"/>
          <w:b/>
          <w:bCs/>
          <w:color w:val="auto"/>
          <w:sz w:val="24"/>
          <w:szCs w:val="24"/>
          <w:highlight w:val="none"/>
          <w:u w:val="single"/>
          <w:lang w:val="en-US" w:eastAsia="zh-CN"/>
        </w:rPr>
        <w:t>0000.00元。如乙方除需承担违反廉洁条款的违约责任外，同时存在其他违约行为，乙方仍需就其他违约行为承担相应违约责任。</w:t>
      </w:r>
    </w:p>
    <w:p w14:paraId="0111BDB2">
      <w:pPr>
        <w:keepNext w:val="0"/>
        <w:keepLines w:val="0"/>
        <w:pageBreakBefore w:val="0"/>
        <w:kinsoku/>
        <w:wordWrap/>
        <w:overflowPunct/>
        <w:topLinePunct w:val="0"/>
        <w:autoSpaceDE/>
        <w:autoSpaceDN/>
        <w:bidi w:val="0"/>
        <w:adjustRightInd/>
        <w:snapToGrid/>
        <w:spacing w:line="420" w:lineRule="exact"/>
        <w:ind w:firstLine="482" w:firstLineChars="200"/>
        <w:textAlignment w:val="auto"/>
        <w:rPr>
          <w:rFonts w:hint="default" w:ascii="宋体" w:hAnsi="宋体" w:eastAsia="宋体" w:cs="宋体"/>
          <w:b/>
          <w:bCs/>
          <w:color w:val="auto"/>
          <w:sz w:val="24"/>
          <w:highlight w:val="none"/>
          <w:u w:val="single"/>
          <w:lang w:val="en-US" w:eastAsia="zh-CN"/>
        </w:rPr>
      </w:pPr>
      <w:r>
        <w:rPr>
          <w:rFonts w:hint="eastAsia" w:ascii="宋体" w:hAnsi="宋体" w:eastAsia="宋体" w:cs="宋体"/>
          <w:b/>
          <w:bCs/>
          <w:color w:val="auto"/>
          <w:sz w:val="24"/>
          <w:highlight w:val="none"/>
          <w:u w:val="single"/>
          <w:lang w:val="en-US" w:eastAsia="zh-CN"/>
        </w:rPr>
        <w:t>12.5 依据本合同约定乙方应支付给甲方的违约金，甲方有权在应支付给乙方的任意价款中直接予以扣除，如扣除部分不足，乙方应在接到甲方通知后3日内补足。</w:t>
      </w:r>
    </w:p>
    <w:p w14:paraId="4FC69753">
      <w:pPr>
        <w:keepNext w:val="0"/>
        <w:keepLines w:val="0"/>
        <w:pageBreakBefore w:val="0"/>
        <w:kinsoku/>
        <w:wordWrap/>
        <w:overflowPunct/>
        <w:topLinePunct w:val="0"/>
        <w:autoSpaceDE/>
        <w:autoSpaceDN/>
        <w:bidi w:val="0"/>
        <w:adjustRightInd/>
        <w:snapToGrid/>
        <w:spacing w:line="42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第</w:t>
      </w:r>
      <w:r>
        <w:rPr>
          <w:rFonts w:hint="eastAsia" w:ascii="宋体" w:hAnsi="宋体" w:cs="宋体"/>
          <w:b/>
          <w:bCs/>
          <w:color w:val="auto"/>
          <w:sz w:val="24"/>
          <w:highlight w:val="none"/>
          <w:lang w:val="en-US" w:eastAsia="zh-CN"/>
        </w:rPr>
        <w:t>十三</w:t>
      </w:r>
      <w:r>
        <w:rPr>
          <w:rFonts w:hint="eastAsia" w:ascii="宋体" w:hAnsi="宋体" w:eastAsia="宋体" w:cs="宋体"/>
          <w:b/>
          <w:bCs/>
          <w:color w:val="auto"/>
          <w:sz w:val="24"/>
          <w:highlight w:val="none"/>
        </w:rPr>
        <w:t>条 争议解决</w:t>
      </w:r>
    </w:p>
    <w:p w14:paraId="4E2B1195">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13.1 本合同适用中华人民共和国法律，并按其解释。</w:t>
      </w:r>
    </w:p>
    <w:p w14:paraId="2ADFFFCC">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13.2 </w:t>
      </w:r>
      <w:r>
        <w:rPr>
          <w:rFonts w:hint="eastAsia" w:ascii="宋体" w:hAnsi="宋体" w:eastAsia="宋体" w:cs="宋体"/>
          <w:color w:val="auto"/>
          <w:sz w:val="24"/>
          <w:highlight w:val="none"/>
        </w:rPr>
        <w:t>如双方在履行本合同过程中发生争议，双方应先协商解决，协商解决不成的，任一方均可向甲方所在地有管辖权的人民法院提起诉讼解决。</w:t>
      </w:r>
    </w:p>
    <w:p w14:paraId="19446AC0">
      <w:pPr>
        <w:keepNext w:val="0"/>
        <w:keepLines w:val="0"/>
        <w:pageBreakBefore w:val="0"/>
        <w:kinsoku/>
        <w:wordWrap/>
        <w:overflowPunct/>
        <w:topLinePunct w:val="0"/>
        <w:autoSpaceDE/>
        <w:autoSpaceDN/>
        <w:bidi w:val="0"/>
        <w:adjustRightInd/>
        <w:snapToGrid/>
        <w:spacing w:line="42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第十</w:t>
      </w:r>
      <w:r>
        <w:rPr>
          <w:rFonts w:hint="eastAsia" w:ascii="宋体" w:hAnsi="宋体" w:cs="宋体"/>
          <w:b/>
          <w:bCs/>
          <w:color w:val="auto"/>
          <w:sz w:val="24"/>
          <w:highlight w:val="none"/>
          <w:lang w:val="en-US" w:eastAsia="zh-CN"/>
        </w:rPr>
        <w:t>四</w:t>
      </w:r>
      <w:r>
        <w:rPr>
          <w:rFonts w:hint="eastAsia" w:ascii="宋体" w:hAnsi="宋体" w:eastAsia="宋体" w:cs="宋体"/>
          <w:b/>
          <w:bCs/>
          <w:color w:val="auto"/>
          <w:sz w:val="24"/>
          <w:highlight w:val="none"/>
        </w:rPr>
        <w:t>条 附则</w:t>
      </w:r>
    </w:p>
    <w:p w14:paraId="51EA83C4">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 xml:space="preserve"> 乙方营业执照、</w:t>
      </w:r>
      <w:r>
        <w:rPr>
          <w:rFonts w:hint="eastAsia" w:ascii="宋体" w:hAnsi="宋体" w:eastAsia="宋体" w:cs="宋体"/>
          <w:color w:val="auto"/>
          <w:sz w:val="24"/>
          <w:highlight w:val="none"/>
          <w:lang w:val="en-US" w:eastAsia="zh-CN"/>
        </w:rPr>
        <w:t>法定代表人身份证明书、</w:t>
      </w:r>
      <w:r>
        <w:rPr>
          <w:rFonts w:hint="eastAsia" w:ascii="宋体" w:hAnsi="宋体" w:eastAsia="宋体" w:cs="宋体"/>
          <w:color w:val="auto"/>
          <w:sz w:val="24"/>
          <w:highlight w:val="none"/>
        </w:rPr>
        <w:t>授权委托文书、委托代理人身份证复印件等相关资质证明、乙方委派结算人员的授权委托书、受托人的身份证复印件、</w:t>
      </w:r>
      <w:r>
        <w:rPr>
          <w:rFonts w:hint="eastAsia" w:ascii="宋体" w:hAnsi="宋体" w:eastAsia="宋体" w:cs="宋体"/>
          <w:color w:val="auto"/>
          <w:sz w:val="24"/>
          <w:highlight w:val="none"/>
          <w:lang w:val="en-US" w:eastAsia="zh-CN"/>
        </w:rPr>
        <w:t>验收报告</w:t>
      </w:r>
      <w:r>
        <w:rPr>
          <w:rFonts w:hint="eastAsia" w:ascii="宋体" w:hAnsi="宋体" w:eastAsia="宋体" w:cs="宋体"/>
          <w:color w:val="auto"/>
          <w:sz w:val="24"/>
          <w:highlight w:val="none"/>
        </w:rPr>
        <w:t>单等作为本合同的附件。</w:t>
      </w:r>
    </w:p>
    <w:p w14:paraId="0B67506A">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14.2 </w:t>
      </w:r>
      <w:r>
        <w:rPr>
          <w:rFonts w:hint="eastAsia" w:ascii="宋体" w:hAnsi="宋体" w:eastAsia="宋体" w:cs="宋体"/>
          <w:color w:val="auto"/>
          <w:sz w:val="24"/>
          <w:highlight w:val="none"/>
        </w:rPr>
        <w:t>本合同组成文件和优先解释顺序：</w:t>
      </w:r>
      <w:r>
        <w:rPr>
          <w:rFonts w:hint="eastAsia" w:ascii="宋体" w:hAnsi="宋体" w:eastAsia="宋体" w:cs="宋体"/>
          <w:color w:val="auto"/>
          <w:sz w:val="24"/>
          <w:highlight w:val="none"/>
          <w:lang w:eastAsia="zh-CN"/>
        </w:rPr>
        <w:t>乙方在履行本合同中作出的书面承诺；</w:t>
      </w:r>
      <w:r>
        <w:rPr>
          <w:rFonts w:hint="eastAsia" w:ascii="宋体" w:hAnsi="宋体" w:eastAsia="宋体" w:cs="宋体"/>
          <w:color w:val="auto"/>
          <w:sz w:val="24"/>
          <w:highlight w:val="none"/>
        </w:rPr>
        <w:t>本合同补充协议；本合同及附件；</w:t>
      </w:r>
      <w:r>
        <w:rPr>
          <w:rFonts w:hint="eastAsia" w:ascii="宋体" w:hAnsi="宋体" w:eastAsia="宋体" w:cs="宋体"/>
          <w:color w:val="auto"/>
          <w:sz w:val="24"/>
          <w:highlight w:val="none"/>
          <w:lang w:eastAsia="zh-CN"/>
        </w:rPr>
        <w:t>中标通知书</w:t>
      </w:r>
      <w:r>
        <w:rPr>
          <w:rFonts w:hint="eastAsia" w:ascii="宋体" w:hAnsi="宋体" w:eastAsia="宋体" w:cs="宋体"/>
          <w:color w:val="auto"/>
          <w:sz w:val="24"/>
          <w:highlight w:val="none"/>
          <w:lang w:val="en-US" w:eastAsia="zh-CN"/>
        </w:rPr>
        <w:t>/成交通知书/</w:t>
      </w:r>
      <w:r>
        <w:rPr>
          <w:rFonts w:hint="eastAsia" w:ascii="宋体" w:hAnsi="宋体" w:eastAsia="宋体" w:cs="宋体"/>
          <w:color w:val="auto"/>
          <w:sz w:val="24"/>
          <w:highlight w:val="none"/>
        </w:rPr>
        <w:t>议价结果公示</w:t>
      </w:r>
      <w:r>
        <w:rPr>
          <w:rFonts w:hint="eastAsia" w:ascii="宋体" w:hAnsi="宋体" w:eastAsia="宋体" w:cs="宋体"/>
          <w:color w:val="auto"/>
          <w:sz w:val="24"/>
          <w:highlight w:val="none"/>
          <w:lang w:val="en-US" w:eastAsia="zh-CN"/>
        </w:rPr>
        <w:t>/成交公告</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响应文件；</w:t>
      </w:r>
      <w:r>
        <w:rPr>
          <w:rFonts w:hint="eastAsia" w:ascii="宋体" w:hAnsi="宋体" w:eastAsia="宋体" w:cs="宋体"/>
          <w:color w:val="auto"/>
          <w:sz w:val="24"/>
          <w:highlight w:val="none"/>
          <w:lang w:eastAsia="zh-CN"/>
        </w:rPr>
        <w:t>招标文件</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采购文件</w:t>
      </w:r>
      <w:r>
        <w:rPr>
          <w:rFonts w:hint="eastAsia" w:ascii="宋体" w:hAnsi="宋体" w:eastAsia="宋体" w:cs="宋体"/>
          <w:color w:val="auto"/>
          <w:sz w:val="24"/>
          <w:highlight w:val="none"/>
          <w:lang w:val="en-US" w:eastAsia="zh-CN"/>
        </w:rPr>
        <w:t>/采购需求</w:t>
      </w:r>
      <w:r>
        <w:rPr>
          <w:rFonts w:hint="eastAsia" w:ascii="宋体" w:hAnsi="宋体" w:eastAsia="宋体" w:cs="宋体"/>
          <w:color w:val="auto"/>
          <w:sz w:val="24"/>
          <w:highlight w:val="none"/>
        </w:rPr>
        <w:t>；其他与本合同有关的资料。</w:t>
      </w:r>
    </w:p>
    <w:p w14:paraId="3E1F2F21">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 xml:space="preserve"> 本合同一式伍份，甲方执肆份、乙方执壹份，自双方签字并盖章</w:t>
      </w:r>
      <w:r>
        <w:rPr>
          <w:rFonts w:hint="eastAsia" w:ascii="宋体" w:hAnsi="宋体" w:eastAsia="宋体" w:cs="宋体"/>
          <w:color w:val="auto"/>
          <w:sz w:val="24"/>
          <w:highlight w:val="none"/>
          <w:lang w:eastAsia="zh-CN"/>
        </w:rPr>
        <w:t>后</w:t>
      </w:r>
      <w:r>
        <w:rPr>
          <w:rFonts w:hint="eastAsia" w:ascii="宋体" w:hAnsi="宋体" w:eastAsia="宋体" w:cs="宋体"/>
          <w:color w:val="auto"/>
          <w:sz w:val="24"/>
          <w:highlight w:val="none"/>
        </w:rPr>
        <w:t>生效。</w:t>
      </w:r>
    </w:p>
    <w:p w14:paraId="36BAFE62">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auto"/>
          <w:sz w:val="24"/>
          <w:highlight w:val="none"/>
        </w:rPr>
      </w:pPr>
    </w:p>
    <w:p w14:paraId="24A0A64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auto"/>
          <w:sz w:val="24"/>
          <w:highlight w:val="none"/>
        </w:rPr>
      </w:pPr>
      <w:r>
        <w:rPr>
          <w:rFonts w:ascii="宋体" w:hAnsi="宋体" w:eastAsia="宋体" w:cs="宋体"/>
          <w:color w:val="auto"/>
          <w:sz w:val="24"/>
          <w:highlight w:val="none"/>
        </w:rPr>
        <w:t>甲方（盖章）：</w:t>
      </w:r>
      <w:r>
        <w:rPr>
          <w:rFonts w:hint="eastAsia" w:ascii="宋体" w:hAnsi="宋体" w:eastAsia="宋体" w:cs="宋体"/>
          <w:color w:val="auto"/>
          <w:sz w:val="24"/>
          <w:highlight w:val="none"/>
        </w:rPr>
        <w:t>娄底市中心医院</w:t>
      </w:r>
      <w:r>
        <w:rPr>
          <w:rFonts w:ascii="宋体" w:hAnsi="宋体" w:eastAsia="宋体" w:cs="宋体"/>
          <w:color w:val="auto"/>
          <w:sz w:val="24"/>
          <w:highlight w:val="none"/>
        </w:rPr>
        <w:t xml:space="preserve">      </w:t>
      </w:r>
      <w:r>
        <w:rPr>
          <w:rFonts w:hint="eastAsia" w:ascii="宋体" w:hAnsi="宋体" w:eastAsia="宋体" w:cs="宋体"/>
          <w:color w:val="auto"/>
          <w:sz w:val="24"/>
          <w:highlight w:val="none"/>
        </w:rPr>
        <w:t xml:space="preserve">  </w:t>
      </w:r>
      <w:r>
        <w:rPr>
          <w:rFonts w:ascii="宋体" w:hAnsi="宋体" w:eastAsia="宋体" w:cs="宋体"/>
          <w:color w:val="auto"/>
          <w:sz w:val="24"/>
          <w:highlight w:val="none"/>
        </w:rPr>
        <w:t>乙方（盖章）</w:t>
      </w:r>
      <w:r>
        <w:rPr>
          <w:rFonts w:hint="eastAsia" w:ascii="宋体" w:hAnsi="宋体" w:eastAsia="宋体" w:cs="宋体"/>
          <w:color w:val="auto"/>
          <w:sz w:val="24"/>
          <w:highlight w:val="none"/>
        </w:rPr>
        <w:t>：</w:t>
      </w:r>
    </w:p>
    <w:p w14:paraId="415F997D">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auto"/>
          <w:sz w:val="24"/>
          <w:highlight w:val="none"/>
        </w:rPr>
      </w:pPr>
    </w:p>
    <w:p w14:paraId="0FFA113D">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highlight w:val="none"/>
        </w:rPr>
      </w:pPr>
      <w:r>
        <w:rPr>
          <w:rFonts w:ascii="宋体" w:hAnsi="宋体" w:eastAsia="宋体" w:cs="宋体"/>
          <w:color w:val="auto"/>
          <w:sz w:val="24"/>
          <w:highlight w:val="none"/>
        </w:rPr>
        <w:t xml:space="preserve">法定代表人（签字）：        </w:t>
      </w:r>
      <w:r>
        <w:rPr>
          <w:rFonts w:hint="eastAsia" w:ascii="宋体" w:hAnsi="宋体" w:eastAsia="宋体" w:cs="宋体"/>
          <w:color w:val="auto"/>
          <w:sz w:val="24"/>
          <w:highlight w:val="none"/>
        </w:rPr>
        <w:t xml:space="preserve">        </w:t>
      </w:r>
      <w:r>
        <w:rPr>
          <w:rFonts w:ascii="宋体" w:hAnsi="宋体" w:eastAsia="宋体" w:cs="宋体"/>
          <w:color w:val="auto"/>
          <w:sz w:val="24"/>
          <w:highlight w:val="none"/>
        </w:rPr>
        <w:t xml:space="preserve">法定代表人（签字）：  </w:t>
      </w:r>
    </w:p>
    <w:p w14:paraId="165E35C3">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highlight w:val="none"/>
        </w:rPr>
      </w:pPr>
    </w:p>
    <w:p w14:paraId="1525537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或</w:t>
      </w:r>
      <w:r>
        <w:rPr>
          <w:rFonts w:ascii="宋体" w:hAnsi="宋体" w:eastAsia="宋体" w:cs="宋体"/>
          <w:color w:val="auto"/>
          <w:sz w:val="24"/>
          <w:highlight w:val="none"/>
        </w:rPr>
        <w:t xml:space="preserve">委托代理人（签字）：        </w:t>
      </w:r>
      <w:r>
        <w:rPr>
          <w:rFonts w:hint="eastAsia" w:ascii="宋体" w:hAnsi="宋体" w:eastAsia="宋体" w:cs="宋体"/>
          <w:color w:val="auto"/>
          <w:sz w:val="24"/>
          <w:highlight w:val="none"/>
        </w:rPr>
        <w:t xml:space="preserve">      或</w:t>
      </w:r>
      <w:r>
        <w:rPr>
          <w:rFonts w:ascii="宋体" w:hAnsi="宋体" w:eastAsia="宋体" w:cs="宋体"/>
          <w:color w:val="auto"/>
          <w:sz w:val="24"/>
          <w:highlight w:val="none"/>
        </w:rPr>
        <w:t>委托代理人（签字）：</w:t>
      </w:r>
    </w:p>
    <w:p w14:paraId="34F54357">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auto"/>
          <w:sz w:val="24"/>
          <w:highlight w:val="none"/>
        </w:rPr>
      </w:pPr>
    </w:p>
    <w:p w14:paraId="0C51D35B">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auto"/>
          <w:sz w:val="24"/>
          <w:highlight w:val="none"/>
        </w:rPr>
      </w:pPr>
      <w:r>
        <w:rPr>
          <w:rFonts w:ascii="宋体" w:hAnsi="宋体" w:eastAsia="宋体" w:cs="宋体"/>
          <w:color w:val="auto"/>
          <w:sz w:val="24"/>
          <w:highlight w:val="none"/>
        </w:rPr>
        <w:t>合同签订地</w:t>
      </w:r>
      <w:r>
        <w:rPr>
          <w:rFonts w:hint="eastAsia" w:ascii="宋体" w:hAnsi="宋体" w:eastAsia="宋体" w:cs="宋体"/>
          <w:color w:val="auto"/>
          <w:sz w:val="24"/>
          <w:highlight w:val="none"/>
        </w:rPr>
        <w:t>履行地</w:t>
      </w:r>
      <w:r>
        <w:rPr>
          <w:rFonts w:ascii="宋体" w:hAnsi="宋体" w:eastAsia="宋体" w:cs="宋体"/>
          <w:color w:val="auto"/>
          <w:sz w:val="24"/>
          <w:highlight w:val="none"/>
        </w:rPr>
        <w:t xml:space="preserve">：娄底市娄星区 </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ascii="宋体" w:hAnsi="宋体" w:eastAsia="宋体" w:cs="宋体"/>
          <w:color w:val="auto"/>
          <w:sz w:val="24"/>
          <w:highlight w:val="none"/>
        </w:rPr>
        <w:t>签订时间：</w:t>
      </w:r>
      <w:r>
        <w:rPr>
          <w:rFonts w:hint="eastAsia" w:ascii="宋体" w:hAnsi="宋体" w:eastAsia="宋体" w:cs="宋体"/>
          <w:color w:val="auto"/>
          <w:sz w:val="24"/>
          <w:highlight w:val="none"/>
        </w:rPr>
        <w:t xml:space="preserve">      </w:t>
      </w:r>
      <w:r>
        <w:rPr>
          <w:rFonts w:ascii="宋体" w:hAnsi="宋体" w:eastAsia="宋体" w:cs="宋体"/>
          <w:color w:val="auto"/>
          <w:sz w:val="24"/>
          <w:highlight w:val="none"/>
        </w:rPr>
        <w:t>年</w:t>
      </w:r>
      <w:r>
        <w:rPr>
          <w:rFonts w:hint="eastAsia" w:ascii="宋体" w:hAnsi="宋体" w:eastAsia="宋体" w:cs="宋体"/>
          <w:color w:val="auto"/>
          <w:sz w:val="24"/>
          <w:highlight w:val="none"/>
        </w:rPr>
        <w:t xml:space="preserve">     </w:t>
      </w:r>
      <w:r>
        <w:rPr>
          <w:rFonts w:ascii="宋体" w:hAnsi="宋体" w:eastAsia="宋体" w:cs="宋体"/>
          <w:color w:val="auto"/>
          <w:sz w:val="24"/>
          <w:highlight w:val="none"/>
        </w:rPr>
        <w:t>月</w:t>
      </w:r>
      <w:r>
        <w:rPr>
          <w:rFonts w:hint="eastAsia" w:ascii="宋体" w:hAnsi="宋体" w:eastAsia="宋体" w:cs="宋体"/>
          <w:color w:val="auto"/>
          <w:sz w:val="24"/>
          <w:highlight w:val="none"/>
        </w:rPr>
        <w:t xml:space="preserve">     </w:t>
      </w:r>
      <w:r>
        <w:rPr>
          <w:rFonts w:ascii="宋体" w:hAnsi="宋体" w:eastAsia="宋体" w:cs="宋体"/>
          <w:color w:val="auto"/>
          <w:sz w:val="24"/>
          <w:highlight w:val="none"/>
        </w:rPr>
        <w:t>日</w:t>
      </w:r>
    </w:p>
    <w:p w14:paraId="713EF04B">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highlight w:val="none"/>
          <w:lang w:eastAsia="zh-CN"/>
        </w:rPr>
      </w:pPr>
    </w:p>
    <w:p w14:paraId="5DC3B160">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highlight w:val="none"/>
          <w:lang w:eastAsia="zh-CN"/>
        </w:rPr>
      </w:pPr>
    </w:p>
    <w:p w14:paraId="616975BF">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highlight w:val="none"/>
          <w:lang w:eastAsia="zh-CN"/>
        </w:rPr>
        <w:sectPr>
          <w:footerReference r:id="rId5" w:type="default"/>
          <w:pgSz w:w="11906" w:h="16838"/>
          <w:pgMar w:top="1701" w:right="1474" w:bottom="1701" w:left="1587" w:header="851" w:footer="992" w:gutter="0"/>
          <w:pgNumType w:fmt="decimal" w:start="1"/>
          <w:cols w:space="425" w:num="1"/>
          <w:docGrid w:type="lines" w:linePitch="312" w:charSpace="0"/>
        </w:sectPr>
      </w:pPr>
    </w:p>
    <w:p w14:paraId="623462CD">
      <w:pPr>
        <w:rPr>
          <w:rFonts w:hint="eastAsia" w:ascii="方正黑体_GBK" w:hAnsi="方正黑体_GBK" w:eastAsia="方正黑体_GBK" w:cs="方正黑体_GBK"/>
          <w:color w:val="auto"/>
          <w:kern w:val="2"/>
          <w:sz w:val="32"/>
          <w:szCs w:val="32"/>
          <w:lang w:val="en-US" w:eastAsia="zh-CN"/>
        </w:rPr>
      </w:pPr>
    </w:p>
    <w:p w14:paraId="7D4977DD">
      <w:pPr>
        <w:rPr>
          <w:rFonts w:hint="default" w:ascii="方正黑体_GBK" w:hAnsi="方正黑体_GBK" w:eastAsia="方正黑体_GBK" w:cs="方正黑体_GBK"/>
          <w:color w:val="auto"/>
          <w:kern w:val="2"/>
          <w:sz w:val="32"/>
          <w:szCs w:val="32"/>
          <w:lang w:val="en-US" w:eastAsia="zh-CN"/>
        </w:rPr>
      </w:pPr>
      <w:r>
        <w:rPr>
          <w:rFonts w:hint="eastAsia" w:ascii="方正黑体_GBK" w:hAnsi="方正黑体_GBK" w:eastAsia="方正黑体_GBK" w:cs="方正黑体_GBK"/>
          <w:color w:val="auto"/>
          <w:kern w:val="2"/>
          <w:sz w:val="32"/>
          <w:szCs w:val="32"/>
          <w:lang w:val="en-US" w:eastAsia="zh-CN"/>
        </w:rPr>
        <w:t>附件1</w:t>
      </w:r>
    </w:p>
    <w:p w14:paraId="6A4116A4">
      <w:pPr>
        <w:pStyle w:val="22"/>
        <w:keepNext w:val="0"/>
        <w:keepLines w:val="0"/>
        <w:pageBreakBefore w:val="0"/>
        <w:widowControl w:val="0"/>
        <w:kinsoku/>
        <w:wordWrap/>
        <w:overflowPunct/>
        <w:topLinePunct w:val="0"/>
        <w:autoSpaceDE/>
        <w:autoSpaceDN/>
        <w:bidi w:val="0"/>
        <w:adjustRightInd/>
        <w:snapToGrid/>
        <w:spacing w:before="0" w:after="0" w:line="640" w:lineRule="exact"/>
        <w:ind w:left="0" w:leftChars="0"/>
        <w:jc w:val="both"/>
        <w:textAlignment w:val="auto"/>
        <w:outlineLvl w:val="9"/>
        <w:rPr>
          <w:rFonts w:hint="eastAsia" w:ascii="方正仿宋_GB2312" w:hAnsi="方正仿宋_GB2312" w:eastAsia="方正仿宋_GB2312" w:cs="方正仿宋_GB2312"/>
          <w:b/>
          <w:color w:val="auto"/>
          <w:sz w:val="32"/>
          <w:szCs w:val="32"/>
          <w:lang w:val="en-US" w:eastAsia="zh-CN"/>
        </w:rPr>
      </w:pPr>
      <w:r>
        <w:rPr>
          <w:rFonts w:hint="eastAsia" w:ascii="方正仿宋_GB2312" w:hAnsi="方正仿宋_GB2312" w:eastAsia="方正仿宋_GB2312" w:cs="方正仿宋_GB2312"/>
          <w:b/>
          <w:color w:val="auto"/>
          <w:sz w:val="32"/>
          <w:szCs w:val="32"/>
          <w:lang w:val="en-US" w:eastAsia="zh-CN"/>
        </w:rPr>
        <w:t>拟新增交通标识牌效果图（8块）</w:t>
      </w:r>
    </w:p>
    <w:p w14:paraId="45048765">
      <w:pPr>
        <w:pStyle w:val="22"/>
        <w:keepNext w:val="0"/>
        <w:keepLines w:val="0"/>
        <w:pageBreakBefore w:val="0"/>
        <w:widowControl w:val="0"/>
        <w:kinsoku/>
        <w:wordWrap/>
        <w:overflowPunct/>
        <w:topLinePunct w:val="0"/>
        <w:autoSpaceDE/>
        <w:autoSpaceDN/>
        <w:bidi w:val="0"/>
        <w:adjustRightInd/>
        <w:snapToGrid/>
        <w:spacing w:before="0" w:after="0" w:line="640" w:lineRule="exact"/>
        <w:ind w:left="0" w:leftChars="0"/>
        <w:jc w:val="both"/>
        <w:textAlignment w:val="auto"/>
        <w:outlineLvl w:val="9"/>
        <w:rPr>
          <w:rFonts w:hint="eastAsia" w:ascii="微软雅黑" w:hAnsi="微软雅黑" w:eastAsia="微软雅黑" w:cs="微软雅黑"/>
          <w:b w:val="0"/>
          <w:bCs w:val="0"/>
          <w:color w:val="auto"/>
          <w:sz w:val="44"/>
          <w:szCs w:val="44"/>
          <w:lang w:val="en-US" w:eastAsia="zh-CN"/>
        </w:rPr>
      </w:pPr>
    </w:p>
    <w:p w14:paraId="74E03705">
      <w:pPr>
        <w:pStyle w:val="22"/>
        <w:keepNext w:val="0"/>
        <w:keepLines w:val="0"/>
        <w:pageBreakBefore w:val="0"/>
        <w:widowControl w:val="0"/>
        <w:kinsoku/>
        <w:wordWrap/>
        <w:overflowPunct/>
        <w:topLinePunct w:val="0"/>
        <w:autoSpaceDE/>
        <w:autoSpaceDN/>
        <w:bidi w:val="0"/>
        <w:adjustRightInd/>
        <w:snapToGrid/>
        <w:spacing w:before="0" w:after="0" w:line="640" w:lineRule="exact"/>
        <w:ind w:left="0" w:leftChars="0"/>
        <w:jc w:val="left"/>
        <w:textAlignment w:val="auto"/>
        <w:outlineLvl w:val="9"/>
        <w:rPr>
          <w:rFonts w:hint="eastAsia" w:ascii="微软雅黑" w:hAnsi="微软雅黑" w:eastAsia="微软雅黑" w:cs="微软雅黑"/>
          <w:b w:val="0"/>
          <w:bCs w:val="0"/>
          <w:color w:val="auto"/>
          <w:sz w:val="44"/>
          <w:szCs w:val="44"/>
          <w:lang w:val="en-US" w:eastAsia="zh-CN"/>
        </w:rPr>
      </w:pPr>
      <w:r>
        <w:rPr>
          <w:rFonts w:hint="eastAsia" w:ascii="仿宋_GB2312" w:hAnsi="仿宋_GB2312" w:eastAsia="仿宋_GB2312" w:cs="仿宋_GB2312"/>
          <w:b w:val="0"/>
          <w:bCs w:val="0"/>
          <w:color w:val="auto"/>
          <w:sz w:val="32"/>
          <w:szCs w:val="32"/>
          <w:lang w:val="en-US" w:eastAsia="zh-CN"/>
        </w:rPr>
        <w:t>娄底南高速收费站</w:t>
      </w:r>
    </w:p>
    <w:p w14:paraId="0565ABED">
      <w:pPr>
        <w:jc w:val="center"/>
        <w:rPr>
          <w:rFonts w:hint="eastAsia" w:eastAsia="宋体"/>
          <w:color w:val="auto"/>
          <w:lang w:eastAsia="zh-CN"/>
        </w:rPr>
      </w:pPr>
      <w:r>
        <w:rPr>
          <w:rFonts w:hint="eastAsia" w:eastAsia="宋体"/>
          <w:color w:val="auto"/>
          <w:lang w:eastAsia="zh-CN"/>
        </w:rPr>
        <w:drawing>
          <wp:inline distT="0" distB="0" distL="114300" distR="114300">
            <wp:extent cx="6352540" cy="3536315"/>
            <wp:effectExtent l="0" t="0" r="10160" b="6985"/>
            <wp:docPr id="2" name="图片 2" descr="广医路牌(2)(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广医路牌(2)(1)_01"/>
                    <pic:cNvPicPr>
                      <a:picLocks noChangeAspect="1"/>
                    </pic:cNvPicPr>
                  </pic:nvPicPr>
                  <pic:blipFill>
                    <a:blip r:embed="rId9"/>
                    <a:srcRect l="34739" t="27654" r="8229" b="27592"/>
                    <a:stretch>
                      <a:fillRect/>
                    </a:stretch>
                  </pic:blipFill>
                  <pic:spPr>
                    <a:xfrm>
                      <a:off x="0" y="0"/>
                      <a:ext cx="6352540" cy="3536315"/>
                    </a:xfrm>
                    <a:prstGeom prst="rect">
                      <a:avLst/>
                    </a:prstGeom>
                  </pic:spPr>
                </pic:pic>
              </a:graphicData>
            </a:graphic>
          </wp:inline>
        </w:drawing>
      </w:r>
    </w:p>
    <w:p w14:paraId="298C49E6">
      <w:pPr>
        <w:rPr>
          <w:rFonts w:hint="eastAsia" w:eastAsia="宋体"/>
          <w:b w:val="0"/>
          <w:bCs w:val="0"/>
          <w:color w:val="auto"/>
          <w:lang w:eastAsia="zh-CN"/>
        </w:rPr>
      </w:pPr>
      <w:r>
        <w:rPr>
          <w:rFonts w:hint="eastAsia" w:ascii="仿宋_GB2312" w:hAnsi="仿宋_GB2312" w:eastAsia="仿宋_GB2312" w:cs="仿宋_GB2312"/>
          <w:b w:val="0"/>
          <w:bCs w:val="0"/>
          <w:color w:val="auto"/>
          <w:sz w:val="32"/>
          <w:szCs w:val="32"/>
          <w:lang w:val="en-US" w:eastAsia="zh-CN"/>
        </w:rPr>
        <w:t>娄底东高速收费站</w:t>
      </w:r>
    </w:p>
    <w:p w14:paraId="083B58C2">
      <w:pPr>
        <w:rPr>
          <w:rFonts w:hint="eastAsia" w:eastAsia="宋体"/>
          <w:color w:val="auto"/>
          <w:lang w:eastAsia="zh-CN"/>
        </w:rPr>
      </w:pPr>
    </w:p>
    <w:p w14:paraId="156975B7">
      <w:pPr>
        <w:jc w:val="center"/>
        <w:rPr>
          <w:rFonts w:hint="eastAsia" w:eastAsia="宋体"/>
          <w:color w:val="auto"/>
          <w:lang w:eastAsia="zh-CN"/>
        </w:rPr>
      </w:pPr>
      <w:r>
        <w:rPr>
          <w:rFonts w:hint="eastAsia" w:eastAsia="宋体"/>
          <w:color w:val="auto"/>
          <w:lang w:eastAsia="zh-CN"/>
        </w:rPr>
        <w:drawing>
          <wp:inline distT="0" distB="0" distL="114300" distR="114300">
            <wp:extent cx="7868920" cy="3984625"/>
            <wp:effectExtent l="0" t="0" r="17780" b="15875"/>
            <wp:docPr id="3" name="图片 3" descr="广医路牌(2)(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广医路牌(2)(1)_02"/>
                    <pic:cNvPicPr>
                      <a:picLocks noChangeAspect="1"/>
                    </pic:cNvPicPr>
                  </pic:nvPicPr>
                  <pic:blipFill>
                    <a:blip r:embed="rId10"/>
                    <a:srcRect l="30845" t="27933" r="7150" b="27808"/>
                    <a:stretch>
                      <a:fillRect/>
                    </a:stretch>
                  </pic:blipFill>
                  <pic:spPr>
                    <a:xfrm>
                      <a:off x="0" y="0"/>
                      <a:ext cx="7868920" cy="3984625"/>
                    </a:xfrm>
                    <a:prstGeom prst="rect">
                      <a:avLst/>
                    </a:prstGeom>
                  </pic:spPr>
                </pic:pic>
              </a:graphicData>
            </a:graphic>
          </wp:inline>
        </w:drawing>
      </w:r>
    </w:p>
    <w:p w14:paraId="189C418C">
      <w:pPr>
        <w:rPr>
          <w:rFonts w:hint="eastAsia" w:ascii="仿宋_GB2312" w:hAnsi="仿宋_GB2312" w:eastAsia="仿宋_GB2312" w:cs="仿宋_GB2312"/>
          <w:b w:val="0"/>
          <w:bCs w:val="0"/>
          <w:color w:val="auto"/>
          <w:sz w:val="32"/>
          <w:szCs w:val="32"/>
          <w:lang w:val="en-US" w:eastAsia="zh-CN"/>
        </w:rPr>
      </w:pPr>
    </w:p>
    <w:p w14:paraId="697F991B">
      <w:pPr>
        <w:rPr>
          <w:rFonts w:hint="eastAsia" w:ascii="仿宋_GB2312" w:hAnsi="仿宋_GB2312" w:eastAsia="仿宋_GB2312" w:cs="仿宋_GB2312"/>
          <w:b w:val="0"/>
          <w:bCs w:val="0"/>
          <w:color w:val="auto"/>
          <w:sz w:val="32"/>
          <w:szCs w:val="32"/>
          <w:lang w:val="en-US" w:eastAsia="zh-CN"/>
        </w:rPr>
      </w:pPr>
    </w:p>
    <w:p w14:paraId="3C8D3AB2">
      <w:pPr>
        <w:rPr>
          <w:rFonts w:hint="eastAsia" w:eastAsia="宋体"/>
          <w:color w:val="auto"/>
          <w:lang w:eastAsia="zh-CN"/>
        </w:rPr>
      </w:pPr>
      <w:r>
        <w:rPr>
          <w:rFonts w:hint="eastAsia" w:ascii="仿宋_GB2312" w:hAnsi="仿宋_GB2312" w:eastAsia="仿宋_GB2312" w:cs="仿宋_GB2312"/>
          <w:b w:val="0"/>
          <w:bCs w:val="0"/>
          <w:color w:val="auto"/>
          <w:sz w:val="32"/>
          <w:szCs w:val="32"/>
          <w:lang w:val="en-US" w:eastAsia="zh-CN"/>
        </w:rPr>
        <w:t>娄底西高速收费站（交通指示牌合并）</w:t>
      </w:r>
    </w:p>
    <w:p w14:paraId="0B9348CE">
      <w:pPr>
        <w:jc w:val="center"/>
        <w:rPr>
          <w:rFonts w:hint="eastAsia" w:ascii="仿宋_GB2312" w:hAnsi="仿宋_GB2312" w:eastAsia="仿宋_GB2312" w:cs="仿宋_GB2312"/>
          <w:b w:val="0"/>
          <w:bCs w:val="0"/>
          <w:color w:val="auto"/>
          <w:sz w:val="32"/>
          <w:szCs w:val="32"/>
          <w:lang w:val="en-US" w:eastAsia="zh-CN"/>
        </w:rPr>
      </w:pPr>
      <w:r>
        <w:rPr>
          <w:rFonts w:hint="eastAsia" w:eastAsia="宋体"/>
          <w:color w:val="auto"/>
          <w:lang w:eastAsia="zh-CN"/>
        </w:rPr>
        <w:drawing>
          <wp:inline distT="0" distB="0" distL="114300" distR="114300">
            <wp:extent cx="8426450" cy="4441825"/>
            <wp:effectExtent l="0" t="0" r="12700" b="15875"/>
            <wp:docPr id="13" name="图片 13" descr="图片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片001"/>
                    <pic:cNvPicPr>
                      <a:picLocks noChangeAspect="1"/>
                    </pic:cNvPicPr>
                  </pic:nvPicPr>
                  <pic:blipFill>
                    <a:blip r:embed="rId11"/>
                    <a:stretch>
                      <a:fillRect/>
                    </a:stretch>
                  </pic:blipFill>
                  <pic:spPr>
                    <a:xfrm>
                      <a:off x="0" y="0"/>
                      <a:ext cx="8426450" cy="4441825"/>
                    </a:xfrm>
                    <a:prstGeom prst="rect">
                      <a:avLst/>
                    </a:prstGeom>
                  </pic:spPr>
                </pic:pic>
              </a:graphicData>
            </a:graphic>
          </wp:inline>
        </w:drawing>
      </w:r>
    </w:p>
    <w:p w14:paraId="47AC8A5F">
      <w:pPr>
        <w:rPr>
          <w:rFonts w:hint="eastAsia" w:ascii="仿宋_GB2312" w:hAnsi="仿宋_GB2312" w:eastAsia="仿宋_GB2312" w:cs="仿宋_GB2312"/>
          <w:b w:val="0"/>
          <w:bCs w:val="0"/>
          <w:color w:val="auto"/>
          <w:sz w:val="32"/>
          <w:szCs w:val="32"/>
          <w:lang w:val="en-US" w:eastAsia="zh-CN"/>
        </w:rPr>
      </w:pPr>
    </w:p>
    <w:p w14:paraId="5F9A7497">
      <w:pP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娄底北高速收费站（交通指示牌合并）</w:t>
      </w:r>
    </w:p>
    <w:p w14:paraId="38E87A17">
      <w:pPr>
        <w:jc w:val="center"/>
        <w:rPr>
          <w:rFonts w:hint="eastAsia" w:eastAsia="宋体"/>
          <w:color w:val="auto"/>
          <w:lang w:eastAsia="zh-CN"/>
        </w:rPr>
      </w:pPr>
      <w:r>
        <w:rPr>
          <w:rFonts w:hint="eastAsia" w:eastAsia="宋体"/>
          <w:color w:val="auto"/>
          <w:lang w:eastAsia="zh-CN"/>
        </w:rPr>
        <w:drawing>
          <wp:inline distT="0" distB="0" distL="114300" distR="114300">
            <wp:extent cx="7973695" cy="4084320"/>
            <wp:effectExtent l="0" t="0" r="8255" b="11430"/>
            <wp:docPr id="14" name="图片 14" descr="图片g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片gg2"/>
                    <pic:cNvPicPr>
                      <a:picLocks noChangeAspect="1"/>
                    </pic:cNvPicPr>
                  </pic:nvPicPr>
                  <pic:blipFill>
                    <a:blip r:embed="rId12"/>
                    <a:stretch>
                      <a:fillRect/>
                    </a:stretch>
                  </pic:blipFill>
                  <pic:spPr>
                    <a:xfrm>
                      <a:off x="0" y="0"/>
                      <a:ext cx="7973695" cy="4084320"/>
                    </a:xfrm>
                    <a:prstGeom prst="rect">
                      <a:avLst/>
                    </a:prstGeom>
                  </pic:spPr>
                </pic:pic>
              </a:graphicData>
            </a:graphic>
          </wp:inline>
        </w:drawing>
      </w:r>
    </w:p>
    <w:p w14:paraId="64FABFDB">
      <w:pPr>
        <w:rPr>
          <w:rFonts w:hint="eastAsia" w:eastAsia="宋体"/>
          <w:color w:val="auto"/>
          <w:lang w:eastAsia="zh-CN"/>
        </w:rPr>
      </w:pPr>
    </w:p>
    <w:p w14:paraId="5C73D76A">
      <w:pPr>
        <w:rPr>
          <w:rFonts w:hint="eastAsia" w:ascii="仿宋_GB2312" w:hAnsi="仿宋_GB2312" w:eastAsia="仿宋_GB2312" w:cs="仿宋_GB2312"/>
          <w:b w:val="0"/>
          <w:bCs w:val="0"/>
          <w:color w:val="auto"/>
          <w:sz w:val="32"/>
          <w:szCs w:val="32"/>
          <w:lang w:val="en-US" w:eastAsia="zh-CN"/>
        </w:rPr>
      </w:pPr>
    </w:p>
    <w:p w14:paraId="24BA8AC1">
      <w:pPr>
        <w:rPr>
          <w:rFonts w:hint="eastAsia" w:ascii="仿宋_GB2312" w:hAnsi="仿宋_GB2312" w:eastAsia="仿宋_GB2312" w:cs="仿宋_GB2312"/>
          <w:b w:val="0"/>
          <w:bCs w:val="0"/>
          <w:color w:val="auto"/>
          <w:sz w:val="32"/>
          <w:szCs w:val="32"/>
          <w:lang w:val="en-US" w:eastAsia="zh-CN"/>
        </w:rPr>
      </w:pPr>
    </w:p>
    <w:p w14:paraId="51327F56">
      <w:pP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广州医科大学附属第一医院娄底医院主干道对面</w:t>
      </w:r>
    </w:p>
    <w:p w14:paraId="0A4B5625">
      <w:pPr>
        <w:rPr>
          <w:rFonts w:hint="eastAsia" w:eastAsia="宋体"/>
          <w:color w:val="auto"/>
          <w:lang w:eastAsia="zh-CN"/>
        </w:rPr>
      </w:pPr>
    </w:p>
    <w:p w14:paraId="3A5C3F4E">
      <w:pPr>
        <w:jc w:val="center"/>
        <w:rPr>
          <w:rFonts w:hint="eastAsia" w:eastAsia="宋体"/>
          <w:color w:val="auto"/>
          <w:lang w:eastAsia="zh-CN"/>
        </w:rPr>
      </w:pPr>
    </w:p>
    <w:p w14:paraId="7D2BC622">
      <w:pPr>
        <w:jc w:val="center"/>
        <w:rPr>
          <w:rFonts w:hint="eastAsia" w:eastAsia="宋体"/>
          <w:color w:val="auto"/>
          <w:lang w:eastAsia="zh-CN"/>
        </w:rPr>
      </w:pPr>
      <w:r>
        <w:rPr>
          <w:rFonts w:hint="eastAsia" w:eastAsia="宋体"/>
          <w:color w:val="auto"/>
          <w:lang w:eastAsia="zh-CN"/>
        </w:rPr>
        <w:drawing>
          <wp:inline distT="0" distB="0" distL="114300" distR="114300">
            <wp:extent cx="5393690" cy="4377055"/>
            <wp:effectExtent l="0" t="0" r="16510" b="4445"/>
            <wp:docPr id="5" name="图片 5" descr="广医路牌(2)(1)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广医路牌(2)(1)_03"/>
                    <pic:cNvPicPr>
                      <a:picLocks noChangeAspect="1"/>
                    </pic:cNvPicPr>
                  </pic:nvPicPr>
                  <pic:blipFill>
                    <a:blip r:embed="rId13"/>
                    <a:srcRect l="40395" t="20459" r="6682" b="18996"/>
                    <a:stretch>
                      <a:fillRect/>
                    </a:stretch>
                  </pic:blipFill>
                  <pic:spPr>
                    <a:xfrm>
                      <a:off x="0" y="0"/>
                      <a:ext cx="5393690" cy="4377055"/>
                    </a:xfrm>
                    <a:prstGeom prst="rect">
                      <a:avLst/>
                    </a:prstGeom>
                  </pic:spPr>
                </pic:pic>
              </a:graphicData>
            </a:graphic>
          </wp:inline>
        </w:drawing>
      </w:r>
    </w:p>
    <w:p w14:paraId="52759188">
      <w:pPr>
        <w:rPr>
          <w:rFonts w:hint="eastAsia" w:eastAsia="宋体"/>
          <w:color w:val="auto"/>
          <w:lang w:eastAsia="zh-CN"/>
        </w:rPr>
      </w:pPr>
    </w:p>
    <w:p w14:paraId="7BAFE926">
      <w:pP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娄涟公路转高丰路处</w:t>
      </w:r>
    </w:p>
    <w:p w14:paraId="16BB2A31">
      <w:pPr>
        <w:rPr>
          <w:rFonts w:hint="eastAsia" w:eastAsia="宋体"/>
          <w:color w:val="auto"/>
          <w:lang w:eastAsia="zh-CN"/>
        </w:rPr>
      </w:pPr>
    </w:p>
    <w:p w14:paraId="0BE185B0">
      <w:pPr>
        <w:jc w:val="center"/>
        <w:rPr>
          <w:rFonts w:hint="eastAsia" w:eastAsia="宋体"/>
          <w:color w:val="auto"/>
          <w:lang w:eastAsia="zh-CN"/>
        </w:rPr>
      </w:pPr>
      <w:r>
        <w:rPr>
          <w:rFonts w:hint="eastAsia" w:eastAsia="宋体"/>
          <w:color w:val="auto"/>
          <w:lang w:eastAsia="zh-CN"/>
        </w:rPr>
        <w:drawing>
          <wp:inline distT="0" distB="0" distL="114300" distR="114300">
            <wp:extent cx="7367270" cy="3997325"/>
            <wp:effectExtent l="0" t="0" r="5080" b="3175"/>
            <wp:docPr id="6" name="图片 6" descr="广医路牌(2)(1)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广医路牌(2)(1)_06"/>
                    <pic:cNvPicPr>
                      <a:picLocks noChangeAspect="1"/>
                    </pic:cNvPicPr>
                  </pic:nvPicPr>
                  <pic:blipFill>
                    <a:blip r:embed="rId14"/>
                    <a:srcRect l="30517" t="25715" r="6930" b="26435"/>
                    <a:stretch>
                      <a:fillRect/>
                    </a:stretch>
                  </pic:blipFill>
                  <pic:spPr>
                    <a:xfrm>
                      <a:off x="0" y="0"/>
                      <a:ext cx="7367270" cy="3997325"/>
                    </a:xfrm>
                    <a:prstGeom prst="rect">
                      <a:avLst/>
                    </a:prstGeom>
                  </pic:spPr>
                </pic:pic>
              </a:graphicData>
            </a:graphic>
          </wp:inline>
        </w:drawing>
      </w:r>
    </w:p>
    <w:p w14:paraId="13A19B2F">
      <w:pPr>
        <w:rPr>
          <w:rFonts w:hint="eastAsia" w:eastAsia="宋体"/>
          <w:color w:val="auto"/>
          <w:lang w:eastAsia="zh-CN"/>
        </w:rPr>
      </w:pPr>
    </w:p>
    <w:p w14:paraId="0A57830D">
      <w:pPr>
        <w:rPr>
          <w:rFonts w:hint="eastAsia" w:eastAsia="宋体"/>
          <w:b w:val="0"/>
          <w:bCs w:val="0"/>
          <w:color w:val="auto"/>
          <w:lang w:eastAsia="zh-CN"/>
        </w:rPr>
      </w:pPr>
    </w:p>
    <w:p w14:paraId="502A3603">
      <w:pPr>
        <w:jc w:val="left"/>
        <w:rPr>
          <w:rFonts w:hint="eastAsia" w:ascii="仿宋_GB2312" w:hAnsi="仿宋_GB2312" w:eastAsia="仿宋_GB2312" w:cs="仿宋_GB2312"/>
          <w:b w:val="0"/>
          <w:bCs w:val="0"/>
          <w:color w:val="auto"/>
          <w:sz w:val="32"/>
          <w:szCs w:val="32"/>
          <w:lang w:val="en-US" w:eastAsia="zh-CN"/>
        </w:rPr>
      </w:pPr>
    </w:p>
    <w:p w14:paraId="344CE7F3">
      <w:pPr>
        <w:jc w:val="left"/>
        <w:rPr>
          <w:rFonts w:hint="eastAsia" w:eastAsia="宋体"/>
          <w:b w:val="0"/>
          <w:bCs w:val="0"/>
          <w:color w:val="auto"/>
          <w:lang w:eastAsia="zh-CN"/>
        </w:rPr>
      </w:pPr>
      <w:r>
        <w:rPr>
          <w:rFonts w:hint="eastAsia" w:ascii="仿宋_GB2312" w:hAnsi="仿宋_GB2312" w:eastAsia="仿宋_GB2312" w:cs="仿宋_GB2312"/>
          <w:b w:val="0"/>
          <w:bCs w:val="0"/>
          <w:color w:val="auto"/>
          <w:sz w:val="32"/>
          <w:szCs w:val="32"/>
          <w:lang w:val="en-US" w:eastAsia="zh-CN"/>
        </w:rPr>
        <w:t>娄底市规划和自然资源局马路前</w:t>
      </w:r>
    </w:p>
    <w:p w14:paraId="049DD71A">
      <w:pPr>
        <w:rPr>
          <w:rFonts w:hint="eastAsia" w:eastAsia="宋体"/>
          <w:color w:val="auto"/>
          <w:lang w:eastAsia="zh-CN"/>
        </w:rPr>
      </w:pPr>
    </w:p>
    <w:p w14:paraId="31CCAE98">
      <w:pPr>
        <w:jc w:val="center"/>
        <w:rPr>
          <w:rFonts w:hint="eastAsia" w:ascii="仿宋_GB2312" w:hAnsi="仿宋_GB2312" w:eastAsia="仿宋_GB2312" w:cs="仿宋_GB2312"/>
          <w:b w:val="0"/>
          <w:bCs w:val="0"/>
          <w:color w:val="auto"/>
          <w:sz w:val="32"/>
          <w:szCs w:val="32"/>
          <w:lang w:val="en-US" w:eastAsia="zh-CN"/>
        </w:rPr>
      </w:pPr>
      <w:r>
        <w:rPr>
          <w:rFonts w:hint="eastAsia" w:eastAsia="宋体"/>
          <w:color w:val="auto"/>
          <w:lang w:eastAsia="zh-CN"/>
        </w:rPr>
        <w:drawing>
          <wp:inline distT="0" distB="0" distL="114300" distR="114300">
            <wp:extent cx="7910830" cy="4329430"/>
            <wp:effectExtent l="0" t="0" r="13970" b="13970"/>
            <wp:docPr id="7" name="图片 7" descr="广医路牌(2)(1)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广医路牌(2)(1)_07"/>
                    <pic:cNvPicPr>
                      <a:picLocks noChangeAspect="1"/>
                    </pic:cNvPicPr>
                  </pic:nvPicPr>
                  <pic:blipFill>
                    <a:blip r:embed="rId15"/>
                    <a:srcRect l="31387" t="26446" r="7488" b="26396"/>
                    <a:stretch>
                      <a:fillRect/>
                    </a:stretch>
                  </pic:blipFill>
                  <pic:spPr>
                    <a:xfrm>
                      <a:off x="0" y="0"/>
                      <a:ext cx="7910830" cy="4329430"/>
                    </a:xfrm>
                    <a:prstGeom prst="rect">
                      <a:avLst/>
                    </a:prstGeom>
                  </pic:spPr>
                </pic:pic>
              </a:graphicData>
            </a:graphic>
          </wp:inline>
        </w:drawing>
      </w:r>
    </w:p>
    <w:p w14:paraId="2691A1F8">
      <w:pPr>
        <w:jc w:val="left"/>
        <w:rPr>
          <w:rFonts w:hint="eastAsia" w:ascii="仿宋_GB2312" w:hAnsi="仿宋_GB2312" w:eastAsia="仿宋_GB2312" w:cs="仿宋_GB2312"/>
          <w:b w:val="0"/>
          <w:bCs w:val="0"/>
          <w:color w:val="auto"/>
          <w:sz w:val="32"/>
          <w:szCs w:val="32"/>
          <w:lang w:val="en-US" w:eastAsia="zh-CN"/>
        </w:rPr>
      </w:pPr>
    </w:p>
    <w:p w14:paraId="4CD58EB1">
      <w:pPr>
        <w:jc w:val="left"/>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高铁南站前十字路口</w:t>
      </w:r>
    </w:p>
    <w:p w14:paraId="064C8BBB">
      <w:pPr>
        <w:rPr>
          <w:rFonts w:hint="eastAsia" w:eastAsia="宋体"/>
          <w:color w:val="auto"/>
          <w:lang w:eastAsia="zh-CN"/>
        </w:rPr>
      </w:pPr>
    </w:p>
    <w:p w14:paraId="562FE29D">
      <w:pPr>
        <w:jc w:val="center"/>
        <w:rPr>
          <w:rFonts w:hint="eastAsia" w:ascii="宋体" w:hAnsi="宋体" w:eastAsia="宋体" w:cs="宋体"/>
          <w:color w:val="auto"/>
          <w:sz w:val="24"/>
          <w:highlight w:val="none"/>
          <w:lang w:eastAsia="zh-CN"/>
        </w:rPr>
        <w:sectPr>
          <w:pgSz w:w="16838" w:h="11906" w:orient="landscape"/>
          <w:pgMar w:top="1587" w:right="1701" w:bottom="1474" w:left="1701" w:header="851" w:footer="992" w:gutter="0"/>
          <w:pgNumType w:fmt="decimal" w:start="1"/>
          <w:cols w:space="425" w:num="1"/>
          <w:docGrid w:type="lines" w:linePitch="312" w:charSpace="0"/>
        </w:sectPr>
      </w:pPr>
      <w:r>
        <w:rPr>
          <w:rFonts w:hint="eastAsia" w:eastAsia="宋体"/>
          <w:color w:val="auto"/>
          <w:lang w:eastAsia="zh-CN"/>
        </w:rPr>
        <w:drawing>
          <wp:inline distT="0" distB="0" distL="114300" distR="114300">
            <wp:extent cx="7821295" cy="4131945"/>
            <wp:effectExtent l="0" t="0" r="8255" b="1905"/>
            <wp:docPr id="8" name="图片 8" descr="广医路牌(2)(1)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广医路牌(2)(1)_08"/>
                    <pic:cNvPicPr>
                      <a:picLocks noChangeAspect="1"/>
                    </pic:cNvPicPr>
                  </pic:nvPicPr>
                  <pic:blipFill>
                    <a:blip r:embed="rId16"/>
                    <a:srcRect l="31379" t="27122" r="7325" b="27235"/>
                    <a:stretch>
                      <a:fillRect/>
                    </a:stretch>
                  </pic:blipFill>
                  <pic:spPr>
                    <a:xfrm>
                      <a:off x="0" y="0"/>
                      <a:ext cx="7821295" cy="4131945"/>
                    </a:xfrm>
                    <a:prstGeom prst="rect">
                      <a:avLst/>
                    </a:prstGeom>
                  </pic:spPr>
                </pic:pic>
              </a:graphicData>
            </a:graphic>
          </wp:inline>
        </w:drawing>
      </w:r>
    </w:p>
    <w:p w14:paraId="3B4EA0F4">
      <w:pPr>
        <w:pStyle w:val="7"/>
        <w:spacing w:line="360" w:lineRule="auto"/>
        <w:ind w:left="0" w:right="0" w:firstLine="0"/>
        <w:outlineLvl w:val="2"/>
        <w:rPr>
          <w:rFonts w:hint="default"/>
          <w:b/>
          <w:bCs/>
          <w:color w:val="auto"/>
          <w:spacing w:val="-5"/>
          <w:lang w:val="en-US" w:eastAsia="zh-CN"/>
        </w:rPr>
      </w:pPr>
    </w:p>
    <w:p w14:paraId="2BBCD4EC">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000000"/>
          <w:sz w:val="28"/>
          <w:szCs w:val="28"/>
          <w:highlight w:val="none"/>
        </w:rPr>
      </w:pPr>
      <w:r>
        <w:rPr>
          <w:rFonts w:hint="eastAsia" w:ascii="仿宋" w:hAnsi="仿宋" w:eastAsia="仿宋" w:cs="仿宋"/>
          <w:b w:val="0"/>
          <w:bCs/>
          <w:color w:val="000000"/>
          <w:sz w:val="28"/>
          <w:szCs w:val="28"/>
          <w:lang w:val="en-US" w:eastAsia="zh-CN"/>
        </w:rPr>
        <w:t xml:space="preserve">             </w:t>
      </w:r>
    </w:p>
    <w:p w14:paraId="4D16F4E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仿宋_GB2312" w:hAnsi="仿宋_GB2312" w:eastAsia="仿宋_GB2312" w:cs="仿宋_GB2312"/>
          <w:sz w:val="28"/>
          <w:szCs w:val="28"/>
          <w:lang w:val="en-US" w:eastAsia="zh-CN"/>
        </w:rPr>
      </w:pPr>
    </w:p>
    <w:p w14:paraId="20581DF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仿宋_GB2312" w:hAnsi="仿宋_GB2312" w:eastAsia="仿宋_GB2312" w:cs="仿宋_GB2312"/>
          <w:sz w:val="28"/>
          <w:szCs w:val="28"/>
          <w:lang w:val="en-US" w:eastAsia="zh-CN"/>
        </w:rPr>
      </w:pPr>
    </w:p>
    <w:p w14:paraId="08A3BE7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p>
    <w:p w14:paraId="3AFFA011">
      <w:pPr>
        <w:keepNext w:val="0"/>
        <w:keepLines w:val="0"/>
        <w:pageBreakBefore w:val="0"/>
        <w:widowControl w:val="0"/>
        <w:kinsoku/>
        <w:wordWrap/>
        <w:overflowPunct/>
        <w:topLinePunct w:val="0"/>
        <w:bidi w:val="0"/>
        <w:snapToGrid/>
        <w:spacing w:line="480" w:lineRule="exact"/>
      </w:pPr>
    </w:p>
    <w:p w14:paraId="44813D09">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color w:val="auto"/>
          <w:sz w:val="28"/>
          <w:szCs w:val="28"/>
        </w:rPr>
      </w:pPr>
    </w:p>
    <w:p w14:paraId="51D796E4">
      <w:pPr>
        <w:keepNext w:val="0"/>
        <w:keepLines w:val="0"/>
        <w:pageBreakBefore w:val="0"/>
        <w:widowControl w:val="0"/>
        <w:kinsoku/>
        <w:wordWrap/>
        <w:overflowPunct/>
        <w:topLinePunct w:val="0"/>
        <w:autoSpaceDE/>
        <w:autoSpaceDN/>
        <w:bidi w:val="0"/>
        <w:adjustRightInd/>
        <w:spacing w:line="470" w:lineRule="exact"/>
        <w:ind w:left="0"/>
        <w:jc w:val="left"/>
        <w:textAlignment w:val="auto"/>
        <w:rPr>
          <w:rFonts w:hint="eastAsia" w:ascii="仿宋" w:hAnsi="仿宋" w:eastAsia="仿宋" w:cs="仿宋"/>
          <w:color w:val="auto"/>
          <w:sz w:val="28"/>
          <w:szCs w:val="28"/>
        </w:rPr>
      </w:pPr>
    </w:p>
    <w:p w14:paraId="65A1891C">
      <w:pPr>
        <w:keepNext w:val="0"/>
        <w:keepLines w:val="0"/>
        <w:pageBreakBefore w:val="0"/>
        <w:widowControl w:val="0"/>
        <w:kinsoku/>
        <w:wordWrap/>
        <w:overflowPunct/>
        <w:topLinePunct w:val="0"/>
        <w:autoSpaceDE/>
        <w:autoSpaceDN/>
        <w:bidi w:val="0"/>
        <w:adjustRightInd/>
        <w:spacing w:line="470" w:lineRule="exact"/>
        <w:ind w:left="0"/>
        <w:textAlignment w:val="auto"/>
        <w:rPr>
          <w:rFonts w:hint="eastAsia" w:ascii="仿宋" w:hAnsi="仿宋" w:eastAsia="仿宋" w:cs="仿宋"/>
          <w:color w:val="auto"/>
          <w:sz w:val="28"/>
          <w:szCs w:val="28"/>
        </w:rPr>
      </w:pPr>
    </w:p>
    <w:p w14:paraId="0C96353F">
      <w:pPr>
        <w:pStyle w:val="11"/>
        <w:keepNext w:val="0"/>
        <w:keepLines w:val="0"/>
        <w:widowControl/>
        <w:suppressLineNumbers w:val="0"/>
        <w:spacing w:before="1500" w:beforeAutospacing="0" w:line="24" w:lineRule="atLeast"/>
        <w:rPr>
          <w:rFonts w:hint="eastAsia"/>
          <w:color w:val="auto"/>
          <w:lang w:eastAsia="zh-CN"/>
        </w:rPr>
      </w:pPr>
    </w:p>
    <w:p w14:paraId="64A9561C">
      <w:pPr>
        <w:keepNext w:val="0"/>
        <w:keepLines w:val="0"/>
        <w:pageBreakBefore w:val="0"/>
        <w:kinsoku/>
        <w:wordWrap/>
        <w:overflowPunct/>
        <w:topLinePunct w:val="0"/>
        <w:autoSpaceDE/>
        <w:autoSpaceDN/>
        <w:bidi w:val="0"/>
        <w:adjustRightInd/>
        <w:snapToGrid/>
        <w:spacing w:line="480" w:lineRule="exact"/>
        <w:textAlignment w:val="auto"/>
        <w:rPr>
          <w:rFonts w:hint="eastAsia" w:ascii="仿宋" w:hAnsi="仿宋" w:eastAsia="仿宋" w:cs="仿宋"/>
          <w:color w:val="auto"/>
          <w:sz w:val="28"/>
          <w:szCs w:val="28"/>
          <w:highlight w:val="none"/>
        </w:rPr>
      </w:pPr>
    </w:p>
    <w:p w14:paraId="531EE22B">
      <w:pPr>
        <w:keepNext w:val="0"/>
        <w:keepLines w:val="0"/>
        <w:pageBreakBefore w:val="0"/>
        <w:widowControl w:val="0"/>
        <w:kinsoku/>
        <w:wordWrap/>
        <w:overflowPunct w:val="0"/>
        <w:topLinePunct w:val="0"/>
        <w:autoSpaceDE w:val="0"/>
        <w:autoSpaceDN w:val="0"/>
        <w:bidi w:val="0"/>
        <w:adjustRightInd w:val="0"/>
        <w:snapToGrid/>
        <w:spacing w:line="540" w:lineRule="exact"/>
        <w:jc w:val="both"/>
        <w:textAlignment w:val="baseline"/>
        <w:rPr>
          <w:rFonts w:hint="eastAsia" w:ascii="仿宋" w:hAnsi="仿宋" w:eastAsia="仿宋" w:cs="仿宋"/>
          <w:color w:val="auto"/>
          <w:sz w:val="28"/>
          <w:szCs w:val="28"/>
          <w:u w:val="none"/>
          <w:lang w:val="en-US"/>
        </w:rPr>
      </w:pPr>
      <w:r>
        <w:rPr>
          <w:rFonts w:hint="eastAsia" w:ascii="仿宋" w:hAnsi="仿宋" w:eastAsia="仿宋" w:cs="仿宋"/>
          <w:b w:val="0"/>
          <w:bCs w:val="0"/>
          <w:color w:val="auto"/>
          <w:sz w:val="28"/>
          <w:szCs w:val="28"/>
          <w:lang w:val="en-US" w:eastAsia="zh-CN"/>
        </w:rPr>
        <w:t xml:space="preserve">                  </w:t>
      </w:r>
      <w:bookmarkEnd w:id="1"/>
      <w:r>
        <w:rPr>
          <w:rFonts w:hint="eastAsia" w:ascii="宋体" w:hAnsi="宋体" w:eastAsia="宋体" w:cs="宋体"/>
          <w:color w:val="auto"/>
          <w:sz w:val="24"/>
        </w:rPr>
        <w:t xml:space="preserve">                                                                                                </w:t>
      </w:r>
      <w:r>
        <w:rPr>
          <w:rFonts w:hint="eastAsia" w:ascii="宋体" w:hAnsi="宋体" w:eastAsia="宋体" w:cs="宋体"/>
          <w:color w:val="auto"/>
          <w:sz w:val="24"/>
          <w:lang w:val="en-US" w:eastAsia="zh-CN"/>
        </w:rPr>
        <w:t xml:space="preserve">             </w:t>
      </w:r>
      <w:r>
        <w:rPr>
          <w:rFonts w:hint="eastAsia" w:ascii="仿宋" w:hAnsi="仿宋" w:eastAsia="仿宋" w:cs="仿宋"/>
          <w:b w:val="0"/>
          <w:color w:val="auto"/>
          <w:kern w:val="2"/>
          <w:sz w:val="28"/>
          <w:szCs w:val="28"/>
          <w:lang w:val="en-US" w:eastAsia="zh-CN" w:bidi="ar-SA"/>
        </w:rPr>
        <w:t xml:space="preserve">                                          </w:t>
      </w:r>
    </w:p>
    <w:p w14:paraId="5FDA02AB">
      <w:pPr>
        <w:pStyle w:val="2"/>
        <w:jc w:val="center"/>
        <w:rPr>
          <w:rFonts w:hint="eastAsia" w:ascii="宋体" w:hAnsi="宋体" w:cs="宋体"/>
          <w:color w:val="auto"/>
          <w:sz w:val="44"/>
          <w:szCs w:val="44"/>
          <w:lang w:val="en-US" w:eastAsia="zh-CN"/>
        </w:rPr>
      </w:pPr>
      <w:bookmarkStart w:id="2" w:name="_Toc16523574"/>
      <w:r>
        <w:rPr>
          <w:rFonts w:hint="eastAsia" w:ascii="宋体" w:hAnsi="宋体" w:cs="宋体"/>
          <w:color w:val="auto"/>
          <w:sz w:val="44"/>
          <w:szCs w:val="44"/>
          <w:lang w:val="en-US" w:eastAsia="zh-CN"/>
        </w:rPr>
        <w:t xml:space="preserve">   第三章投标文件的格式</w:t>
      </w:r>
    </w:p>
    <w:p w14:paraId="63BCBD98">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6E02CA03">
      <w:pPr>
        <w:rPr>
          <w:rFonts w:hint="eastAsia" w:ascii="宋体" w:hAnsi="宋体" w:cs="宋体"/>
          <w:color w:val="auto"/>
        </w:rPr>
      </w:pPr>
    </w:p>
    <w:bookmarkEnd w:id="2"/>
    <w:p w14:paraId="3C3D3243">
      <w:pPr>
        <w:rPr>
          <w:rFonts w:hint="eastAsia"/>
          <w:color w:val="auto"/>
        </w:rPr>
      </w:pPr>
    </w:p>
    <w:p w14:paraId="0AFCDF4A">
      <w:pPr>
        <w:jc w:val="center"/>
        <w:rPr>
          <w:b/>
          <w:color w:val="auto"/>
          <w:sz w:val="24"/>
        </w:rPr>
      </w:pPr>
      <w:r>
        <w:rPr>
          <w:b/>
          <w:color w:val="auto"/>
          <w:sz w:val="28"/>
          <w:szCs w:val="28"/>
        </w:rPr>
        <w:t>第一部分、开标一览表</w:t>
      </w:r>
    </w:p>
    <w:p w14:paraId="6495D31E">
      <w:pPr>
        <w:pStyle w:val="19"/>
        <w:rPr>
          <w:color w:val="auto"/>
        </w:rPr>
      </w:pPr>
    </w:p>
    <w:p w14:paraId="1CA414B7">
      <w:pPr>
        <w:adjustRightInd w:val="0"/>
        <w:snapToGrid w:val="0"/>
        <w:spacing w:line="360" w:lineRule="auto"/>
        <w:jc w:val="center"/>
        <w:rPr>
          <w:rFonts w:hint="eastAsia" w:ascii="宋体" w:hAnsi="宋体" w:cs="宋体"/>
          <w:b/>
          <w:color w:val="auto"/>
          <w:sz w:val="28"/>
          <w:szCs w:val="28"/>
        </w:rPr>
      </w:pPr>
    </w:p>
    <w:p w14:paraId="7BFD5C12">
      <w:pPr>
        <w:adjustRightInd w:val="0"/>
        <w:snapToGrid w:val="0"/>
        <w:spacing w:line="360" w:lineRule="auto"/>
        <w:jc w:val="center"/>
        <w:rPr>
          <w:rFonts w:hint="eastAsia" w:ascii="宋体" w:hAnsi="宋体" w:cs="宋体"/>
          <w:b/>
          <w:color w:val="auto"/>
          <w:sz w:val="28"/>
          <w:szCs w:val="28"/>
        </w:rPr>
      </w:pPr>
    </w:p>
    <w:p w14:paraId="70947253">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06D3F32A">
      <w:pPr>
        <w:pStyle w:val="20"/>
        <w:rPr>
          <w:rFonts w:hint="eastAsia"/>
          <w:color w:val="auto"/>
          <w:lang w:eastAsia="zh-CN"/>
        </w:rPr>
      </w:pPr>
    </w:p>
    <w:p w14:paraId="01F6AC1F">
      <w:pPr>
        <w:adjustRightInd w:val="0"/>
        <w:snapToGrid w:val="0"/>
        <w:spacing w:line="360" w:lineRule="auto"/>
        <w:jc w:val="center"/>
        <w:rPr>
          <w:rFonts w:hint="eastAsia" w:ascii="宋体" w:hAnsi="宋体" w:cs="宋体"/>
          <w:b/>
          <w:color w:val="auto"/>
          <w:sz w:val="24"/>
          <w:szCs w:val="20"/>
        </w:rPr>
      </w:pPr>
    </w:p>
    <w:p w14:paraId="6E97A1B6">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484EF7A0">
      <w:pPr>
        <w:adjustRightInd w:val="0"/>
        <w:snapToGrid w:val="0"/>
        <w:spacing w:line="360" w:lineRule="auto"/>
        <w:rPr>
          <w:rFonts w:hint="eastAsia" w:ascii="宋体" w:hAnsi="宋体" w:cs="宋体"/>
          <w:b/>
          <w:color w:val="auto"/>
          <w:sz w:val="28"/>
          <w:szCs w:val="28"/>
        </w:rPr>
      </w:pPr>
    </w:p>
    <w:p w14:paraId="7C64ED04">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18A7AF7">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7E86CF8D">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1EBAE508">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1E44D257">
      <w:pPr>
        <w:adjustRightInd w:val="0"/>
        <w:snapToGrid w:val="0"/>
        <w:spacing w:line="360" w:lineRule="auto"/>
        <w:ind w:firstLine="480" w:firstLineChars="200"/>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E621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D3921DB">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176BFE6B">
      <w:pPr>
        <w:adjustRightInd w:val="0"/>
        <w:snapToGrid w:val="0"/>
        <w:spacing w:line="360" w:lineRule="auto"/>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0353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22B478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690E3A4">
      <w:pPr>
        <w:adjustRightInd w:val="0"/>
        <w:snapToGrid w:val="0"/>
        <w:spacing w:line="360" w:lineRule="auto"/>
        <w:rPr>
          <w:rFonts w:hint="eastAsia" w:ascii="宋体" w:hAnsi="宋体" w:cs="宋体"/>
          <w:color w:val="auto"/>
          <w:sz w:val="24"/>
        </w:rPr>
      </w:pPr>
    </w:p>
    <w:p w14:paraId="62866227">
      <w:pPr>
        <w:adjustRightInd w:val="0"/>
        <w:snapToGrid w:val="0"/>
        <w:spacing w:line="360" w:lineRule="auto"/>
        <w:rPr>
          <w:rFonts w:hint="eastAsia" w:ascii="宋体" w:hAnsi="宋体" w:cs="宋体"/>
          <w:color w:val="auto"/>
          <w:sz w:val="24"/>
        </w:rPr>
      </w:pPr>
    </w:p>
    <w:p w14:paraId="22EADCD1">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535172AF">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70138A1">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589FF919">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148C083">
      <w:pPr>
        <w:adjustRightInd w:val="0"/>
        <w:snapToGrid w:val="0"/>
        <w:spacing w:line="360" w:lineRule="auto"/>
        <w:rPr>
          <w:rFonts w:hint="eastAsia" w:ascii="宋体" w:hAnsi="宋体" w:cs="宋体"/>
          <w:b/>
          <w:color w:val="auto"/>
          <w:sz w:val="28"/>
          <w:szCs w:val="28"/>
        </w:rPr>
      </w:pPr>
    </w:p>
    <w:p w14:paraId="1A60B02A">
      <w:pPr>
        <w:adjustRightInd w:val="0"/>
        <w:snapToGrid w:val="0"/>
        <w:spacing w:line="360" w:lineRule="auto"/>
        <w:rPr>
          <w:rFonts w:hint="eastAsia" w:ascii="宋体" w:hAnsi="宋体" w:cs="宋体"/>
          <w:b/>
          <w:color w:val="auto"/>
          <w:sz w:val="28"/>
          <w:szCs w:val="28"/>
        </w:rPr>
      </w:pPr>
    </w:p>
    <w:p w14:paraId="33DC4EA4">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557BC8F7">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6B02F18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7015A285">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4C3A86BF">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54E13F4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318FC51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40FC264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19DCD7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6D65F36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5F2181BE">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57923393">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3102D36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5896BD17">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352BB87E">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4D2E52E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5626F71B">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33A906AB">
      <w:pPr>
        <w:adjustRightInd w:val="0"/>
        <w:snapToGrid w:val="0"/>
        <w:spacing w:line="360" w:lineRule="auto"/>
        <w:jc w:val="center"/>
        <w:rPr>
          <w:rFonts w:hint="eastAsia" w:ascii="宋体" w:hAnsi="宋体" w:cs="宋体"/>
          <w:b/>
          <w:color w:val="auto"/>
          <w:sz w:val="24"/>
          <w:szCs w:val="20"/>
        </w:rPr>
      </w:pPr>
    </w:p>
    <w:p w14:paraId="43513160">
      <w:pPr>
        <w:adjustRightInd w:val="0"/>
        <w:snapToGrid w:val="0"/>
        <w:spacing w:line="360" w:lineRule="auto"/>
        <w:rPr>
          <w:rFonts w:hint="eastAsia" w:ascii="宋体" w:hAnsi="宋体" w:cs="宋体"/>
          <w:b/>
          <w:color w:val="auto"/>
          <w:sz w:val="24"/>
          <w:szCs w:val="20"/>
        </w:rPr>
      </w:pPr>
    </w:p>
    <w:p w14:paraId="1F93E756">
      <w:pPr>
        <w:adjustRightInd w:val="0"/>
        <w:snapToGrid w:val="0"/>
        <w:spacing w:line="360" w:lineRule="auto"/>
        <w:rPr>
          <w:rFonts w:hint="eastAsia" w:ascii="宋体" w:hAnsi="宋体" w:cs="宋体"/>
          <w:b/>
          <w:color w:val="auto"/>
          <w:sz w:val="24"/>
          <w:szCs w:val="20"/>
        </w:rPr>
      </w:pPr>
    </w:p>
    <w:p w14:paraId="50E192B0">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FFC9342">
      <w:pPr>
        <w:adjustRightInd w:val="0"/>
        <w:snapToGrid w:val="0"/>
        <w:spacing w:line="360" w:lineRule="auto"/>
        <w:jc w:val="center"/>
        <w:rPr>
          <w:rFonts w:hint="eastAsia" w:ascii="宋体" w:hAnsi="宋体" w:cs="宋体"/>
          <w:b/>
          <w:color w:val="auto"/>
          <w:sz w:val="24"/>
          <w:szCs w:val="20"/>
        </w:rPr>
      </w:pPr>
    </w:p>
    <w:p w14:paraId="70D96195">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7E7A1A67">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233909D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6A5A36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2709F95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0072E6B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C5C413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2D19AA8">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B7EC4CC">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F367370">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781ADB6C">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5C106598">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2022年     月     日</w:t>
      </w:r>
    </w:p>
    <w:p w14:paraId="1AD90C82">
      <w:pPr>
        <w:jc w:val="left"/>
        <w:rPr>
          <w:rFonts w:hint="eastAsia" w:ascii="宋体" w:hAnsi="宋体" w:eastAsia="宋体" w:cs="Times New Roman"/>
          <w:b w:val="0"/>
          <w:bCs w:val="0"/>
          <w:color w:val="auto"/>
          <w:kern w:val="2"/>
          <w:sz w:val="24"/>
          <w:szCs w:val="24"/>
          <w:lang w:val="en-US" w:eastAsia="zh-CN" w:bidi="ar-SA"/>
        </w:rPr>
      </w:pPr>
    </w:p>
    <w:p w14:paraId="4C054E8F">
      <w:pPr>
        <w:jc w:val="left"/>
        <w:rPr>
          <w:rFonts w:hint="eastAsia" w:ascii="宋体" w:hAnsi="宋体" w:eastAsia="宋体" w:cs="Times New Roman"/>
          <w:b w:val="0"/>
          <w:bCs w:val="0"/>
          <w:color w:val="auto"/>
          <w:kern w:val="2"/>
          <w:sz w:val="24"/>
          <w:szCs w:val="24"/>
          <w:lang w:val="en-US" w:eastAsia="zh-CN" w:bidi="ar-SA"/>
        </w:rPr>
      </w:pPr>
    </w:p>
    <w:p w14:paraId="0ABDC406">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6FA0C4AB">
      <w:pPr>
        <w:jc w:val="center"/>
        <w:rPr>
          <w:rFonts w:hint="eastAsia" w:ascii="宋体" w:hAnsi="宋体" w:cs="宋体"/>
          <w:b/>
          <w:color w:val="auto"/>
          <w:sz w:val="24"/>
        </w:rPr>
        <w:sectPr>
          <w:footerReference r:id="rId6" w:type="default"/>
          <w:pgSz w:w="11906" w:h="16838"/>
          <w:pgMar w:top="1191" w:right="1587" w:bottom="1020" w:left="1587" w:header="567" w:footer="283" w:gutter="0"/>
          <w:cols w:space="720" w:num="1"/>
          <w:docGrid w:linePitch="312" w:charSpace="0"/>
        </w:sectPr>
      </w:pPr>
    </w:p>
    <w:p w14:paraId="7242920E">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14:paraId="126ABE8D">
      <w:pPr>
        <w:pStyle w:val="20"/>
        <w:rPr>
          <w:rFonts w:hint="eastAsia"/>
          <w:color w:val="auto"/>
          <w:lang w:eastAsia="zh-CN"/>
        </w:rPr>
      </w:pPr>
    </w:p>
    <w:p w14:paraId="23ABFD02">
      <w:pPr>
        <w:spacing w:before="120" w:beforeLines="50" w:after="120" w:afterLines="50" w:line="276" w:lineRule="auto"/>
        <w:jc w:val="center"/>
        <w:rPr>
          <w:rFonts w:hint="eastAsia" w:eastAsia="宋体"/>
          <w:b/>
          <w:color w:val="auto"/>
          <w:sz w:val="24"/>
          <w:lang w:eastAsia="zh-CN"/>
        </w:rPr>
      </w:pPr>
      <w:r>
        <w:rPr>
          <w:b/>
          <w:color w:val="auto"/>
          <w:sz w:val="24"/>
        </w:rPr>
        <w:t>采购需求响应</w:t>
      </w:r>
      <w:r>
        <w:rPr>
          <w:rFonts w:hint="eastAsia"/>
          <w:b/>
          <w:color w:val="auto"/>
          <w:sz w:val="24"/>
          <w:lang w:eastAsia="zh-CN"/>
        </w:rPr>
        <w:t>表</w:t>
      </w:r>
    </w:p>
    <w:p w14:paraId="4E74E34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078162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283F8009">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04F1DE08">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5184D0FE">
            <w:pPr>
              <w:adjustRightInd w:val="0"/>
              <w:snapToGrid w:val="0"/>
              <w:spacing w:before="50" w:line="360" w:lineRule="auto"/>
              <w:jc w:val="center"/>
              <w:rPr>
                <w:color w:val="auto"/>
              </w:rPr>
            </w:pPr>
            <w:r>
              <w:rPr>
                <w:color w:val="auto"/>
              </w:rPr>
              <w:t>招标文件要求</w:t>
            </w:r>
          </w:p>
        </w:tc>
        <w:tc>
          <w:tcPr>
            <w:tcW w:w="962" w:type="pct"/>
            <w:noWrap w:val="0"/>
            <w:vAlign w:val="top"/>
          </w:tcPr>
          <w:p w14:paraId="4D34468D">
            <w:pPr>
              <w:adjustRightInd w:val="0"/>
              <w:snapToGrid w:val="0"/>
              <w:spacing w:before="50" w:line="360" w:lineRule="auto"/>
              <w:jc w:val="center"/>
              <w:rPr>
                <w:color w:val="auto"/>
              </w:rPr>
            </w:pPr>
            <w:r>
              <w:rPr>
                <w:color w:val="auto"/>
              </w:rPr>
              <w:t>投标文件应答</w:t>
            </w:r>
          </w:p>
        </w:tc>
        <w:tc>
          <w:tcPr>
            <w:tcW w:w="905" w:type="pct"/>
            <w:noWrap w:val="0"/>
            <w:vAlign w:val="center"/>
          </w:tcPr>
          <w:p w14:paraId="7790CCE8">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4F22A06F">
            <w:pPr>
              <w:adjustRightInd w:val="0"/>
              <w:snapToGrid w:val="0"/>
              <w:spacing w:before="50" w:line="360" w:lineRule="auto"/>
              <w:ind w:left="-88" w:leftChars="-42"/>
              <w:jc w:val="center"/>
              <w:rPr>
                <w:color w:val="auto"/>
                <w:szCs w:val="21"/>
              </w:rPr>
            </w:pPr>
            <w:r>
              <w:rPr>
                <w:color w:val="auto"/>
                <w:szCs w:val="21"/>
              </w:rPr>
              <w:t>偏离说明</w:t>
            </w:r>
          </w:p>
        </w:tc>
      </w:tr>
      <w:tr w14:paraId="60D909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5B8C8226">
            <w:pPr>
              <w:adjustRightInd w:val="0"/>
              <w:snapToGrid w:val="0"/>
              <w:spacing w:before="50" w:line="360" w:lineRule="auto"/>
              <w:ind w:left="-88" w:leftChars="-42"/>
              <w:jc w:val="center"/>
              <w:rPr>
                <w:color w:val="auto"/>
                <w:szCs w:val="21"/>
              </w:rPr>
            </w:pPr>
          </w:p>
        </w:tc>
        <w:tc>
          <w:tcPr>
            <w:tcW w:w="1123" w:type="pct"/>
            <w:noWrap w:val="0"/>
            <w:vAlign w:val="center"/>
          </w:tcPr>
          <w:p w14:paraId="7705EEC4">
            <w:pPr>
              <w:adjustRightInd w:val="0"/>
              <w:snapToGrid w:val="0"/>
              <w:spacing w:before="50" w:line="360" w:lineRule="auto"/>
              <w:ind w:left="-88" w:leftChars="-42"/>
              <w:jc w:val="center"/>
              <w:rPr>
                <w:color w:val="auto"/>
                <w:szCs w:val="21"/>
              </w:rPr>
            </w:pPr>
          </w:p>
        </w:tc>
        <w:tc>
          <w:tcPr>
            <w:tcW w:w="1000" w:type="pct"/>
            <w:noWrap w:val="0"/>
            <w:vAlign w:val="center"/>
          </w:tcPr>
          <w:p w14:paraId="5DE07560">
            <w:pPr>
              <w:adjustRightInd w:val="0"/>
              <w:snapToGrid w:val="0"/>
              <w:spacing w:before="50" w:line="360" w:lineRule="auto"/>
              <w:ind w:left="-88" w:leftChars="-42"/>
              <w:jc w:val="center"/>
              <w:rPr>
                <w:color w:val="auto"/>
                <w:szCs w:val="21"/>
              </w:rPr>
            </w:pPr>
          </w:p>
        </w:tc>
        <w:tc>
          <w:tcPr>
            <w:tcW w:w="962" w:type="pct"/>
            <w:noWrap w:val="0"/>
            <w:vAlign w:val="center"/>
          </w:tcPr>
          <w:p w14:paraId="6260238C">
            <w:pPr>
              <w:adjustRightInd w:val="0"/>
              <w:snapToGrid w:val="0"/>
              <w:spacing w:before="50" w:line="360" w:lineRule="auto"/>
              <w:ind w:left="-88" w:leftChars="-42"/>
              <w:jc w:val="center"/>
              <w:rPr>
                <w:color w:val="auto"/>
                <w:szCs w:val="21"/>
              </w:rPr>
            </w:pPr>
          </w:p>
        </w:tc>
        <w:tc>
          <w:tcPr>
            <w:tcW w:w="905" w:type="pct"/>
            <w:noWrap w:val="0"/>
            <w:vAlign w:val="center"/>
          </w:tcPr>
          <w:p w14:paraId="4772008B">
            <w:pPr>
              <w:adjustRightInd w:val="0"/>
              <w:snapToGrid w:val="0"/>
              <w:spacing w:before="50" w:line="360" w:lineRule="auto"/>
              <w:ind w:left="-88" w:leftChars="-42"/>
              <w:jc w:val="center"/>
              <w:rPr>
                <w:color w:val="auto"/>
                <w:szCs w:val="21"/>
              </w:rPr>
            </w:pPr>
          </w:p>
        </w:tc>
        <w:tc>
          <w:tcPr>
            <w:tcW w:w="634" w:type="pct"/>
            <w:noWrap w:val="0"/>
            <w:vAlign w:val="center"/>
          </w:tcPr>
          <w:p w14:paraId="21C492A5">
            <w:pPr>
              <w:adjustRightInd w:val="0"/>
              <w:snapToGrid w:val="0"/>
              <w:spacing w:before="50" w:line="360" w:lineRule="auto"/>
              <w:ind w:left="-88" w:leftChars="-42"/>
              <w:jc w:val="center"/>
              <w:rPr>
                <w:color w:val="auto"/>
                <w:szCs w:val="21"/>
              </w:rPr>
            </w:pPr>
          </w:p>
        </w:tc>
      </w:tr>
      <w:tr w14:paraId="2C3DD0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672C68D6">
            <w:pPr>
              <w:adjustRightInd w:val="0"/>
              <w:snapToGrid w:val="0"/>
              <w:spacing w:before="50" w:line="360" w:lineRule="auto"/>
              <w:ind w:left="-88" w:leftChars="-42"/>
              <w:jc w:val="center"/>
              <w:rPr>
                <w:color w:val="auto"/>
                <w:szCs w:val="21"/>
              </w:rPr>
            </w:pPr>
          </w:p>
        </w:tc>
        <w:tc>
          <w:tcPr>
            <w:tcW w:w="1123" w:type="pct"/>
            <w:noWrap w:val="0"/>
            <w:vAlign w:val="center"/>
          </w:tcPr>
          <w:p w14:paraId="25B70FD8">
            <w:pPr>
              <w:adjustRightInd w:val="0"/>
              <w:snapToGrid w:val="0"/>
              <w:spacing w:before="50" w:line="360" w:lineRule="auto"/>
              <w:ind w:left="-88" w:leftChars="-42"/>
              <w:jc w:val="center"/>
              <w:rPr>
                <w:color w:val="auto"/>
                <w:szCs w:val="21"/>
              </w:rPr>
            </w:pPr>
          </w:p>
        </w:tc>
        <w:tc>
          <w:tcPr>
            <w:tcW w:w="1000" w:type="pct"/>
            <w:noWrap w:val="0"/>
            <w:vAlign w:val="center"/>
          </w:tcPr>
          <w:p w14:paraId="556058A2">
            <w:pPr>
              <w:adjustRightInd w:val="0"/>
              <w:snapToGrid w:val="0"/>
              <w:spacing w:before="50" w:line="360" w:lineRule="auto"/>
              <w:ind w:left="-88" w:leftChars="-42"/>
              <w:jc w:val="center"/>
              <w:rPr>
                <w:color w:val="auto"/>
                <w:szCs w:val="21"/>
              </w:rPr>
            </w:pPr>
          </w:p>
        </w:tc>
        <w:tc>
          <w:tcPr>
            <w:tcW w:w="962" w:type="pct"/>
            <w:noWrap w:val="0"/>
            <w:vAlign w:val="center"/>
          </w:tcPr>
          <w:p w14:paraId="2D4564AE">
            <w:pPr>
              <w:adjustRightInd w:val="0"/>
              <w:snapToGrid w:val="0"/>
              <w:spacing w:before="50" w:line="360" w:lineRule="auto"/>
              <w:ind w:left="-88" w:leftChars="-42"/>
              <w:jc w:val="center"/>
              <w:rPr>
                <w:color w:val="auto"/>
                <w:szCs w:val="21"/>
              </w:rPr>
            </w:pPr>
          </w:p>
        </w:tc>
        <w:tc>
          <w:tcPr>
            <w:tcW w:w="905" w:type="pct"/>
            <w:noWrap w:val="0"/>
            <w:vAlign w:val="center"/>
          </w:tcPr>
          <w:p w14:paraId="716E63CD">
            <w:pPr>
              <w:adjustRightInd w:val="0"/>
              <w:snapToGrid w:val="0"/>
              <w:spacing w:before="50" w:line="360" w:lineRule="auto"/>
              <w:ind w:left="-88" w:leftChars="-42"/>
              <w:jc w:val="center"/>
              <w:rPr>
                <w:color w:val="auto"/>
                <w:szCs w:val="21"/>
              </w:rPr>
            </w:pPr>
          </w:p>
        </w:tc>
        <w:tc>
          <w:tcPr>
            <w:tcW w:w="634" w:type="pct"/>
            <w:noWrap w:val="0"/>
            <w:vAlign w:val="center"/>
          </w:tcPr>
          <w:p w14:paraId="3E9A6FEA">
            <w:pPr>
              <w:adjustRightInd w:val="0"/>
              <w:snapToGrid w:val="0"/>
              <w:spacing w:before="50" w:line="360" w:lineRule="auto"/>
              <w:ind w:left="-88" w:leftChars="-42"/>
              <w:jc w:val="center"/>
              <w:rPr>
                <w:color w:val="auto"/>
                <w:szCs w:val="21"/>
              </w:rPr>
            </w:pPr>
          </w:p>
        </w:tc>
      </w:tr>
      <w:tr w14:paraId="249ACC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A6D10A9">
            <w:pPr>
              <w:adjustRightInd w:val="0"/>
              <w:snapToGrid w:val="0"/>
              <w:spacing w:before="50" w:line="360" w:lineRule="auto"/>
              <w:ind w:left="-88" w:leftChars="-42"/>
              <w:jc w:val="center"/>
              <w:rPr>
                <w:color w:val="auto"/>
                <w:szCs w:val="21"/>
              </w:rPr>
            </w:pPr>
          </w:p>
        </w:tc>
        <w:tc>
          <w:tcPr>
            <w:tcW w:w="1123" w:type="pct"/>
            <w:noWrap w:val="0"/>
            <w:vAlign w:val="center"/>
          </w:tcPr>
          <w:p w14:paraId="3A42DC0C">
            <w:pPr>
              <w:adjustRightInd w:val="0"/>
              <w:snapToGrid w:val="0"/>
              <w:spacing w:before="50" w:line="360" w:lineRule="auto"/>
              <w:ind w:left="-88" w:leftChars="-42"/>
              <w:jc w:val="center"/>
              <w:rPr>
                <w:color w:val="auto"/>
                <w:szCs w:val="21"/>
              </w:rPr>
            </w:pPr>
          </w:p>
        </w:tc>
        <w:tc>
          <w:tcPr>
            <w:tcW w:w="1000" w:type="pct"/>
            <w:noWrap w:val="0"/>
            <w:vAlign w:val="center"/>
          </w:tcPr>
          <w:p w14:paraId="21CAC9C3">
            <w:pPr>
              <w:adjustRightInd w:val="0"/>
              <w:snapToGrid w:val="0"/>
              <w:spacing w:before="50" w:line="360" w:lineRule="auto"/>
              <w:ind w:left="-88" w:leftChars="-42"/>
              <w:jc w:val="center"/>
              <w:rPr>
                <w:color w:val="auto"/>
                <w:szCs w:val="21"/>
              </w:rPr>
            </w:pPr>
          </w:p>
        </w:tc>
        <w:tc>
          <w:tcPr>
            <w:tcW w:w="962" w:type="pct"/>
            <w:noWrap w:val="0"/>
            <w:vAlign w:val="center"/>
          </w:tcPr>
          <w:p w14:paraId="04A4BFFE">
            <w:pPr>
              <w:adjustRightInd w:val="0"/>
              <w:snapToGrid w:val="0"/>
              <w:spacing w:before="50" w:line="360" w:lineRule="auto"/>
              <w:ind w:left="-88" w:leftChars="-42"/>
              <w:jc w:val="center"/>
              <w:rPr>
                <w:color w:val="auto"/>
                <w:szCs w:val="21"/>
              </w:rPr>
            </w:pPr>
          </w:p>
        </w:tc>
        <w:tc>
          <w:tcPr>
            <w:tcW w:w="905" w:type="pct"/>
            <w:noWrap w:val="0"/>
            <w:vAlign w:val="center"/>
          </w:tcPr>
          <w:p w14:paraId="2A2F78CE">
            <w:pPr>
              <w:adjustRightInd w:val="0"/>
              <w:snapToGrid w:val="0"/>
              <w:spacing w:before="50" w:line="360" w:lineRule="auto"/>
              <w:ind w:left="-88" w:leftChars="-42"/>
              <w:jc w:val="center"/>
              <w:rPr>
                <w:color w:val="auto"/>
                <w:szCs w:val="21"/>
              </w:rPr>
            </w:pPr>
          </w:p>
        </w:tc>
        <w:tc>
          <w:tcPr>
            <w:tcW w:w="634" w:type="pct"/>
            <w:noWrap w:val="0"/>
            <w:vAlign w:val="center"/>
          </w:tcPr>
          <w:p w14:paraId="26D05CB8">
            <w:pPr>
              <w:adjustRightInd w:val="0"/>
              <w:snapToGrid w:val="0"/>
              <w:spacing w:before="50" w:line="360" w:lineRule="auto"/>
              <w:ind w:left="-88" w:leftChars="-42"/>
              <w:jc w:val="center"/>
              <w:rPr>
                <w:color w:val="auto"/>
                <w:szCs w:val="21"/>
              </w:rPr>
            </w:pPr>
          </w:p>
        </w:tc>
      </w:tr>
      <w:tr w14:paraId="59652E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643DDFCC">
            <w:pPr>
              <w:rPr>
                <w:b/>
                <w:color w:val="auto"/>
              </w:rPr>
            </w:pPr>
            <w:r>
              <w:rPr>
                <w:b/>
                <w:color w:val="auto"/>
              </w:rPr>
              <w:t>投标人保证：我单位对招标文件的其他采购需求条款完全响应，无偏离。</w:t>
            </w:r>
          </w:p>
        </w:tc>
      </w:tr>
    </w:tbl>
    <w:p w14:paraId="4C95D72F">
      <w:pPr>
        <w:adjustRightInd w:val="0"/>
        <w:snapToGrid w:val="0"/>
        <w:spacing w:before="50" w:line="360" w:lineRule="auto"/>
        <w:ind w:left="-88" w:leftChars="-42"/>
        <w:rPr>
          <w:color w:val="auto"/>
          <w:sz w:val="24"/>
        </w:rPr>
      </w:pPr>
      <w:r>
        <w:rPr>
          <w:b/>
          <w:color w:val="auto"/>
          <w:sz w:val="24"/>
        </w:rPr>
        <w:t>备注</w:t>
      </w:r>
      <w:r>
        <w:rPr>
          <w:color w:val="auto"/>
          <w:sz w:val="24"/>
        </w:rPr>
        <w:t>：</w:t>
      </w:r>
    </w:p>
    <w:p w14:paraId="60153127">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54935394">
      <w:pPr>
        <w:adjustRightInd w:val="0"/>
        <w:snapToGrid w:val="0"/>
        <w:spacing w:before="50" w:line="360" w:lineRule="auto"/>
        <w:ind w:left="-88" w:leftChars="-42"/>
        <w:rPr>
          <w:rFonts w:hint="eastAsia"/>
          <w:color w:val="auto"/>
          <w:sz w:val="24"/>
        </w:rPr>
      </w:pPr>
      <w:r>
        <w:rPr>
          <w:color w:val="auto"/>
          <w:sz w:val="24"/>
        </w:rPr>
        <w:t>（2）</w:t>
      </w:r>
      <w:r>
        <w:rPr>
          <w:rFonts w:hint="eastAsia"/>
          <w:color w:val="auto"/>
          <w:sz w:val="24"/>
        </w:rPr>
        <w:t>采购需求必须全部满足，不得有偏离，否则投标无效</w:t>
      </w:r>
      <w:r>
        <w:rPr>
          <w:color w:val="auto"/>
          <w:sz w:val="24"/>
        </w:rPr>
        <w:t>；</w:t>
      </w:r>
    </w:p>
    <w:bookmarkEnd w:id="3"/>
    <w:bookmarkEnd w:id="4"/>
    <w:p w14:paraId="71254EC6">
      <w:pPr>
        <w:pStyle w:val="19"/>
        <w:rPr>
          <w:color w:val="auto"/>
        </w:rPr>
      </w:pPr>
    </w:p>
    <w:p w14:paraId="0F8FD442">
      <w:pPr>
        <w:pStyle w:val="21"/>
        <w:tabs>
          <w:tab w:val="left" w:pos="2312"/>
          <w:tab w:val="left" w:pos="2313"/>
        </w:tabs>
        <w:autoSpaceDE w:val="0"/>
        <w:autoSpaceDN w:val="0"/>
        <w:spacing w:before="43"/>
        <w:ind w:left="0" w:leftChars="0" w:firstLine="0" w:firstLineChars="0"/>
        <w:jc w:val="center"/>
        <w:rPr>
          <w:rFonts w:hint="eastAsia" w:ascii="宋体" w:hAnsi="宋体" w:eastAsia="宋体" w:cs="宋体"/>
          <w:b/>
          <w:color w:val="auto"/>
          <w:sz w:val="28"/>
          <w:szCs w:val="28"/>
          <w:lang w:eastAsia="zh-CN"/>
        </w:rPr>
      </w:pPr>
      <w:r>
        <w:rPr>
          <w:rFonts w:hint="eastAsia" w:ascii="Times New Roman" w:hAnsi="Times New Roman"/>
          <w:b/>
          <w:bCs/>
          <w:color w:val="auto"/>
          <w:sz w:val="28"/>
          <w:szCs w:val="28"/>
        </w:rPr>
        <w:t>第四部分、</w:t>
      </w:r>
      <w:r>
        <w:rPr>
          <w:rFonts w:hint="eastAsia" w:ascii="宋体" w:hAnsi="宋体" w:cs="宋体"/>
          <w:b/>
          <w:color w:val="auto"/>
          <w:sz w:val="28"/>
          <w:szCs w:val="28"/>
          <w:lang w:eastAsia="zh-CN"/>
        </w:rPr>
        <w:t>其他需提供的材料</w:t>
      </w:r>
    </w:p>
    <w:p w14:paraId="20F17816">
      <w:pPr>
        <w:adjustRightInd w:val="0"/>
        <w:snapToGrid w:val="0"/>
        <w:spacing w:before="120" w:beforeLines="50" w:line="360" w:lineRule="auto"/>
        <w:jc w:val="center"/>
        <w:rPr>
          <w:rFonts w:ascii="宋体" w:hAnsi="宋体" w:cs="宋体"/>
          <w:color w:val="auto"/>
          <w:sz w:val="24"/>
        </w:rPr>
      </w:pPr>
      <w:r>
        <w:rPr>
          <w:rFonts w:hint="eastAsia" w:ascii="宋体" w:hAnsi="宋体" w:cs="宋体"/>
          <w:color w:val="auto"/>
          <w:sz w:val="24"/>
          <w:lang w:val="en-US" w:eastAsia="zh-CN"/>
        </w:rPr>
        <w:t xml:space="preserve">  </w:t>
      </w:r>
      <w:r>
        <w:rPr>
          <w:rFonts w:hint="eastAsia" w:ascii="宋体" w:hAnsi="宋体" w:cs="宋体"/>
          <w:color w:val="auto"/>
          <w:sz w:val="24"/>
        </w:rPr>
        <w:t>备</w:t>
      </w:r>
      <w:r>
        <w:rPr>
          <w:rFonts w:ascii="宋体" w:hAnsi="宋体" w:cs="宋体"/>
          <w:color w:val="auto"/>
          <w:sz w:val="24"/>
        </w:rPr>
        <w:t>注：</w:t>
      </w:r>
      <w:r>
        <w:rPr>
          <w:rFonts w:hint="eastAsia" w:ascii="宋体" w:hAnsi="宋体" w:cs="宋体"/>
          <w:color w:val="auto"/>
          <w:sz w:val="24"/>
          <w:lang w:eastAsia="zh-CN"/>
        </w:rPr>
        <w:t>按要求提供</w:t>
      </w:r>
      <w:r>
        <w:rPr>
          <w:rFonts w:ascii="宋体" w:hAnsi="宋体" w:cs="宋体"/>
          <w:color w:val="auto"/>
          <w:sz w:val="24"/>
        </w:rPr>
        <w:t>提供材料</w:t>
      </w:r>
    </w:p>
    <w:p w14:paraId="076806B6">
      <w:pPr>
        <w:pStyle w:val="19"/>
        <w:rPr>
          <w:color w:val="auto"/>
        </w:rPr>
      </w:pPr>
    </w:p>
    <w:p w14:paraId="1AA19DFA">
      <w:pPr>
        <w:pStyle w:val="19"/>
        <w:rPr>
          <w:color w:val="auto"/>
        </w:rPr>
      </w:pPr>
    </w:p>
    <w:p w14:paraId="4461DEBA">
      <w:pPr>
        <w:pStyle w:val="19"/>
        <w:rPr>
          <w:color w:val="auto"/>
        </w:rPr>
      </w:pPr>
    </w:p>
    <w:p w14:paraId="4F259EF0">
      <w:pPr>
        <w:pStyle w:val="21"/>
        <w:tabs>
          <w:tab w:val="left" w:pos="2312"/>
          <w:tab w:val="left" w:pos="2313"/>
        </w:tabs>
        <w:autoSpaceDE w:val="0"/>
        <w:autoSpaceDN w:val="0"/>
        <w:spacing w:before="43"/>
        <w:ind w:left="0" w:leftChars="0" w:firstLine="0" w:firstLineChars="0"/>
        <w:rPr>
          <w:rFonts w:ascii="Times New Roman" w:hAnsi="Times New Roman"/>
          <w:b/>
          <w:bCs/>
          <w:color w:val="auto"/>
          <w:sz w:val="28"/>
          <w:szCs w:val="28"/>
        </w:rPr>
      </w:pPr>
    </w:p>
    <w:p w14:paraId="03A61B5D">
      <w:pPr>
        <w:rPr>
          <w:color w:val="auto"/>
        </w:rPr>
      </w:pPr>
    </w:p>
    <w:p w14:paraId="40DFB52B">
      <w:pPr>
        <w:rPr>
          <w:color w:val="auto"/>
        </w:rPr>
      </w:pPr>
    </w:p>
    <w:p w14:paraId="3338304C">
      <w:pPr>
        <w:rPr>
          <w:color w:val="auto"/>
        </w:rPr>
      </w:pPr>
    </w:p>
    <w:p w14:paraId="56521BD8">
      <w:pPr>
        <w:rPr>
          <w:color w:val="auto"/>
        </w:rPr>
      </w:pPr>
    </w:p>
    <w:p w14:paraId="28B8DAB4">
      <w:pPr>
        <w:rPr>
          <w:color w:val="auto"/>
        </w:rPr>
      </w:pPr>
    </w:p>
    <w:p w14:paraId="5E95BBF6">
      <w:pPr>
        <w:rPr>
          <w:color w:val="auto"/>
        </w:rPr>
      </w:pPr>
    </w:p>
    <w:p w14:paraId="2F10681E">
      <w:pPr>
        <w:rPr>
          <w:color w:val="auto"/>
        </w:rPr>
      </w:pPr>
    </w:p>
    <w:p w14:paraId="3C6492D2">
      <w:pPr>
        <w:rPr>
          <w:color w:val="auto"/>
        </w:rPr>
      </w:pPr>
    </w:p>
    <w:p w14:paraId="231C9220"/>
    <w:p w14:paraId="282D4CBF">
      <w:pPr>
        <w:rPr>
          <w:b/>
          <w:bCs/>
        </w:rPr>
      </w:pPr>
    </w:p>
    <w:sectPr>
      <w:footerReference r:id="rId7"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E88EBAE-244C-4C2F-A5D8-03DEC68A146C}"/>
  </w:font>
  <w:font w:name="黑体">
    <w:panose1 w:val="02010609060101010101"/>
    <w:charset w:val="86"/>
    <w:family w:val="auto"/>
    <w:pitch w:val="default"/>
    <w:sig w:usb0="800002BF" w:usb1="38CF7CFA" w:usb2="00000016" w:usb3="00000000" w:csb0="00040001" w:csb1="00000000"/>
    <w:embedRegular r:id="rId2" w:fontKey="{3CA7ED99-7F89-47DB-AF0D-48FE1CF2C5F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embedRegular r:id="rId3" w:fontKey="{1513C0C8-7AA2-4887-B133-11A2041CF8ED}"/>
  </w:font>
  <w:font w:name="仿宋">
    <w:panose1 w:val="02010609060101010101"/>
    <w:charset w:val="86"/>
    <w:family w:val="auto"/>
    <w:pitch w:val="default"/>
    <w:sig w:usb0="800002BF" w:usb1="38CF7CFA" w:usb2="00000016" w:usb3="00000000" w:csb0="00040001" w:csb1="00000000"/>
    <w:embedRegular r:id="rId4" w:fontKey="{16CF0570-6366-473C-8A25-A718DB0F0FAB}"/>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5" w:fontKey="{3CD478EC-B462-4A4D-9155-4AFBF602A74D}"/>
  </w:font>
  <w:font w:name="方正黑体_GBK">
    <w:altName w:val="微软雅黑"/>
    <w:panose1 w:val="02010600010101010101"/>
    <w:charset w:val="86"/>
    <w:family w:val="auto"/>
    <w:pitch w:val="default"/>
    <w:sig w:usb0="00000000" w:usb1="00000000" w:usb2="00000000" w:usb3="00000000" w:csb0="00040000" w:csb1="00000000"/>
    <w:embedRegular r:id="rId6" w:fontKey="{62C4B8EA-BFAD-4B1A-BA42-1D11F801A6C9}"/>
  </w:font>
  <w:font w:name="微软雅黑">
    <w:panose1 w:val="020B0503020204020204"/>
    <w:charset w:val="86"/>
    <w:family w:val="auto"/>
    <w:pitch w:val="default"/>
    <w:sig w:usb0="80000287" w:usb1="2ACF3C50" w:usb2="00000016" w:usb3="00000000" w:csb0="0004001F" w:csb1="00000000"/>
    <w:embedRegular r:id="rId7" w:fontKey="{6C86AABC-2BBC-43B4-9266-0C652AD9B530}"/>
  </w:font>
  <w:font w:name="方正仿宋_GB2312">
    <w:panose1 w:val="02000000000000000000"/>
    <w:charset w:val="86"/>
    <w:family w:val="auto"/>
    <w:pitch w:val="default"/>
    <w:sig w:usb0="A00002BF" w:usb1="184F6CFA" w:usb2="00000012" w:usb3="00000000" w:csb0="00040001" w:csb1="00000000"/>
    <w:embedRegular r:id="rId8" w:fontKey="{F8A3D460-C488-4BD8-98C8-7D51B85CCD90}"/>
  </w:font>
  <w:font w:name="KSOFE44F9426">
    <w:panose1 w:val="02010609060101010101"/>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1D5F1">
    <w:pPr>
      <w:pStyle w:val="9"/>
      <w:rPr>
        <w:rFonts w:hint="eastAsia" w:ascii="仿宋_GB2312" w:eastAsia="仿宋_GB2312"/>
        <w:bCs/>
        <w:u w:val="single"/>
      </w:rPr>
    </w:pPr>
    <w:r>
      <w:rPr>
        <w:rFonts w:hint="eastAsia" w:ascii="仿宋_GB2312" w:eastAsia="仿宋_GB2312"/>
        <w:bCs/>
        <w:u w:val="single"/>
      </w:rPr>
      <w:t xml:space="preserve">                                                                                                 </w:t>
    </w:r>
  </w:p>
  <w:p w14:paraId="63555F8F">
    <w:pPr>
      <w:adjustRightInd w:val="0"/>
      <w:snapToGrid w:val="0"/>
      <w:spacing w:line="260" w:lineRule="atLeast"/>
      <w:ind w:left="482" w:hanging="482"/>
      <w:rPr>
        <w:rFonts w:hint="eastAsia" w:ascii="宋体" w:hAnsi="宋体"/>
        <w:kern w:val="0"/>
        <w:sz w:val="18"/>
        <w:szCs w:val="21"/>
      </w:rPr>
    </w:pPr>
  </w:p>
  <w:p w14:paraId="37A57789">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4A015">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CEAF77">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1CEAF77">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90776">
    <w:pPr>
      <w:pStyle w:val="9"/>
      <w:rPr>
        <w:rFonts w:hint="eastAsia" w:ascii="仿宋_GB2312" w:eastAsia="仿宋_GB2312"/>
        <w:bCs/>
        <w:u w:val="single"/>
      </w:rPr>
    </w:pPr>
    <w:r>
      <w:rPr>
        <w:rFonts w:hint="eastAsia" w:ascii="仿宋_GB2312" w:eastAsia="仿宋_GB2312"/>
        <w:bCs/>
        <w:u w:val="single"/>
      </w:rPr>
      <w:t xml:space="preserve">                                                                                                 </w:t>
    </w:r>
  </w:p>
  <w:p w14:paraId="5E2B89F1">
    <w:pPr>
      <w:adjustRightInd w:val="0"/>
      <w:snapToGrid w:val="0"/>
      <w:spacing w:line="260" w:lineRule="atLeast"/>
      <w:rPr>
        <w:rFonts w:hint="eastAsia"/>
        <w:kern w:val="0"/>
        <w:sz w:val="18"/>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50E2D">
    <w:pPr>
      <w:pStyle w:val="9"/>
      <w:rPr>
        <w:rFonts w:hint="eastAsia" w:ascii="仿宋_GB2312" w:eastAsia="仿宋_GB2312"/>
        <w:bCs/>
        <w:u w:val="single"/>
      </w:rPr>
    </w:pPr>
    <w:r>
      <w:rPr>
        <w:rFonts w:hint="eastAsia" w:ascii="仿宋_GB2312" w:eastAsia="仿宋_GB2312"/>
        <w:bCs/>
        <w:u w:val="single"/>
      </w:rPr>
      <w:t xml:space="preserve">                                                                                                 </w:t>
    </w:r>
  </w:p>
  <w:p w14:paraId="555107B2">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449AC">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EEFDF4"/>
    <w:multiLevelType w:val="singleLevel"/>
    <w:tmpl w:val="E5EEFDF4"/>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F27B65"/>
    <w:rsid w:val="06C70FE3"/>
    <w:rsid w:val="1B185594"/>
    <w:rsid w:val="204909A6"/>
    <w:rsid w:val="31233659"/>
    <w:rsid w:val="3FF27B65"/>
    <w:rsid w:val="6DA22A9E"/>
    <w:rsid w:val="7536796C"/>
    <w:rsid w:val="786A36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Body Text"/>
    <w:basedOn w:val="1"/>
    <w:semiHidden/>
    <w:qFormat/>
    <w:uiPriority w:val="0"/>
    <w:rPr>
      <w:rFonts w:ascii="仿宋" w:hAnsi="仿宋" w:eastAsia="仿宋" w:cs="仿宋"/>
      <w:sz w:val="28"/>
      <w:szCs w:val="28"/>
      <w:lang w:val="en-US" w:eastAsia="en-US" w:bidi="ar-SA"/>
    </w:rPr>
  </w:style>
  <w:style w:type="paragraph" w:styleId="8">
    <w:name w:val="Body Text Indent"/>
    <w:basedOn w:val="1"/>
    <w:next w:val="1"/>
    <w:qFormat/>
    <w:uiPriority w:val="0"/>
    <w:pPr>
      <w:spacing w:after="120"/>
      <w:ind w:left="420" w:leftChars="200"/>
    </w:pPr>
    <w:rPr>
      <w:kern w:val="0"/>
      <w:sz w:val="24"/>
    </w:rPr>
  </w:style>
  <w:style w:type="paragraph" w:styleId="9">
    <w:name w:val="footer"/>
    <w:basedOn w:val="1"/>
    <w:qFormat/>
    <w:uiPriority w:val="0"/>
    <w:pPr>
      <w:tabs>
        <w:tab w:val="center" w:pos="4153"/>
        <w:tab w:val="right" w:pos="8306"/>
      </w:tabs>
      <w:snapToGrid w:val="0"/>
      <w:jc w:val="left"/>
    </w:pPr>
    <w:rPr>
      <w:kern w:val="0"/>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rPr>
      <w:sz w:val="24"/>
    </w:rPr>
  </w:style>
  <w:style w:type="paragraph" w:styleId="12">
    <w:name w:val="Body Text First Indent 2"/>
    <w:basedOn w:val="8"/>
    <w:next w:val="5"/>
    <w:qFormat/>
    <w:uiPriority w:val="0"/>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customStyle="1" w:styleId="17">
    <w:name w:val="font01"/>
    <w:basedOn w:val="15"/>
    <w:qFormat/>
    <w:uiPriority w:val="0"/>
    <w:rPr>
      <w:rFonts w:hint="eastAsia" w:ascii="宋体" w:hAnsi="宋体" w:eastAsia="宋体" w:cs="宋体"/>
      <w:color w:val="000000"/>
      <w:sz w:val="24"/>
      <w:szCs w:val="24"/>
      <w:u w:val="none"/>
    </w:rPr>
  </w:style>
  <w:style w:type="character" w:customStyle="1" w:styleId="18">
    <w:name w:val="font31"/>
    <w:basedOn w:val="15"/>
    <w:qFormat/>
    <w:uiPriority w:val="0"/>
    <w:rPr>
      <w:rFonts w:hint="eastAsia" w:ascii="宋体" w:hAnsi="宋体" w:eastAsia="宋体" w:cs="宋体"/>
      <w:color w:val="333333"/>
      <w:sz w:val="24"/>
      <w:szCs w:val="24"/>
      <w:u w:val="none"/>
    </w:rPr>
  </w:style>
  <w:style w:type="paragraph" w:customStyle="1" w:styleId="19">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列出段落1"/>
    <w:basedOn w:val="1"/>
    <w:qFormat/>
    <w:uiPriority w:val="99"/>
    <w:pPr>
      <w:ind w:firstLine="420" w:firstLineChars="200"/>
    </w:pPr>
  </w:style>
  <w:style w:type="paragraph" w:styleId="21">
    <w:name w:val="List Paragraph"/>
    <w:basedOn w:val="1"/>
    <w:qFormat/>
    <w:uiPriority w:val="34"/>
    <w:pPr>
      <w:ind w:firstLine="420" w:firstLineChars="200"/>
    </w:pPr>
    <w:rPr>
      <w:rFonts w:ascii="Calibri" w:hAnsi="Calibri"/>
      <w:szCs w:val="22"/>
    </w:rPr>
  </w:style>
  <w:style w:type="paragraph" w:customStyle="1" w:styleId="22">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9295</Words>
  <Characters>9772</Characters>
  <Lines>0</Lines>
  <Paragraphs>0</Paragraphs>
  <TotalTime>2</TotalTime>
  <ScaleCrop>false</ScaleCrop>
  <LinksUpToDate>false</LinksUpToDate>
  <CharactersWithSpaces>10947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2026-06-23T00:49:00Z</dcterms:created>
  <dc:creator>是小豹子</dc:creator>
  <cp:lastModifiedBy>是小豹子</cp:lastModifiedBy>
  <dcterms:modified xsi:type="dcterms:W3CDTF">2026-06-29T02:46:24Z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E6ACBCCCDC1D4C56A63A12CCB1DA9D44_11</vt:lpwstr>
  </property>
  <property fmtid="{D5CDD505-2E9C-101B-9397-08002B2CF9AE}" pid="4" name="KSOTemplateDocerSaveRecord">
    <vt:lpwstr>eyJoZGlkIjoiMjI0YzkyZjA4NDE5ZWViZGEyZTVjOTNhYTg4ZmYzYTciLCJ1c2VySWQiOiIzMDQ3NTQ4MDUifQ==</vt:lpwstr>
  </property>
</Properties>
</file>