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（显微镜2台医院公开挂网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bookmarkStart w:id="5" w:name="_GoBack"/>
      <w:bookmarkEnd w:id="5"/>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显微镜(2台)</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显微镜</w:t>
      </w:r>
      <w:r>
        <w:rPr>
          <w:rFonts w:hint="eastAsia" w:asciiTheme="minorEastAsia" w:hAnsiTheme="minorEastAsia" w:eastAsiaTheme="minorEastAsia" w:cstheme="minorEastAsia"/>
          <w:bCs/>
          <w:color w:val="auto"/>
          <w:sz w:val="24"/>
          <w:szCs w:val="24"/>
          <w:u w:val="single"/>
          <w:lang w:val="en-US" w:eastAsia="zh-CN"/>
        </w:rPr>
        <w:t>(2台)</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显微镜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B9EAA40">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（一）技术参数</w:t>
      </w:r>
    </w:p>
    <w:p w14:paraId="3B23AAC8">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用途：</w:t>
      </w:r>
      <w:r>
        <w:rPr>
          <w:rStyle w:val="21"/>
          <w:rFonts w:hint="eastAsia" w:asciiTheme="minorEastAsia" w:hAnsiTheme="minorEastAsia" w:eastAsiaTheme="minorEastAsia" w:cstheme="minorEastAsia"/>
          <w:bCs/>
          <w:kern w:val="2"/>
          <w:sz w:val="24"/>
          <w:szCs w:val="24"/>
          <w:lang w:val="en-US" w:eastAsia="zh-CN" w:bidi="ar-SA"/>
        </w:rPr>
        <w:t>可作普通染色切片的明场观察，用于临床诊断和科研工作。</w:t>
      </w:r>
    </w:p>
    <w:p w14:paraId="472E5E53">
      <w:pPr>
        <w:keepNext w:val="0"/>
        <w:keepLines w:val="0"/>
        <w:pageBreakBefore w:val="0"/>
        <w:widowControl w:val="0"/>
        <w:numPr>
          <w:ilvl w:val="0"/>
          <w:numId w:val="0"/>
        </w:numPr>
        <w:kinsoku/>
        <w:wordWrap/>
        <w:topLinePunct w:val="0"/>
        <w:autoSpaceDE/>
        <w:autoSpaceDN/>
        <w:bidi w:val="0"/>
        <w:snapToGrid/>
        <w:spacing w:line="360" w:lineRule="auto"/>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1、工作条件</w:t>
      </w:r>
    </w:p>
    <w:p w14:paraId="560442A9">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 xml:space="preserve">1.1  </w:t>
      </w:r>
      <w:r>
        <w:rPr>
          <w:rStyle w:val="21"/>
          <w:rFonts w:hint="eastAsia" w:asciiTheme="minorEastAsia" w:hAnsiTheme="minorEastAsia" w:eastAsiaTheme="minorEastAsia" w:cstheme="minorEastAsia"/>
          <w:kern w:val="2"/>
          <w:sz w:val="24"/>
          <w:szCs w:val="24"/>
          <w:lang w:val="en-US" w:eastAsia="zh-CN" w:bidi="ar-SA"/>
        </w:rPr>
        <w:t>适于在</w:t>
      </w:r>
      <w:r>
        <w:rPr>
          <w:rStyle w:val="21"/>
          <w:rFonts w:hint="eastAsia" w:asciiTheme="minorEastAsia" w:hAnsiTheme="minorEastAsia" w:eastAsiaTheme="minorEastAsia" w:cstheme="minorEastAsia"/>
          <w:bCs/>
          <w:kern w:val="2"/>
          <w:sz w:val="24"/>
          <w:szCs w:val="24"/>
          <w:lang w:val="en-US" w:eastAsia="zh-CN" w:bidi="ar-SA"/>
        </w:rPr>
        <w:t>电源220V（±10%）/50Hz、气温5℃～40℃和最大相对湿度80%的环境条件下运行。</w:t>
      </w:r>
    </w:p>
    <w:p w14:paraId="3CFD88B7">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1.2  配置符合中国有关标准要求的插头，或提供适当的转换插座。</w:t>
      </w:r>
    </w:p>
    <w:p w14:paraId="4978742B">
      <w:pPr>
        <w:keepNext w:val="0"/>
        <w:keepLines w:val="0"/>
        <w:pageBreakBefore w:val="0"/>
        <w:widowControl w:val="0"/>
        <w:numPr>
          <w:ilvl w:val="0"/>
          <w:numId w:val="0"/>
        </w:numPr>
        <w:kinsoku/>
        <w:wordWrap/>
        <w:topLinePunct w:val="0"/>
        <w:autoSpaceDE/>
        <w:autoSpaceDN/>
        <w:bidi w:val="0"/>
        <w:snapToGrid/>
        <w:spacing w:line="360" w:lineRule="auto"/>
        <w:ind w:left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2、主要技术指标</w:t>
      </w:r>
    </w:p>
    <w:p w14:paraId="28E91255">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  研究级正置显微镜</w:t>
      </w:r>
    </w:p>
    <w:p w14:paraId="01B4C125">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  研究级正置显微镜，可作明场观察</w:t>
      </w:r>
    </w:p>
    <w:p w14:paraId="26846E5C">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▲2.1.2  光学系统：无限远校正光学系统，齐焦距离必须为国际标准45mm</w:t>
      </w:r>
    </w:p>
    <w:p w14:paraId="777126C2">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2.1.3  调焦系统：载物台垂直运动方向距离不小于25mm，带聚焦粗调限位器，粗调旋钮扭矩可调，最小微调刻度单位≤1微米</w:t>
      </w:r>
    </w:p>
    <w:p w14:paraId="1EB8A5B2">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2.1.4  观察镜筒：</w:t>
      </w:r>
      <w:r>
        <w:rPr>
          <w:rStyle w:val="21"/>
          <w:rFonts w:hint="eastAsia" w:asciiTheme="minorEastAsia" w:hAnsiTheme="minorEastAsia" w:eastAsiaTheme="minorEastAsia" w:cstheme="minorEastAsia"/>
          <w:kern w:val="2"/>
          <w:sz w:val="24"/>
          <w:szCs w:val="24"/>
          <w:lang w:val="en-US" w:eastAsia="zh-CN" w:bidi="ar-SA"/>
        </w:rPr>
        <w:t>宽场三目观察筒，</w:t>
      </w:r>
      <w:r>
        <w:rPr>
          <w:rStyle w:val="21"/>
          <w:rFonts w:hint="eastAsia" w:asciiTheme="minorEastAsia" w:hAnsiTheme="minorEastAsia" w:eastAsiaTheme="minorEastAsia" w:cstheme="minorEastAsia"/>
          <w:bCs/>
          <w:kern w:val="2"/>
          <w:sz w:val="24"/>
          <w:szCs w:val="24"/>
          <w:lang w:val="en-US" w:eastAsia="zh-CN" w:bidi="ar-SA"/>
        </w:rPr>
        <w:t>倾角为30°最大可升级为FN≥26.5</w:t>
      </w:r>
    </w:p>
    <w:p w14:paraId="1654ACF3">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highlight w:val="yellow"/>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2.1.5  照明装置：内置透射光柯勒照明器，高亮度14W LED(强度大于12V100W卤素灯)。</w:t>
      </w:r>
    </w:p>
    <w:p w14:paraId="27983D50">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2.1.6  物镜：平场消色差物镜</w:t>
      </w:r>
    </w:p>
    <w:p w14:paraId="38BC6F9F">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4X（N.A. 0.1，W.D. 18.5）</w:t>
      </w:r>
    </w:p>
    <w:p w14:paraId="47C9F647">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10X（N.A. 0.25，W.D. 10.6）</w:t>
      </w:r>
    </w:p>
    <w:p w14:paraId="2977D195">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20X（N.A. 0.4，W.D. 1.2 spring）</w:t>
      </w:r>
    </w:p>
    <w:p w14:paraId="5A6AA9C4">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40X（N.A. 0.65，W.D. 0.6 spring）</w:t>
      </w:r>
    </w:p>
    <w:p w14:paraId="2BBD560F">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2.1.7  载物台：人机工程学、右手、低位置同轴驱动选钮的高抗磨损性陶瓷覆盖层载物台。</w:t>
      </w:r>
    </w:p>
    <w:p w14:paraId="3E9A434F">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GB" w:eastAsia="zh-CN" w:bidi="ar-SA"/>
        </w:rPr>
      </w:pPr>
      <w:r>
        <w:rPr>
          <w:rStyle w:val="21"/>
          <w:rFonts w:hint="eastAsia" w:asciiTheme="minorEastAsia" w:hAnsiTheme="minorEastAsia" w:eastAsiaTheme="minorEastAsia" w:cstheme="minorEastAsia"/>
          <w:bCs/>
          <w:kern w:val="2"/>
          <w:sz w:val="24"/>
          <w:szCs w:val="24"/>
          <w:lang w:val="en-US" w:eastAsia="zh-CN" w:bidi="ar-SA"/>
        </w:rPr>
        <w:t>2.1.8  目镜：10X宽视野目镜，带屈光度校准</w:t>
      </w:r>
    </w:p>
    <w:p w14:paraId="6226AC8C">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2.1.9  物镜转盘：五孔位物镜转盘。</w:t>
      </w:r>
    </w:p>
    <w:p w14:paraId="37507744">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2.1.10  摇摆式聚光镜：</w:t>
      </w:r>
      <w:r>
        <w:rPr>
          <w:rStyle w:val="21"/>
          <w:rFonts w:hint="eastAsia" w:asciiTheme="minorEastAsia" w:hAnsiTheme="minorEastAsia" w:eastAsiaTheme="minorEastAsia" w:cstheme="minorEastAsia"/>
          <w:bCs/>
          <w:kern w:val="2"/>
          <w:sz w:val="24"/>
          <w:szCs w:val="24"/>
          <w:lang w:val="en-GB" w:eastAsia="zh-CN" w:bidi="ar-SA"/>
        </w:rPr>
        <w:t>N.A.值</w:t>
      </w:r>
      <w:r>
        <w:rPr>
          <w:rStyle w:val="21"/>
          <w:rFonts w:hint="eastAsia" w:asciiTheme="minorEastAsia" w:hAnsiTheme="minorEastAsia" w:eastAsiaTheme="minorEastAsia" w:cstheme="minorEastAsia"/>
          <w:bCs/>
          <w:kern w:val="2"/>
          <w:sz w:val="24"/>
          <w:szCs w:val="24"/>
          <w:lang w:val="en-US" w:eastAsia="zh-CN" w:bidi="ar-SA"/>
        </w:rPr>
        <w:t xml:space="preserve">  0.9-0.16</w:t>
      </w:r>
    </w:p>
    <w:p w14:paraId="3844AAC1">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2.1.11 ≥500万像素成像系统，可连接病理报告系统</w:t>
      </w:r>
    </w:p>
    <w:p w14:paraId="74524464">
      <w:pPr>
        <w:pStyle w:val="12"/>
        <w:keepNext w:val="0"/>
        <w:keepLines w:val="0"/>
        <w:pageBreakBefore w:val="0"/>
        <w:widowControl w:val="0"/>
        <w:kinsoku/>
        <w:wordWrap/>
        <w:topLinePunct w:val="0"/>
        <w:autoSpaceDE/>
        <w:autoSpaceDN/>
        <w:bidi w:val="0"/>
        <w:snapToGrid/>
        <w:ind w:left="0" w:leftChars="0" w:firstLine="480" w:firstLineChars="200"/>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2.1.12  连接PACS系统</w:t>
      </w:r>
    </w:p>
    <w:p w14:paraId="7D268173">
      <w:pPr>
        <w:pStyle w:val="12"/>
        <w:keepNext w:val="0"/>
        <w:keepLines w:val="0"/>
        <w:pageBreakBefore w:val="0"/>
        <w:widowControl w:val="0"/>
        <w:kinsoku/>
        <w:wordWrap/>
        <w:topLinePunct w:val="0"/>
        <w:autoSpaceDE/>
        <w:autoSpaceDN/>
        <w:bidi w:val="0"/>
        <w:snapToGrid/>
        <w:ind w:left="0" w:leftChars="0" w:firstLine="480" w:firstLineChars="200"/>
        <w:rPr>
          <w:rStyle w:val="21"/>
          <w:rFonts w:hint="eastAsia" w:asciiTheme="minorEastAsia" w:hAnsiTheme="minorEastAsia" w:eastAsiaTheme="minorEastAsia" w:cstheme="minorEastAsia"/>
          <w:bCs/>
          <w:kern w:val="2"/>
          <w:sz w:val="24"/>
          <w:szCs w:val="24"/>
          <w:lang w:val="en-US" w:eastAsia="zh-CN" w:bidi="ar-SA"/>
        </w:rPr>
      </w:pPr>
    </w:p>
    <w:p w14:paraId="292786CB">
      <w:pPr>
        <w:pStyle w:val="20"/>
        <w:keepNext w:val="0"/>
        <w:keepLines w:val="0"/>
        <w:pageBreakBefore w:val="0"/>
        <w:widowControl w:val="0"/>
        <w:numPr>
          <w:ilvl w:val="0"/>
          <w:numId w:val="0"/>
        </w:numPr>
        <w:kinsoku/>
        <w:wordWrap/>
        <w:topLinePunct w:val="0"/>
        <w:autoSpaceDE/>
        <w:autoSpaceDN/>
        <w:bidi w:val="0"/>
        <w:snapToGrid/>
        <w:spacing w:line="360" w:lineRule="auto"/>
        <w:ind w:leftChars="200"/>
        <w:jc w:val="both"/>
        <w:textAlignment w:val="baseline"/>
        <w:rPr>
          <w:rStyle w:val="21"/>
          <w:rFonts w:hint="eastAsia" w:asciiTheme="minorEastAsia" w:hAnsiTheme="minorEastAsia" w:eastAsiaTheme="minorEastAsia" w:cstheme="minorEastAsia"/>
          <w:bCs/>
          <w:color w:val="FF0000"/>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 xml:space="preserve"> 3. 图文工作站≥ 24寸显示器，硬件配置不低于3.6GHz CPU四核处理器，不小于16 +512内存带USB3.0接口。</w:t>
      </w:r>
    </w:p>
    <w:p w14:paraId="7E04A440">
      <w:pPr>
        <w:keepNext w:val="0"/>
        <w:keepLines w:val="0"/>
        <w:pageBreakBefore w:val="0"/>
        <w:widowControl w:val="0"/>
        <w:kinsoku/>
        <w:wordWrap/>
        <w:topLinePunct w:val="0"/>
        <w:autoSpaceDE/>
        <w:autoSpaceDN/>
        <w:bidi w:val="0"/>
        <w:snapToGrid/>
        <w:spacing w:line="360" w:lineRule="auto"/>
        <w:ind w:left="120" w:leftChars="57"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p>
    <w:p w14:paraId="7DA9722A">
      <w:pPr>
        <w:keepNext w:val="0"/>
        <w:keepLines w:val="0"/>
        <w:pageBreakBefore w:val="0"/>
        <w:widowControl w:val="0"/>
        <w:numPr>
          <w:ilvl w:val="0"/>
          <w:numId w:val="0"/>
        </w:numPr>
        <w:kinsoku/>
        <w:wordWrap/>
        <w:topLinePunct w:val="0"/>
        <w:autoSpaceDE/>
        <w:autoSpaceDN/>
        <w:bidi w:val="0"/>
        <w:snapToGrid/>
        <w:ind w:leftChars="200"/>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（二）商务参数</w:t>
      </w:r>
    </w:p>
    <w:p w14:paraId="24C22C10">
      <w:pPr>
        <w:keepNext w:val="0"/>
        <w:keepLines w:val="0"/>
        <w:pageBreakBefore w:val="0"/>
        <w:widowControl w:val="0"/>
        <w:numPr>
          <w:ilvl w:val="0"/>
          <w:numId w:val="0"/>
        </w:numPr>
        <w:kinsoku/>
        <w:wordWrap/>
        <w:topLinePunct w:val="0"/>
        <w:autoSpaceDE/>
        <w:autoSpaceDN/>
        <w:bidi w:val="0"/>
        <w:snapToGrid/>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★1、运输、装卸、培训、安装调试：由中标人负责承担，最终通过使用科室、设备科及相关部门确认验收交付使用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国产设备交付，设备必须为6个月内生产的产品；进口设备交付，设备必须为一年内生产的产品</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cr/>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★2、交货时间：按</w:t>
      </w:r>
      <w:r>
        <w:rPr>
          <w:rFonts w:hint="eastAsia" w:asciiTheme="minorEastAsia" w:hAnsiTheme="minorEastAsia" w:eastAsiaTheme="minorEastAsia" w:cstheme="minorEastAsia"/>
          <w:sz w:val="24"/>
          <w:szCs w:val="24"/>
          <w:lang w:val="en-US" w:eastAsia="zh-CN"/>
        </w:rPr>
        <w:t>合同约定的日期交货。</w:t>
      </w:r>
    </w:p>
    <w:p w14:paraId="7A81A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、交货地点：娄底市中心医院</w:t>
      </w:r>
      <w:r>
        <w:rPr>
          <w:rFonts w:hint="eastAsia" w:asciiTheme="minorEastAsia" w:hAnsiTheme="minorEastAsia" w:eastAsiaTheme="minorEastAsia" w:cstheme="minorEastAsia"/>
          <w:sz w:val="24"/>
          <w:szCs w:val="24"/>
          <w:lang w:val="en-US" w:eastAsia="zh-CN"/>
        </w:rPr>
        <w:t>指定地点</w:t>
      </w:r>
      <w:r>
        <w:rPr>
          <w:rFonts w:hint="eastAsia" w:asciiTheme="minorEastAsia" w:hAnsiTheme="minorEastAsia" w:eastAsiaTheme="minorEastAsia" w:cstheme="minorEastAsia"/>
          <w:sz w:val="24"/>
          <w:szCs w:val="24"/>
        </w:rPr>
        <w:t>。</w:t>
      </w:r>
    </w:p>
    <w:p w14:paraId="228C4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、付款方式：设备验收合格后，供应商将发票交到娄底市中心医院后按程序支付货款90%（一般情况下4个月内支付、特殊情况下最多不超过6个月），甲方在设备验收合格</w:t>
      </w:r>
      <w:r>
        <w:rPr>
          <w:rFonts w:hint="eastAsia" w:asciiTheme="minorEastAsia" w:hAnsiTheme="minorEastAsia" w:eastAsiaTheme="minorEastAsia" w:cstheme="minorEastAsia"/>
          <w:sz w:val="24"/>
          <w:szCs w:val="24"/>
          <w:lang w:val="en-US" w:eastAsia="zh-CN"/>
        </w:rPr>
        <w:t>满叁年</w:t>
      </w:r>
      <w:r>
        <w:rPr>
          <w:rFonts w:hint="eastAsia" w:asciiTheme="minorEastAsia" w:hAnsiTheme="minorEastAsia" w:eastAsiaTheme="minorEastAsia" w:cstheme="minorEastAsia"/>
          <w:sz w:val="24"/>
          <w:szCs w:val="24"/>
        </w:rPr>
        <w:t>后支付10%余款给乙方。</w:t>
      </w:r>
      <w:r>
        <w:rPr>
          <w:rFonts w:hint="eastAsia" w:asciiTheme="minorEastAsia" w:hAnsiTheme="minorEastAsia" w:eastAsiaTheme="minorEastAsia" w:cstheme="minorEastAsia"/>
          <w:sz w:val="24"/>
          <w:szCs w:val="24"/>
        </w:rPr>
        <w:cr/>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★5、质保与售后：整机保修</w:t>
      </w:r>
      <w:r>
        <w:rPr>
          <w:rFonts w:hint="eastAsia" w:asciiTheme="minorEastAsia" w:hAnsiTheme="minorEastAsia" w:eastAsiaTheme="minorEastAsia" w:cstheme="minorEastAsia"/>
          <w:sz w:val="24"/>
          <w:szCs w:val="24"/>
          <w:lang w:val="en-US" w:eastAsia="zh-CN"/>
        </w:rPr>
        <w:t>叁</w:t>
      </w:r>
      <w:r>
        <w:rPr>
          <w:rFonts w:hint="eastAsia" w:asciiTheme="minorEastAsia" w:hAnsiTheme="minorEastAsia" w:eastAsiaTheme="minorEastAsia" w:cstheme="minorEastAsia"/>
          <w:sz w:val="24"/>
          <w:szCs w:val="24"/>
        </w:rPr>
        <w:t>年，终身维修。</w:t>
      </w:r>
      <w:r>
        <w:rPr>
          <w:rFonts w:hint="eastAsia" w:asciiTheme="minorEastAsia" w:hAnsiTheme="minorEastAsia" w:eastAsiaTheme="minorEastAsia" w:cstheme="minorEastAsia"/>
          <w:sz w:val="24"/>
          <w:szCs w:val="24"/>
          <w:lang w:val="en-US" w:eastAsia="zh-CN"/>
        </w:rPr>
        <w:t>验收时</w:t>
      </w:r>
      <w:r>
        <w:rPr>
          <w:rFonts w:hint="eastAsia" w:asciiTheme="minorEastAsia" w:hAnsiTheme="minorEastAsia" w:eastAsiaTheme="minorEastAsia" w:cstheme="minorEastAsia"/>
          <w:sz w:val="24"/>
          <w:szCs w:val="24"/>
        </w:rPr>
        <w:t>出具原厂售后质保承诺书，质保期内每年巡检</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并提交巡检记录</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zh-CN" w:eastAsia="zh-CN"/>
        </w:rPr>
        <w:t>质保期内</w:t>
      </w:r>
      <w:r>
        <w:rPr>
          <w:rFonts w:hint="eastAsia" w:asciiTheme="minorEastAsia" w:hAnsiTheme="minorEastAsia" w:eastAsiaTheme="minorEastAsia" w:cstheme="minorEastAsia"/>
          <w:sz w:val="24"/>
          <w:szCs w:val="24"/>
          <w:lang w:val="en-US" w:eastAsia="zh-CN"/>
        </w:rPr>
        <w:t>出现故障，1小时响应，响应后24小时上门服务。</w:t>
      </w:r>
    </w:p>
    <w:p w14:paraId="05FBDB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71676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★7、设备如涉及网络接口费用，由中标人承担，采购人不再出具任何费用。</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43F4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397E0C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E0A13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02B9F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4CFF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BEB77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784C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5E91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1D9801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59B25EE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CED87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BE329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171EE5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680C42A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6045C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1CDE74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D45A8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显微镜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显微镜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D3623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83185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C32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474141A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B400E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139651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46D87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65195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41BBF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CC9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73A418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显微镜</w:t>
            </w:r>
          </w:p>
        </w:tc>
        <w:tc>
          <w:tcPr>
            <w:tcW w:w="1220" w:type="dxa"/>
            <w:vAlign w:val="center"/>
          </w:tcPr>
          <w:p w14:paraId="041FAD7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6A1765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9FEE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5E0BD2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317B31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A6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06738EB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AA6B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10F7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D4364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1E665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B099D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F05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B23E7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A14CD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w:t>
      </w:r>
      <w:r>
        <w:rPr>
          <w:rFonts w:hint="eastAsia" w:ascii="宋体" w:hAnsi="宋体" w:eastAsia="宋体" w:cs="宋体"/>
          <w:color w:val="auto"/>
          <w:sz w:val="24"/>
          <w:szCs w:val="24"/>
          <w:highlight w:val="none"/>
          <w:lang w:val="en-US" w:eastAsia="zh-CN"/>
        </w:rPr>
        <w:t>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47C2C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A982C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w:t>
      </w:r>
      <w:r>
        <w:rPr>
          <w:rFonts w:hint="eastAsia" w:ascii="宋体" w:hAnsi="宋体" w:eastAsia="宋体" w:cs="宋体"/>
          <w:color w:val="000000" w:themeColor="text1"/>
          <w:sz w:val="24"/>
          <w:szCs w:val="24"/>
          <w:highlight w:val="none"/>
          <w:lang w:val="en-US" w:eastAsia="zh-CN"/>
          <w14:textFill>
            <w14:solidFill>
              <w14:schemeClr w14:val="tx1"/>
            </w14:solidFill>
          </w14:textFill>
        </w:rPr>
        <w:t>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2F8F1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45A2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61EF6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16C99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D56B3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3EC28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A581A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C71C8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43BC7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8839F9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A64EA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2BEB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74AE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30E4A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FE8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0E3BE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71793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C7722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089EE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228F9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3E57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C622F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EDF2E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B3DA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F548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BE52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F880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F3BEE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A266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A695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5C654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272D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81DA3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48771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CB352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561E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DCF47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2B97C7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FD2B1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82C8D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DD57F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71CB5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567D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DC9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5E77C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3C846A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30F3F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DC72E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242E6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97D76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w:t>
      </w:r>
      <w:r>
        <w:rPr>
          <w:rFonts w:hint="eastAsia" w:ascii="宋体" w:hAnsi="宋体" w:eastAsia="宋体" w:cs="宋体"/>
          <w:b/>
          <w:bCs/>
          <w:color w:val="auto"/>
          <w:sz w:val="24"/>
          <w:szCs w:val="24"/>
          <w:highlight w:val="none"/>
          <w:u w:val="single"/>
          <w:lang w:val="en-US" w:eastAsia="zh-CN"/>
        </w:rPr>
        <w:t>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承担相应违约责任。</w:t>
      </w:r>
    </w:p>
    <w:p w14:paraId="21D091F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9EC66C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A5E89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A196A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6911F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4A17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8497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A0BE3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2E40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BE301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A3FB3B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F51B8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B3625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7D4EC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9C60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7ACE6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D3ED46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73D5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55EB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90CD1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29FA4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6178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11"/>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2"/>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05BF3A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color w:val="auto"/>
                <w:sz w:val="24"/>
                <w:szCs w:val="24"/>
              </w:rPr>
            </w:pPr>
            <w:r>
              <w:rPr>
                <w:rFonts w:hint="eastAsia" w:ascii="仿宋" w:hAnsi="仿宋" w:eastAsia="仿宋" w:cs="仿宋"/>
                <w:color w:val="auto"/>
                <w:sz w:val="24"/>
                <w:szCs w:val="24"/>
              </w:rPr>
              <w:t>投标文件无技术条款响应/偏离表的本项计0分；</w:t>
            </w:r>
          </w:p>
          <w:p w14:paraId="049C97AB">
            <w:pPr>
              <w:jc w:val="left"/>
              <w:rPr>
                <w:rFonts w:hint="eastAsia" w:ascii="仿宋" w:hAnsi="仿宋" w:eastAsia="仿宋" w:cs="仿宋"/>
                <w:color w:val="auto"/>
                <w:sz w:val="24"/>
                <w:szCs w:val="24"/>
              </w:rPr>
            </w:pPr>
            <w:r>
              <w:rPr>
                <w:rFonts w:hint="eastAsia" w:ascii="仿宋" w:hAnsi="仿宋" w:eastAsia="仿宋" w:cs="仿宋"/>
                <w:color w:val="auto"/>
                <w:sz w:val="24"/>
                <w:szCs w:val="24"/>
              </w:rPr>
              <w:t>1、技术参数满足招标文件要求无负偏离的本项计100分；</w:t>
            </w:r>
          </w:p>
          <w:p w14:paraId="52A2D4D8">
            <w:pPr>
              <w:jc w:val="left"/>
              <w:rPr>
                <w:rFonts w:hint="eastAsia" w:ascii="仿宋" w:hAnsi="仿宋" w:eastAsia="仿宋" w:cs="仿宋"/>
                <w:color w:val="auto"/>
                <w:sz w:val="24"/>
                <w:szCs w:val="24"/>
              </w:rPr>
            </w:pPr>
            <w:r>
              <w:rPr>
                <w:rFonts w:hint="eastAsia" w:ascii="仿宋" w:hAnsi="仿宋" w:eastAsia="仿宋" w:cs="仿宋"/>
                <w:color w:val="auto"/>
                <w:sz w:val="24"/>
                <w:szCs w:val="24"/>
              </w:rPr>
              <w:t>2、标注“▲”的参数为重要参数，每一项负偏离或缺漏扣10分；</w:t>
            </w:r>
          </w:p>
          <w:p w14:paraId="0CD79A7D">
            <w:pPr>
              <w:jc w:val="left"/>
              <w:rPr>
                <w:rFonts w:hint="eastAsia" w:ascii="仿宋" w:hAnsi="仿宋" w:eastAsia="仿宋" w:cs="仿宋"/>
                <w:color w:val="auto"/>
                <w:sz w:val="24"/>
                <w:szCs w:val="24"/>
              </w:rPr>
            </w:pPr>
            <w:r>
              <w:rPr>
                <w:rFonts w:hint="eastAsia" w:ascii="仿宋" w:hAnsi="仿宋" w:eastAsia="仿宋" w:cs="仿宋"/>
                <w:color w:val="auto"/>
                <w:sz w:val="24"/>
                <w:szCs w:val="24"/>
              </w:rPr>
              <w:t>3、一般技术参数（即非“★”非“▲”号参数）存在负偏离，每条负偏离扣6分。</w:t>
            </w:r>
          </w:p>
          <w:p w14:paraId="7055BCD9">
            <w:pPr>
              <w:jc w:val="left"/>
              <w:rPr>
                <w:rFonts w:hint="eastAsia" w:ascii="仿宋" w:hAnsi="仿宋" w:eastAsia="仿宋" w:cs="仿宋"/>
                <w:color w:val="auto"/>
                <w:sz w:val="24"/>
                <w:szCs w:val="24"/>
              </w:rPr>
            </w:pPr>
            <w:r>
              <w:rPr>
                <w:rFonts w:hint="eastAsia" w:ascii="仿宋" w:hAnsi="仿宋" w:eastAsia="仿宋" w:cs="仿宋"/>
                <w:color w:val="auto"/>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color w:val="auto"/>
          <w:sz w:val="24"/>
          <w:szCs w:val="24"/>
        </w:rPr>
      </w:pPr>
    </w:p>
    <w:p w14:paraId="444496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36C8333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left"/>
        <w:rPr>
          <w:rFonts w:hint="eastAsia" w:eastAsia="宋体"/>
          <w:b/>
          <w:color w:val="auto"/>
          <w:sz w:val="24"/>
          <w:lang w:eastAsia="zh-CN"/>
        </w:rPr>
      </w:pPr>
      <w:r>
        <w:rPr>
          <w:rFonts w:hint="eastAsia"/>
          <w:b/>
          <w:color w:val="auto"/>
          <w:sz w:val="24"/>
          <w:lang w:val="en-US" w:eastAsia="zh-CN"/>
        </w:rPr>
        <w:t xml:space="preserve">           </w:t>
      </w:r>
      <w:r>
        <w:rPr>
          <w:rFonts w:hint="eastAsia"/>
          <w:b/>
          <w:color w:val="auto"/>
          <w:sz w:val="24"/>
          <w:lang w:eastAsia="zh-CN"/>
        </w:rPr>
        <w:t>注：此项内容需包含投标商品和配套专用耗材名称、数量、品牌、型号、单价、总价、等信息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 xml:space="preserve">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C1C7AD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1F48F73">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5" w:type="default"/>
          <w:footerReference r:id="rId6"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decorative"/>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F334F58"/>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AC3B48"/>
    <w:rsid w:val="6FAD463B"/>
    <w:rsid w:val="6FB7ACDA"/>
    <w:rsid w:val="6FBE332C"/>
    <w:rsid w:val="6FFF67CC"/>
    <w:rsid w:val="70CE0BC9"/>
    <w:rsid w:val="71554367"/>
    <w:rsid w:val="71584067"/>
    <w:rsid w:val="71F26E91"/>
    <w:rsid w:val="72FB9D37"/>
    <w:rsid w:val="735201FF"/>
    <w:rsid w:val="737B50A4"/>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B0620DE"/>
    <w:rsid w:val="7B7D7C18"/>
    <w:rsid w:val="7BBF44BB"/>
    <w:rsid w:val="7BF15CE4"/>
    <w:rsid w:val="7C3A27E5"/>
    <w:rsid w:val="7D9727DD"/>
    <w:rsid w:val="7DDF8A36"/>
    <w:rsid w:val="7DFE74A2"/>
    <w:rsid w:val="7E8BAD0B"/>
    <w:rsid w:val="7ED7DBED"/>
    <w:rsid w:val="7EFB4F6E"/>
    <w:rsid w:val="7F164138"/>
    <w:rsid w:val="7F1A5E95"/>
    <w:rsid w:val="7FA75B91"/>
    <w:rsid w:val="7FBC7699"/>
    <w:rsid w:val="7FCFF1E1"/>
    <w:rsid w:val="7FFB0877"/>
    <w:rsid w:val="7FFE88A1"/>
    <w:rsid w:val="87EFD207"/>
    <w:rsid w:val="8B7D3439"/>
    <w:rsid w:val="8EFAA180"/>
    <w:rsid w:val="A4FC5874"/>
    <w:rsid w:val="A99BC227"/>
    <w:rsid w:val="ADFDDBA5"/>
    <w:rsid w:val="AFDF5C35"/>
    <w:rsid w:val="AFEFD62F"/>
    <w:rsid w:val="B7FBACA6"/>
    <w:rsid w:val="BBDFF490"/>
    <w:rsid w:val="BF59071B"/>
    <w:rsid w:val="BF7D9491"/>
    <w:rsid w:val="BFF77D2B"/>
    <w:rsid w:val="CDFF7760"/>
    <w:rsid w:val="CFFF8E32"/>
    <w:rsid w:val="D6D5AD7C"/>
    <w:rsid w:val="DBDE3CFA"/>
    <w:rsid w:val="DFF97BBC"/>
    <w:rsid w:val="DFFEDE01"/>
    <w:rsid w:val="DFFF05F4"/>
    <w:rsid w:val="E6F7C8DE"/>
    <w:rsid w:val="ED6D9162"/>
    <w:rsid w:val="EF7B1925"/>
    <w:rsid w:val="EFF91F3A"/>
    <w:rsid w:val="EFFF278C"/>
    <w:rsid w:val="F1347A70"/>
    <w:rsid w:val="F7D57869"/>
    <w:rsid w:val="F91F5623"/>
    <w:rsid w:val="F99F179C"/>
    <w:rsid w:val="FB6F87D3"/>
    <w:rsid w:val="FB7D52BD"/>
    <w:rsid w:val="FBBD03F1"/>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2828</Words>
  <Characters>3174</Characters>
  <Lines>0</Lines>
  <Paragraphs>0</Paragraphs>
  <TotalTime>7</TotalTime>
  <ScaleCrop>false</ScaleCrop>
  <LinksUpToDate>false</LinksUpToDate>
  <CharactersWithSpaces>3216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2023-07-23T09:45:00Z</dcterms:created>
  <dc:creator>是小豹子</dc:creator>
  <cp:lastModifiedBy>沁sqr</cp:lastModifiedBy>
  <dcterms:modified xsi:type="dcterms:W3CDTF">2026-06-26T14:00:15Z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eyJoZGlkIjoiOWU3YmMxNGQ0NDE0NTRiYjQ3MWFkZjk1MWM2MTc2NWEiLCJ1c2VySWQiOiI0NDIzNjcyODQifQ==</vt:lpwstr>
  </property>
</Properties>
</file>