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5"/>
        <w:snapToGrid w:val="0"/>
        <w:jc w:val="center"/>
        <w:rPr>
          <w:rFonts w:hint="eastAsia" w:ascii="Arial" w:hAnsi="Arial" w:eastAsia="方正小标宋简体" w:cs="Arial"/>
          <w:color w:val="auto"/>
          <w:sz w:val="72"/>
          <w:szCs w:val="72"/>
          <w:lang w:eastAsia="zh-CN"/>
        </w:rPr>
      </w:pPr>
      <w:bookmarkStart w:id="0" w:name="_Toc16523570"/>
    </w:p>
    <w:p w14:paraId="624C34B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5"/>
        <w:snapToGrid w:val="0"/>
        <w:jc w:val="center"/>
        <w:rPr>
          <w:rFonts w:hint="eastAsia" w:ascii="Arial" w:hAnsi="Arial" w:eastAsia="方正小标宋简体" w:cs="Arial"/>
          <w:sz w:val="72"/>
          <w:szCs w:val="72"/>
        </w:rPr>
      </w:pPr>
    </w:p>
    <w:p w14:paraId="16E58BC0">
      <w:pPr>
        <w:pStyle w:val="5"/>
        <w:snapToGrid w:val="0"/>
        <w:jc w:val="center"/>
        <w:rPr>
          <w:rFonts w:hint="eastAsia" w:ascii="Arial" w:hAnsi="Arial" w:eastAsia="方正小标宋简体" w:cs="Arial"/>
          <w:sz w:val="72"/>
          <w:szCs w:val="72"/>
        </w:rPr>
      </w:pPr>
    </w:p>
    <w:p w14:paraId="7D3C3256">
      <w:pPr>
        <w:pStyle w:val="5"/>
        <w:snapToGrid w:val="0"/>
        <w:jc w:val="center"/>
        <w:rPr>
          <w:rFonts w:hint="eastAsia" w:ascii="Arial" w:hAnsi="Arial" w:eastAsia="方正小标宋简体" w:cs="Arial"/>
          <w:sz w:val="72"/>
          <w:szCs w:val="72"/>
        </w:rPr>
      </w:pPr>
    </w:p>
    <w:p w14:paraId="11608FC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5"/>
        <w:snapToGrid w:val="0"/>
        <w:jc w:val="center"/>
        <w:rPr>
          <w:rFonts w:ascii="Arial" w:hAnsi="Arial" w:cs="Arial"/>
          <w:sz w:val="32"/>
          <w:szCs w:val="32"/>
        </w:rPr>
      </w:pPr>
    </w:p>
    <w:p w14:paraId="46311545">
      <w:pPr>
        <w:pStyle w:val="18"/>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5"/>
        <w:snapToGrid w:val="0"/>
        <w:jc w:val="center"/>
        <w:rPr>
          <w:rFonts w:ascii="Arial" w:hAnsi="Arial" w:cs="Arial"/>
          <w:sz w:val="32"/>
          <w:szCs w:val="32"/>
        </w:rPr>
      </w:pPr>
    </w:p>
    <w:p w14:paraId="3EB4A47A">
      <w:pPr>
        <w:pStyle w:val="5"/>
        <w:snapToGrid w:val="0"/>
        <w:jc w:val="center"/>
        <w:rPr>
          <w:rFonts w:ascii="Arial" w:hAnsi="Arial" w:cs="Arial"/>
          <w:sz w:val="32"/>
          <w:szCs w:val="32"/>
        </w:rPr>
      </w:pPr>
    </w:p>
    <w:p w14:paraId="487767A3">
      <w:pPr>
        <w:spacing w:line="360" w:lineRule="auto"/>
        <w:rPr>
          <w:rFonts w:hint="eastAsia"/>
          <w:bCs/>
          <w:sz w:val="32"/>
          <w:szCs w:val="32"/>
        </w:rPr>
      </w:pPr>
    </w:p>
    <w:p w14:paraId="6D36AD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lang w:val="en-US" w:eastAsia="zh-CN"/>
        </w:rPr>
      </w:pPr>
      <w:r>
        <w:rPr>
          <w:rFonts w:hint="eastAsia"/>
          <w:bCs/>
          <w:sz w:val="32"/>
          <w:szCs w:val="32"/>
        </w:rPr>
        <w:t>项目名称：</w:t>
      </w:r>
      <w:r>
        <w:rPr>
          <w:rFonts w:hint="eastAsia"/>
          <w:bCs/>
          <w:sz w:val="32"/>
          <w:szCs w:val="32"/>
          <w:lang w:val="en-US" w:eastAsia="zh-CN"/>
        </w:rPr>
        <w:t>娄底市中心医院设备科采购项目</w:t>
      </w:r>
    </w:p>
    <w:p w14:paraId="5CF288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default" w:ascii="Times New Roman" w:hAnsi="Times New Roman" w:eastAsia="宋体" w:cs="Times New Roman"/>
          <w:bCs/>
          <w:sz w:val="32"/>
          <w:szCs w:val="32"/>
          <w:lang w:val="en-US" w:eastAsia="zh-CN"/>
        </w:rPr>
      </w:pPr>
      <w:r>
        <w:rPr>
          <w:rFonts w:hint="eastAsia" w:asciiTheme="majorEastAsia" w:hAnsiTheme="majorEastAsia" w:eastAsiaTheme="majorEastAsia" w:cstheme="majorEastAsia"/>
          <w:b/>
          <w:bCs/>
          <w:sz w:val="36"/>
          <w:szCs w:val="36"/>
          <w:highlight w:val="none"/>
          <w:lang w:eastAsia="zh-CN"/>
        </w:rPr>
        <w:t>（</w:t>
      </w:r>
      <w:r>
        <w:rPr>
          <w:rFonts w:hint="eastAsia" w:eastAsia="宋体"/>
          <w:bCs/>
          <w:sz w:val="32"/>
          <w:szCs w:val="32"/>
          <w:lang w:val="en-US" w:eastAsia="zh-CN"/>
        </w:rPr>
        <w:t>运动负荷心电分析系统医院公开挂网）</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 w:val="0"/>
          <w:bCs/>
          <w:color w:val="auto"/>
          <w:sz w:val="24"/>
          <w:szCs w:val="24"/>
          <w:u w:val="single"/>
          <w:lang w:val="en-US" w:eastAsia="zh-CN"/>
        </w:rPr>
        <w:t>运动负荷心电分析系统</w:t>
      </w:r>
      <w:r>
        <w:rPr>
          <w:rFonts w:hint="eastAsia" w:asciiTheme="minorEastAsia" w:hAnsiTheme="minorEastAsia" w:eastAsiaTheme="minorEastAsia" w:cstheme="minorEastAsia"/>
          <w:b w:val="0"/>
          <w:bCs/>
          <w:color w:val="auto"/>
          <w:sz w:val="24"/>
          <w:szCs w:val="24"/>
          <w:lang w:val="en-US" w:eastAsia="zh-CN"/>
        </w:rPr>
        <w:t>项目进行医院公开挂网，</w:t>
      </w:r>
      <w:r>
        <w:rPr>
          <w:rFonts w:hint="eastAsia" w:asciiTheme="minorEastAsia" w:hAnsiTheme="minorEastAsia" w:eastAsiaTheme="minorEastAsia" w:cstheme="minorEastAsia"/>
          <w:bCs/>
          <w:color w:val="auto"/>
          <w:sz w:val="24"/>
          <w:szCs w:val="24"/>
          <w:lang w:val="en-US" w:eastAsia="zh-CN"/>
        </w:rPr>
        <w:t>将事项公告如下：</w:t>
      </w:r>
    </w:p>
    <w:p w14:paraId="435321E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运动负荷心电分析系统</w:t>
      </w:r>
      <w:r>
        <w:rPr>
          <w:rFonts w:hint="eastAsia" w:asciiTheme="minorEastAsia" w:hAnsiTheme="minorEastAsia" w:eastAsiaTheme="minorEastAsia" w:cstheme="minorEastAsia"/>
          <w:b w:val="0"/>
          <w:bCs/>
          <w:color w:val="auto"/>
          <w:sz w:val="24"/>
          <w:szCs w:val="24"/>
          <w:lang w:val="en-US" w:eastAsia="zh-CN"/>
        </w:rPr>
        <w:t>项目</w:t>
      </w:r>
    </w:p>
    <w:p w14:paraId="0AC8FEC7">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8"/>
        <w:rPr>
          <w:rFonts w:hint="eastAsia"/>
          <w:lang w:val="en-US" w:eastAsia="zh-CN"/>
        </w:rPr>
      </w:pPr>
    </w:p>
    <w:p w14:paraId="687E9235">
      <w:pPr>
        <w:pStyle w:val="18"/>
        <w:jc w:val="both"/>
        <w:rPr>
          <w:rFonts w:hint="default"/>
          <w:lang w:val="en-US" w:eastAsia="zh-CN"/>
        </w:rPr>
      </w:pPr>
    </w:p>
    <w:p w14:paraId="7AECD5DA">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88F41C4">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F1A0BE1">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F2DF894">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B022375">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8C42CFF">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FBA065">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02A107C">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632E86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7B4A00D">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运动负荷心电分析系统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C5513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6CDE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23.2</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5BFCCDC2">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rPr>
          <w:rFonts w:hint="default"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技术参数</w:t>
      </w:r>
    </w:p>
    <w:p w14:paraId="54593EDE">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rPr>
          <w:rFonts w:hint="eastAsia" w:ascii="方正仿宋_GB2312" w:hAnsi="方正仿宋_GB2312" w:eastAsia="方正仿宋_GB2312" w:cs="方正仿宋_GB2312"/>
          <w:b/>
          <w:bCs/>
          <w:color w:val="auto"/>
          <w:sz w:val="24"/>
          <w:szCs w:val="24"/>
          <w:highlight w:val="none"/>
          <w:lang w:val="en-US" w:eastAsia="zh-CN"/>
        </w:rPr>
      </w:pPr>
      <w:r>
        <w:rPr>
          <w:rFonts w:hint="eastAsia" w:ascii="方正仿宋_GB2312" w:hAnsi="方正仿宋_GB2312" w:eastAsia="方正仿宋_GB2312" w:cs="方正仿宋_GB2312"/>
          <w:b/>
          <w:bCs/>
          <w:color w:val="auto"/>
          <w:sz w:val="24"/>
          <w:szCs w:val="24"/>
          <w:highlight w:val="none"/>
          <w:lang w:val="en-US" w:eastAsia="zh-CN"/>
        </w:rPr>
        <w:t>（一）运动心电工作站</w:t>
      </w:r>
    </w:p>
    <w:p w14:paraId="330F79AC">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1.支持12导同步运动心电采集；</w:t>
      </w:r>
    </w:p>
    <w:p w14:paraId="2B8CBB75">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2.配有国际标准Bruce和改良Bruce方案，也可以采用用户自定义的运动方案，并可按运动阶段设置血压测量提示；运动方案控制灵活：全自动电脑程序控制和手动控制两种模式调速及调坡度。</w:t>
      </w:r>
    </w:p>
    <w:p w14:paraId="527679D4">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3.可显示多种波形格式与方式如：12导联x1屏/6导联x2屏/3导联x2屏/等，屏幕背景采用国际标准心电图纸显示，心率显示报警，分析/存储。</w:t>
      </w:r>
    </w:p>
    <w:p w14:paraId="56A323DA">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4.运动跑台支持液晶屏显示速度等运动信息；</w:t>
      </w:r>
    </w:p>
    <w:p w14:paraId="2909D3C1">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5.支持心率显示报警，在心率到达目标心率后自动变红提示，提醒医生到达目标心率；</w:t>
      </w:r>
    </w:p>
    <w:p w14:paraId="72CB4993">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6.支持常规心电图、频谱心电图、高频心电图</w:t>
      </w:r>
      <w:r>
        <w:rPr>
          <w:rFonts w:hint="eastAsia" w:asciiTheme="minorEastAsia" w:hAnsiTheme="minorEastAsia" w:eastAsiaTheme="minorEastAsia" w:cstheme="minorEastAsia"/>
          <w:kern w:val="2"/>
          <w:sz w:val="24"/>
          <w:szCs w:val="24"/>
          <w:lang w:val="en-US" w:eastAsia="zh-CN" w:bidi="ar-SA"/>
        </w:rPr>
        <w:fldChar w:fldCharType="begin"/>
      </w:r>
      <w:r>
        <w:rPr>
          <w:rFonts w:hint="eastAsia" w:asciiTheme="minorEastAsia" w:hAnsiTheme="minorEastAsia" w:eastAsiaTheme="minorEastAsia" w:cstheme="minorEastAsia"/>
          <w:kern w:val="2"/>
          <w:sz w:val="24"/>
          <w:szCs w:val="24"/>
          <w:lang w:val="en-US" w:eastAsia="zh-CN" w:bidi="ar-SA"/>
        </w:rPr>
        <w:instrText xml:space="preserve"> XE "高频心电图" </w:instrText>
      </w:r>
      <w:r>
        <w:rPr>
          <w:rFonts w:hint="eastAsia" w:asciiTheme="minorEastAsia" w:hAnsiTheme="minorEastAsia" w:eastAsiaTheme="minorEastAsia" w:cstheme="minorEastAsia"/>
          <w:kern w:val="2"/>
          <w:sz w:val="24"/>
          <w:szCs w:val="24"/>
          <w:lang w:val="en-US" w:eastAsia="zh-CN" w:bidi="ar-SA"/>
        </w:rPr>
        <w:fldChar w:fldCharType="end"/>
      </w:r>
      <w:r>
        <w:rPr>
          <w:rFonts w:hint="eastAsia" w:asciiTheme="minorEastAsia" w:hAnsiTheme="minorEastAsia" w:eastAsiaTheme="minorEastAsia" w:cstheme="minorEastAsia"/>
          <w:kern w:val="2"/>
          <w:sz w:val="24"/>
          <w:szCs w:val="24"/>
          <w:lang w:val="en-US" w:eastAsia="zh-CN" w:bidi="ar-SA"/>
        </w:rPr>
        <w:t>、心率变异、QT离散度</w:t>
      </w:r>
      <w:r>
        <w:rPr>
          <w:rFonts w:hint="eastAsia" w:asciiTheme="minorEastAsia" w:hAnsiTheme="minorEastAsia" w:eastAsiaTheme="minorEastAsia" w:cstheme="minorEastAsia"/>
          <w:kern w:val="2"/>
          <w:sz w:val="24"/>
          <w:szCs w:val="24"/>
          <w:lang w:val="en-US" w:eastAsia="zh-CN" w:bidi="ar-SA"/>
        </w:rPr>
        <w:fldChar w:fldCharType="begin"/>
      </w:r>
      <w:r>
        <w:rPr>
          <w:rFonts w:hint="eastAsia" w:asciiTheme="minorEastAsia" w:hAnsiTheme="minorEastAsia" w:eastAsiaTheme="minorEastAsia" w:cstheme="minorEastAsia"/>
          <w:kern w:val="2"/>
          <w:sz w:val="24"/>
          <w:szCs w:val="24"/>
          <w:lang w:val="en-US" w:eastAsia="zh-CN" w:bidi="ar-SA"/>
        </w:rPr>
        <w:instrText xml:space="preserve"> XE "QT离散度" </w:instrText>
      </w:r>
      <w:r>
        <w:rPr>
          <w:rFonts w:hint="eastAsia" w:asciiTheme="minorEastAsia" w:hAnsiTheme="minorEastAsia" w:eastAsiaTheme="minorEastAsia" w:cstheme="minorEastAsia"/>
          <w:kern w:val="2"/>
          <w:sz w:val="24"/>
          <w:szCs w:val="24"/>
          <w:lang w:val="en-US" w:eastAsia="zh-CN" w:bidi="ar-SA"/>
        </w:rPr>
        <w:fldChar w:fldCharType="end"/>
      </w:r>
      <w:r>
        <w:rPr>
          <w:rFonts w:hint="eastAsia" w:asciiTheme="minorEastAsia" w:hAnsiTheme="minorEastAsia" w:eastAsiaTheme="minorEastAsia" w:cstheme="minorEastAsia"/>
          <w:kern w:val="2"/>
          <w:sz w:val="24"/>
          <w:szCs w:val="24"/>
          <w:lang w:val="en-US" w:eastAsia="zh-CN" w:bidi="ar-SA"/>
        </w:rPr>
        <w:t>分析、心室晚电位</w:t>
      </w:r>
      <w:r>
        <w:rPr>
          <w:rFonts w:hint="eastAsia" w:asciiTheme="minorEastAsia" w:hAnsiTheme="minorEastAsia" w:eastAsiaTheme="minorEastAsia" w:cstheme="minorEastAsia"/>
          <w:kern w:val="2"/>
          <w:sz w:val="24"/>
          <w:szCs w:val="24"/>
          <w:lang w:val="en-US" w:eastAsia="zh-CN" w:bidi="ar-SA"/>
        </w:rPr>
        <w:fldChar w:fldCharType="begin"/>
      </w:r>
      <w:r>
        <w:rPr>
          <w:rFonts w:hint="eastAsia" w:asciiTheme="minorEastAsia" w:hAnsiTheme="minorEastAsia" w:eastAsiaTheme="minorEastAsia" w:cstheme="minorEastAsia"/>
          <w:kern w:val="2"/>
          <w:sz w:val="24"/>
          <w:szCs w:val="24"/>
          <w:lang w:val="en-US" w:eastAsia="zh-CN" w:bidi="ar-SA"/>
        </w:rPr>
        <w:instrText xml:space="preserve"> XE "心室晚电位" </w:instrText>
      </w:r>
      <w:r>
        <w:rPr>
          <w:rFonts w:hint="eastAsia" w:asciiTheme="minorEastAsia" w:hAnsiTheme="minorEastAsia" w:eastAsiaTheme="minorEastAsia" w:cstheme="minorEastAsia"/>
          <w:kern w:val="2"/>
          <w:sz w:val="24"/>
          <w:szCs w:val="24"/>
          <w:lang w:val="en-US" w:eastAsia="zh-CN" w:bidi="ar-SA"/>
        </w:rPr>
        <w:fldChar w:fldCharType="end"/>
      </w:r>
      <w:r>
        <w:rPr>
          <w:rFonts w:hint="eastAsia" w:asciiTheme="minorEastAsia" w:hAnsiTheme="minorEastAsia" w:eastAsiaTheme="minorEastAsia" w:cstheme="minorEastAsia"/>
          <w:kern w:val="2"/>
          <w:sz w:val="24"/>
          <w:szCs w:val="24"/>
          <w:lang w:val="en-US" w:eastAsia="zh-CN" w:bidi="ar-SA"/>
        </w:rPr>
        <w:t>、向量心电图</w:t>
      </w:r>
      <w:r>
        <w:rPr>
          <w:rFonts w:hint="eastAsia" w:asciiTheme="minorEastAsia" w:hAnsiTheme="minorEastAsia" w:eastAsiaTheme="minorEastAsia" w:cstheme="minorEastAsia"/>
          <w:kern w:val="2"/>
          <w:sz w:val="24"/>
          <w:szCs w:val="24"/>
          <w:lang w:val="en-US" w:eastAsia="zh-CN" w:bidi="ar-SA"/>
        </w:rPr>
        <w:fldChar w:fldCharType="begin"/>
      </w:r>
      <w:r>
        <w:rPr>
          <w:rFonts w:hint="eastAsia" w:asciiTheme="minorEastAsia" w:hAnsiTheme="minorEastAsia" w:eastAsiaTheme="minorEastAsia" w:cstheme="minorEastAsia"/>
          <w:kern w:val="2"/>
          <w:sz w:val="24"/>
          <w:szCs w:val="24"/>
          <w:lang w:val="en-US" w:eastAsia="zh-CN" w:bidi="ar-SA"/>
        </w:rPr>
        <w:instrText xml:space="preserve"> XE "时间向量心电图" </w:instrText>
      </w:r>
      <w:r>
        <w:rPr>
          <w:rFonts w:hint="eastAsia" w:asciiTheme="minorEastAsia" w:hAnsiTheme="minorEastAsia" w:eastAsiaTheme="minorEastAsia" w:cstheme="minorEastAsia"/>
          <w:kern w:val="2"/>
          <w:sz w:val="24"/>
          <w:szCs w:val="24"/>
          <w:lang w:val="en-US" w:eastAsia="zh-CN" w:bidi="ar-SA"/>
        </w:rPr>
        <w:fldChar w:fldCharType="end"/>
      </w:r>
      <w:r>
        <w:rPr>
          <w:rFonts w:hint="eastAsia" w:asciiTheme="minorEastAsia" w:hAnsiTheme="minorEastAsia" w:eastAsiaTheme="minorEastAsia" w:cstheme="minorEastAsia"/>
          <w:kern w:val="2"/>
          <w:sz w:val="24"/>
          <w:szCs w:val="24"/>
          <w:lang w:val="en-US" w:eastAsia="zh-CN" w:bidi="ar-SA"/>
        </w:rPr>
        <w:fldChar w:fldCharType="begin"/>
      </w:r>
      <w:r>
        <w:rPr>
          <w:rFonts w:hint="eastAsia" w:asciiTheme="minorEastAsia" w:hAnsiTheme="minorEastAsia" w:eastAsiaTheme="minorEastAsia" w:cstheme="minorEastAsia"/>
          <w:kern w:val="2"/>
          <w:sz w:val="24"/>
          <w:szCs w:val="24"/>
          <w:lang w:val="en-US" w:eastAsia="zh-CN" w:bidi="ar-SA"/>
        </w:rPr>
        <w:instrText xml:space="preserve"> XE "起搏心电图" </w:instrText>
      </w:r>
      <w:r>
        <w:rPr>
          <w:rFonts w:hint="eastAsia" w:asciiTheme="minorEastAsia" w:hAnsiTheme="minorEastAsia" w:eastAsiaTheme="minorEastAsia" w:cstheme="minorEastAsia"/>
          <w:kern w:val="2"/>
          <w:sz w:val="24"/>
          <w:szCs w:val="24"/>
          <w:lang w:val="en-US" w:eastAsia="zh-CN" w:bidi="ar-SA"/>
        </w:rPr>
        <w:fldChar w:fldCharType="end"/>
      </w:r>
      <w:r>
        <w:rPr>
          <w:rFonts w:hint="eastAsia" w:asciiTheme="minorEastAsia" w:hAnsiTheme="minorEastAsia" w:eastAsiaTheme="minorEastAsia" w:cstheme="minorEastAsia"/>
          <w:kern w:val="2"/>
          <w:sz w:val="24"/>
          <w:szCs w:val="24"/>
          <w:lang w:val="en-US" w:eastAsia="zh-CN" w:bidi="ar-SA"/>
        </w:rPr>
        <w:t>等功能，并可独立出具对应的诊断报告。</w:t>
      </w:r>
    </w:p>
    <w:p w14:paraId="517AE084">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7.共模抑制比:≥100dB。</w:t>
      </w:r>
    </w:p>
    <w:p w14:paraId="142B1C93">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8.ST段自动分析功能：ST分析精度可达到uV(微伏)，具有全程ST段叠加，动态回顾功能，精度高，分析精确的心电图自动诊断功能以及ST段放大增倍显示和增强型回顾功能选择。</w:t>
      </w:r>
    </w:p>
    <w:p w14:paraId="4B9B7A0B">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9.支持6分钟步行试验功能，可评价患者的运动耐量；提供证明文件；</w:t>
      </w:r>
    </w:p>
    <w:p w14:paraId="3084A324">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10.具备运动心电向量图，具备DUKE评分；提供证明文件；</w:t>
      </w:r>
    </w:p>
    <w:p w14:paraId="27C0B7D8">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11.支持采集心电数据过程中暂停并标记，如深呼吸后屏气，提供运行界面截图；</w:t>
      </w:r>
    </w:p>
    <w:p w14:paraId="2D715BA3">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12.采用抗干扰技术，确保基线稳定，减少肌电干扰、基线漂移、工频干扰对心电波形的影响。</w:t>
      </w:r>
    </w:p>
    <w:p w14:paraId="4E916CF4">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13.支持采集过程中自动打印报告，并可设置自动打印时间；</w:t>
      </w:r>
    </w:p>
    <w:p w14:paraId="55CA9747">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14.支持自动触发血压测量，并且测量结果可自动在软件界面显示；</w:t>
      </w:r>
    </w:p>
    <w:p w14:paraId="2519C830">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15.采集为蓝牙数据传输，可确保心电图质量，方便病人隔离以及病人的自由移动，有利于病人恢复期的休息，提供证明文件；</w:t>
      </w:r>
    </w:p>
    <w:p w14:paraId="4ECC3061">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16.心电采集器具备抗除颤功能，方便病人如果需要除颤救治，可及时除颤并快速恢复心电波形显示，既为病人救治争取时间，又能实时显示救治心电图，协助了解救治效果；</w:t>
      </w:r>
    </w:p>
    <w:p w14:paraId="2B297505">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17.可运用 Holter心电技术进行彩色编码心律失常分析。</w:t>
      </w:r>
    </w:p>
    <w:p w14:paraId="042EFB9D">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18.具有心律失常自动触发打印功能。</w:t>
      </w:r>
    </w:p>
    <w:p w14:paraId="174DB7A6">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19.系统可自动触发运动血压同步测试，血压数据可直接反应在系统屏幕上。</w:t>
      </w:r>
    </w:p>
    <w:p w14:paraId="51C228F5">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20.运动心电首页总报告格式和内容可以任意设置和修改。</w:t>
      </w:r>
    </w:p>
    <w:p w14:paraId="0D75E988">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21.运动中可随时回放记录的运动心电图并固化，便于对比前后波形变化。</w:t>
      </w:r>
    </w:p>
    <w:p w14:paraId="4AABD290">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22.系统能同时自动储存管理大容量病历,除各种常规运动分析报告外，还需具有T波电交替、QTD等更具价值的运动心电报告。</w:t>
      </w:r>
    </w:p>
    <w:p w14:paraId="0138EF1B">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23.支持在软件界面控制运动速度、坡度，不仅方便医生同时观察调整运动方案后的病人心电图情况，还能避免物理按键长期使用后不灵敏现象，提供运行界面截图；</w:t>
      </w:r>
    </w:p>
    <w:p w14:paraId="6A33326F">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24.支持急停按钮功能，如果病人摔倒或后仰可自动带动急停按钮，停止跑台运动，极大程度降低危险的发生几率；</w:t>
      </w:r>
    </w:p>
    <w:p w14:paraId="6A1E575A">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25需支持医院现有心电网络系统进行无缝连接。</w:t>
      </w:r>
    </w:p>
    <w:p w14:paraId="3F24D72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2" w:firstLineChars="200"/>
        <w:jc w:val="both"/>
        <w:rPr>
          <w:rStyle w:val="22"/>
          <w:rFonts w:hint="eastAsia" w:ascii="方正仿宋_GB2312" w:hAnsi="方正仿宋_GB2312" w:eastAsia="方正仿宋_GB2312" w:cs="方正仿宋_GB2312"/>
          <w:b/>
          <w:bCs/>
          <w:caps/>
          <w:color w:val="auto"/>
          <w:kern w:val="2"/>
          <w:sz w:val="24"/>
          <w:szCs w:val="24"/>
          <w:highlight w:val="none"/>
          <w:lang w:val="en-US" w:eastAsia="zh-CN" w:bidi="ar-SA"/>
        </w:rPr>
      </w:pPr>
      <w:r>
        <w:rPr>
          <w:rStyle w:val="22"/>
          <w:rFonts w:hint="eastAsia" w:ascii="方正仿宋_GB2312" w:hAnsi="方正仿宋_GB2312" w:eastAsia="方正仿宋_GB2312" w:cs="方正仿宋_GB2312"/>
          <w:b/>
          <w:bCs/>
          <w:caps/>
          <w:color w:val="auto"/>
          <w:kern w:val="2"/>
          <w:sz w:val="24"/>
          <w:szCs w:val="24"/>
          <w:highlight w:val="none"/>
          <w:lang w:val="en-US" w:eastAsia="zh-CN" w:bidi="ar-SA"/>
        </w:rPr>
        <w:t>（二）运动跑台</w:t>
      </w:r>
    </w:p>
    <w:p w14:paraId="14A965DB">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1.马达：超静音交流马达</w:t>
      </w:r>
    </w:p>
    <w:p w14:paraId="2FC5F2AB">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2.控制器：变频调速</w:t>
      </w:r>
    </w:p>
    <w:p w14:paraId="6497734F">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3.履带尺寸：520×3240mm (宽×周长)（含）以上</w:t>
      </w:r>
    </w:p>
    <w:p w14:paraId="6ABE2E48">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4.跑台体积：2100×820×1400mm（长×宽×高）以上.</w:t>
      </w:r>
    </w:p>
    <w:p w14:paraId="1F335F27">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5.速度：0～24.0Km/h</w:t>
      </w:r>
    </w:p>
    <w:p w14:paraId="65C0E4B0">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6.坡度：0%～25%</w:t>
      </w:r>
    </w:p>
    <w:p w14:paraId="5DB52FDB">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7.履带技术：采用履带保直技术，无需校正，永不跑偏</w:t>
      </w:r>
    </w:p>
    <w:p w14:paraId="5D145C62">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8.运动跑台需自带运动血压支架，方便运动血压的安装与不同角度旋转观看。（提供产品彩页）</w:t>
      </w:r>
    </w:p>
    <w:p w14:paraId="2296B116">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9.运动跑台需自带10寸及以上屏幕，屏幕能显示运动时期的各种运动速度、坡度、时间等各种参数，且屏幕可以自主关闭与打开，方便操作医生远距离观察。（避免患者频发看脚下产生危险）</w:t>
      </w:r>
    </w:p>
    <w:p w14:paraId="09C570FE">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10、跑步机运动状态控制：支持手动控制、自动控制两种模式</w:t>
      </w:r>
    </w:p>
    <w:p w14:paraId="60D0365C">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11、跑台具备安全紧急制动按钮和防摔倒安全钥匙</w:t>
      </w:r>
    </w:p>
    <w:p w14:paraId="2A0DB9C3">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rPr>
          <w:rFonts w:hint="eastAsia" w:ascii="方正仿宋_GB2312" w:hAnsi="方正仿宋_GB2312" w:eastAsia="方正仿宋_GB2312" w:cs="方正仿宋_GB2312"/>
          <w:b/>
          <w:bCs/>
          <w:color w:val="auto"/>
          <w:sz w:val="24"/>
          <w:szCs w:val="24"/>
          <w:highlight w:val="none"/>
          <w:lang w:val="en-US" w:eastAsia="zh-CN"/>
        </w:rPr>
      </w:pPr>
      <w:r>
        <w:rPr>
          <w:rFonts w:hint="eastAsia" w:ascii="方正仿宋_GB2312" w:hAnsi="方正仿宋_GB2312" w:eastAsia="方正仿宋_GB2312" w:cs="方正仿宋_GB2312"/>
          <w:b/>
          <w:bCs/>
          <w:color w:val="auto"/>
          <w:sz w:val="24"/>
          <w:szCs w:val="24"/>
          <w:highlight w:val="none"/>
          <w:lang w:val="en-US" w:eastAsia="zh-CN"/>
        </w:rPr>
        <w:t>（三）运动血压</w:t>
      </w:r>
    </w:p>
    <w:p w14:paraId="3653C83E">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1．运动试验专用的无创血压监测系统，设计为在活动平板、踏车或运动心肺试验环境下，自动测量和显示病人的收缩压和舒张压，在“高噪声”、“运动”的环境下仍得到良好的结果；</w:t>
      </w:r>
    </w:p>
    <w:p w14:paraId="5C206FAA">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2．可兼容大部分心电系统的RS-232接口，使用3导联进行QRS触发测试；</w:t>
      </w:r>
    </w:p>
    <w:p w14:paraId="21D28679">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3．清晰的大液晶屏实时显示血压数据和信号质量；用户信息实时显示；显示当前工作状态并提示帮助信息；</w:t>
      </w:r>
    </w:p>
    <w:p w14:paraId="6408218F">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4．可以按编程自动采集血压数值或人工触发，血压数据可以直接反应在系统屏幕上；</w:t>
      </w:r>
    </w:p>
    <w:p w14:paraId="28F5AC7F">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5．R波来源：外部运动试验系统的数字/模拟心电信号 可选的独立心电采集模块；</w:t>
      </w:r>
    </w:p>
    <w:p w14:paraId="3352FE35">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6．测量范围：收缩压：40-270mmHg；</w:t>
      </w:r>
    </w:p>
    <w:p w14:paraId="718C8E03">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7．舒张压：20-160mmHg；</w:t>
      </w:r>
    </w:p>
    <w:p w14:paraId="04B466D5">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8．心率：40-200BPM；</w:t>
      </w:r>
    </w:p>
    <w:p w14:paraId="68142336">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9.精度：本机的测量结果与受过训练的测试者用听诊法测量的结果相当。</w:t>
      </w:r>
    </w:p>
    <w:p w14:paraId="1A7A7193">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10.采样间期：从1到60分钟，可由运动试验系统，手动或自动测量间隔控制。</w:t>
      </w:r>
    </w:p>
    <w:p w14:paraId="2AFAA6E3">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11.报警：根据用户定义的范围在屏幕显示或声音报警。</w:t>
      </w:r>
    </w:p>
    <w:p w14:paraId="2B5607B6">
      <w:pPr>
        <w:pStyle w:val="9"/>
        <w:keepNext w:val="0"/>
        <w:keepLines w:val="0"/>
        <w:pageBreakBefore w:val="0"/>
        <w:widowControl w:val="0"/>
        <w:kinsoku/>
        <w:wordWrap/>
        <w:topLinePunct w:val="0"/>
        <w:autoSpaceDE/>
        <w:autoSpaceDN/>
        <w:bidi w:val="0"/>
        <w:snapToGrid/>
        <w:spacing w:line="400" w:lineRule="exact"/>
        <w:ind w:left="0" w:leftChars="0" w:firstLine="482" w:firstLineChars="200"/>
        <w:jc w:val="left"/>
        <w:rPr>
          <w:rFonts w:hint="eastAsia" w:ascii="方正仿宋_GB2312" w:hAnsi="方正仿宋_GB2312" w:eastAsia="方正仿宋_GB2312" w:cs="方正仿宋_GB2312"/>
          <w:b/>
          <w:bCs/>
          <w:sz w:val="24"/>
          <w:szCs w:val="24"/>
          <w:highlight w:val="none"/>
          <w:lang w:eastAsia="zh-CN"/>
        </w:rPr>
      </w:pPr>
      <w:r>
        <w:rPr>
          <w:rFonts w:hint="eastAsia" w:ascii="方正仿宋_GB2312" w:hAnsi="方正仿宋_GB2312" w:eastAsia="方正仿宋_GB2312" w:cs="方正仿宋_GB2312"/>
          <w:b/>
          <w:bCs/>
          <w:sz w:val="24"/>
          <w:szCs w:val="24"/>
          <w:highlight w:val="none"/>
          <w:lang w:eastAsia="zh-CN"/>
        </w:rPr>
        <w:t>（</w:t>
      </w:r>
      <w:r>
        <w:rPr>
          <w:rFonts w:hint="eastAsia" w:ascii="方正仿宋_GB2312" w:hAnsi="方正仿宋_GB2312" w:eastAsia="方正仿宋_GB2312" w:cs="方正仿宋_GB2312"/>
          <w:b/>
          <w:bCs/>
          <w:sz w:val="24"/>
          <w:szCs w:val="24"/>
          <w:highlight w:val="none"/>
          <w:lang w:val="en-US" w:eastAsia="zh-CN"/>
        </w:rPr>
        <w:t>四</w:t>
      </w:r>
      <w:r>
        <w:rPr>
          <w:rFonts w:hint="eastAsia" w:ascii="方正仿宋_GB2312" w:hAnsi="方正仿宋_GB2312" w:eastAsia="方正仿宋_GB2312" w:cs="方正仿宋_GB2312"/>
          <w:b/>
          <w:bCs/>
          <w:sz w:val="24"/>
          <w:szCs w:val="24"/>
          <w:highlight w:val="none"/>
          <w:lang w:eastAsia="zh-CN"/>
        </w:rPr>
        <w:t>）配置清单</w:t>
      </w:r>
    </w:p>
    <w:p w14:paraId="357E5179">
      <w:pPr>
        <w:pStyle w:val="9"/>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lang w:eastAsia="zh-CN"/>
        </w:rPr>
      </w:pPr>
    </w:p>
    <w:tbl>
      <w:tblPr>
        <w:tblStyle w:val="13"/>
        <w:tblW w:w="88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3964"/>
        <w:gridCol w:w="3922"/>
      </w:tblGrid>
      <w:tr w14:paraId="3B84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52ED2081">
            <w:pPr>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rPr>
            </w:pPr>
            <w:r>
              <w:rPr>
                <w:rFonts w:hint="eastAsia" w:ascii="方正仿宋_GB2312" w:hAnsi="方正仿宋_GB2312" w:eastAsia="方正仿宋_GB2312" w:cs="方正仿宋_GB2312"/>
                <w:sz w:val="24"/>
                <w:szCs w:val="24"/>
                <w:highlight w:val="none"/>
              </w:rPr>
              <w:t>序号</w:t>
            </w:r>
          </w:p>
        </w:tc>
        <w:tc>
          <w:tcPr>
            <w:tcW w:w="3964" w:type="dxa"/>
            <w:tcBorders>
              <w:top w:val="single" w:color="auto" w:sz="4" w:space="0"/>
              <w:left w:val="single" w:color="auto" w:sz="4" w:space="0"/>
              <w:bottom w:val="single" w:color="auto" w:sz="4" w:space="0"/>
              <w:right w:val="single" w:color="auto" w:sz="4" w:space="0"/>
            </w:tcBorders>
            <w:noWrap w:val="0"/>
            <w:vAlign w:val="center"/>
          </w:tcPr>
          <w:p w14:paraId="75E2A38D">
            <w:pPr>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rPr>
            </w:pPr>
            <w:r>
              <w:rPr>
                <w:rFonts w:hint="eastAsia" w:ascii="方正仿宋_GB2312" w:hAnsi="方正仿宋_GB2312" w:eastAsia="方正仿宋_GB2312" w:cs="方正仿宋_GB2312"/>
                <w:sz w:val="24"/>
                <w:szCs w:val="24"/>
                <w:highlight w:val="none"/>
              </w:rPr>
              <w:t>名    称</w:t>
            </w:r>
          </w:p>
        </w:tc>
        <w:tc>
          <w:tcPr>
            <w:tcW w:w="3922" w:type="dxa"/>
            <w:tcBorders>
              <w:top w:val="single" w:color="auto" w:sz="4" w:space="0"/>
              <w:left w:val="single" w:color="auto" w:sz="4" w:space="0"/>
              <w:bottom w:val="single" w:color="auto" w:sz="4" w:space="0"/>
              <w:right w:val="single" w:color="auto" w:sz="4" w:space="0"/>
            </w:tcBorders>
            <w:noWrap w:val="0"/>
            <w:vAlign w:val="center"/>
          </w:tcPr>
          <w:p w14:paraId="286C2DBB">
            <w:pPr>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rPr>
            </w:pPr>
            <w:r>
              <w:rPr>
                <w:rFonts w:hint="eastAsia" w:ascii="方正仿宋_GB2312" w:hAnsi="方正仿宋_GB2312" w:eastAsia="方正仿宋_GB2312" w:cs="方正仿宋_GB2312"/>
                <w:sz w:val="24"/>
                <w:szCs w:val="24"/>
                <w:highlight w:val="none"/>
              </w:rPr>
              <w:t>数  量</w:t>
            </w:r>
          </w:p>
        </w:tc>
      </w:tr>
      <w:tr w14:paraId="73C5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2BAA0C29">
            <w:pPr>
              <w:keepNext w:val="0"/>
              <w:keepLines w:val="0"/>
              <w:pageBreakBefore w:val="0"/>
              <w:widowControl w:val="0"/>
              <w:numPr>
                <w:ilvl w:val="0"/>
                <w:numId w:val="2"/>
              </w:numPr>
              <w:kinsoku/>
              <w:wordWrap/>
              <w:topLinePunct w:val="0"/>
              <w:autoSpaceDE/>
              <w:autoSpaceDN/>
              <w:bidi w:val="0"/>
              <w:snapToGrid/>
              <w:spacing w:line="400" w:lineRule="exact"/>
              <w:ind w:left="425" w:leftChars="0" w:firstLine="480" w:firstLineChars="200"/>
              <w:jc w:val="center"/>
              <w:rPr>
                <w:rFonts w:hint="eastAsia" w:ascii="方正仿宋_GB2312" w:hAnsi="方正仿宋_GB2312" w:eastAsia="方正仿宋_GB2312" w:cs="方正仿宋_GB2312"/>
                <w:sz w:val="24"/>
                <w:szCs w:val="24"/>
                <w:highlight w:val="none"/>
              </w:rPr>
            </w:pPr>
          </w:p>
        </w:tc>
        <w:tc>
          <w:tcPr>
            <w:tcW w:w="3964" w:type="dxa"/>
            <w:tcBorders>
              <w:top w:val="single" w:color="auto" w:sz="4" w:space="0"/>
              <w:left w:val="single" w:color="auto" w:sz="4" w:space="0"/>
              <w:bottom w:val="single" w:color="auto" w:sz="4" w:space="0"/>
              <w:right w:val="single" w:color="auto" w:sz="4" w:space="0"/>
            </w:tcBorders>
            <w:noWrap w:val="0"/>
            <w:vAlign w:val="center"/>
          </w:tcPr>
          <w:p w14:paraId="14CE056E">
            <w:pPr>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lang w:eastAsia="zh-CN"/>
              </w:rPr>
            </w:pPr>
            <w:r>
              <w:rPr>
                <w:rFonts w:hint="eastAsia" w:ascii="方正仿宋_GB2312" w:hAnsi="方正仿宋_GB2312" w:eastAsia="方正仿宋_GB2312" w:cs="方正仿宋_GB2312"/>
                <w:sz w:val="24"/>
                <w:szCs w:val="24"/>
                <w:highlight w:val="none"/>
                <w:lang w:val="en-US" w:eastAsia="zh-CN"/>
              </w:rPr>
              <w:t>运动</w:t>
            </w:r>
            <w:r>
              <w:rPr>
                <w:rFonts w:hint="eastAsia" w:ascii="方正仿宋_GB2312" w:hAnsi="方正仿宋_GB2312" w:eastAsia="方正仿宋_GB2312" w:cs="方正仿宋_GB2312"/>
                <w:sz w:val="24"/>
                <w:szCs w:val="24"/>
                <w:highlight w:val="none"/>
                <w:lang w:eastAsia="zh-CN"/>
              </w:rPr>
              <w:t>跑台</w:t>
            </w:r>
          </w:p>
        </w:tc>
        <w:tc>
          <w:tcPr>
            <w:tcW w:w="3922" w:type="dxa"/>
            <w:tcBorders>
              <w:top w:val="single" w:color="auto" w:sz="4" w:space="0"/>
              <w:left w:val="single" w:color="auto" w:sz="4" w:space="0"/>
              <w:bottom w:val="single" w:color="auto" w:sz="4" w:space="0"/>
              <w:right w:val="single" w:color="auto" w:sz="4" w:space="0"/>
            </w:tcBorders>
            <w:noWrap w:val="0"/>
            <w:vAlign w:val="center"/>
          </w:tcPr>
          <w:p w14:paraId="4E7F4C0D">
            <w:pPr>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lang w:eastAsia="zh-CN"/>
              </w:rPr>
            </w:pPr>
            <w:r>
              <w:rPr>
                <w:rFonts w:hint="eastAsia" w:ascii="方正仿宋_GB2312" w:hAnsi="方正仿宋_GB2312" w:eastAsia="方正仿宋_GB2312" w:cs="方正仿宋_GB2312"/>
                <w:sz w:val="24"/>
                <w:szCs w:val="24"/>
                <w:highlight w:val="none"/>
              </w:rPr>
              <w:t>1</w:t>
            </w:r>
            <w:r>
              <w:rPr>
                <w:rFonts w:hint="eastAsia" w:ascii="方正仿宋_GB2312" w:hAnsi="方正仿宋_GB2312" w:eastAsia="方正仿宋_GB2312" w:cs="方正仿宋_GB2312"/>
                <w:sz w:val="24"/>
                <w:szCs w:val="24"/>
                <w:highlight w:val="none"/>
                <w:lang w:eastAsia="zh-CN"/>
              </w:rPr>
              <w:t>台</w:t>
            </w:r>
          </w:p>
        </w:tc>
      </w:tr>
      <w:tr w14:paraId="54CB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24F9E3EB">
            <w:pPr>
              <w:keepNext w:val="0"/>
              <w:keepLines w:val="0"/>
              <w:pageBreakBefore w:val="0"/>
              <w:widowControl w:val="0"/>
              <w:numPr>
                <w:ilvl w:val="0"/>
                <w:numId w:val="2"/>
              </w:numPr>
              <w:kinsoku/>
              <w:wordWrap/>
              <w:topLinePunct w:val="0"/>
              <w:autoSpaceDE/>
              <w:autoSpaceDN/>
              <w:bidi w:val="0"/>
              <w:snapToGrid/>
              <w:spacing w:line="400" w:lineRule="exact"/>
              <w:ind w:left="425" w:leftChars="0" w:firstLine="480" w:firstLineChars="200"/>
              <w:jc w:val="center"/>
              <w:rPr>
                <w:rFonts w:hint="eastAsia" w:ascii="方正仿宋_GB2312" w:hAnsi="方正仿宋_GB2312" w:eastAsia="方正仿宋_GB2312" w:cs="方正仿宋_GB2312"/>
                <w:sz w:val="24"/>
                <w:szCs w:val="24"/>
                <w:highlight w:val="none"/>
              </w:rPr>
            </w:pPr>
          </w:p>
        </w:tc>
        <w:tc>
          <w:tcPr>
            <w:tcW w:w="3964" w:type="dxa"/>
            <w:tcBorders>
              <w:top w:val="single" w:color="auto" w:sz="4" w:space="0"/>
              <w:left w:val="single" w:color="auto" w:sz="4" w:space="0"/>
              <w:bottom w:val="single" w:color="auto" w:sz="4" w:space="0"/>
              <w:right w:val="single" w:color="auto" w:sz="4" w:space="0"/>
            </w:tcBorders>
            <w:noWrap w:val="0"/>
            <w:vAlign w:val="center"/>
          </w:tcPr>
          <w:p w14:paraId="1397D56E">
            <w:pPr>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rPr>
              <w:t>蓝牙</w:t>
            </w:r>
            <w:r>
              <w:rPr>
                <w:rFonts w:hint="eastAsia" w:ascii="方正仿宋_GB2312" w:hAnsi="方正仿宋_GB2312" w:eastAsia="方正仿宋_GB2312" w:cs="方正仿宋_GB2312"/>
                <w:sz w:val="24"/>
                <w:szCs w:val="24"/>
                <w:highlight w:val="none"/>
                <w:lang w:val="en-US" w:eastAsia="zh-CN"/>
              </w:rPr>
              <w:t>运动心电工作站</w:t>
            </w:r>
          </w:p>
        </w:tc>
        <w:tc>
          <w:tcPr>
            <w:tcW w:w="3922" w:type="dxa"/>
            <w:tcBorders>
              <w:top w:val="single" w:color="auto" w:sz="4" w:space="0"/>
              <w:left w:val="single" w:color="auto" w:sz="4" w:space="0"/>
              <w:bottom w:val="single" w:color="auto" w:sz="4" w:space="0"/>
              <w:right w:val="single" w:color="auto" w:sz="4" w:space="0"/>
            </w:tcBorders>
            <w:noWrap w:val="0"/>
            <w:vAlign w:val="center"/>
          </w:tcPr>
          <w:p w14:paraId="501EEE83">
            <w:pPr>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rPr>
            </w:pPr>
            <w:r>
              <w:rPr>
                <w:rFonts w:hint="eastAsia" w:ascii="方正仿宋_GB2312" w:hAnsi="方正仿宋_GB2312" w:eastAsia="方正仿宋_GB2312" w:cs="方正仿宋_GB2312"/>
                <w:sz w:val="24"/>
                <w:szCs w:val="24"/>
                <w:highlight w:val="none"/>
              </w:rPr>
              <w:t>1套</w:t>
            </w:r>
          </w:p>
        </w:tc>
      </w:tr>
      <w:tr w14:paraId="5700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0C0844E4">
            <w:pPr>
              <w:keepNext w:val="0"/>
              <w:keepLines w:val="0"/>
              <w:pageBreakBefore w:val="0"/>
              <w:widowControl w:val="0"/>
              <w:numPr>
                <w:ilvl w:val="0"/>
                <w:numId w:val="2"/>
              </w:numPr>
              <w:kinsoku/>
              <w:wordWrap/>
              <w:topLinePunct w:val="0"/>
              <w:autoSpaceDE/>
              <w:autoSpaceDN/>
              <w:bidi w:val="0"/>
              <w:snapToGrid/>
              <w:spacing w:line="400" w:lineRule="exact"/>
              <w:ind w:left="425" w:leftChars="0" w:firstLine="480" w:firstLineChars="200"/>
              <w:jc w:val="center"/>
              <w:rPr>
                <w:rFonts w:hint="eastAsia" w:ascii="方正仿宋_GB2312" w:hAnsi="方正仿宋_GB2312" w:eastAsia="方正仿宋_GB2312" w:cs="方正仿宋_GB2312"/>
                <w:sz w:val="24"/>
                <w:szCs w:val="24"/>
                <w:highlight w:val="none"/>
              </w:rPr>
            </w:pPr>
          </w:p>
        </w:tc>
        <w:tc>
          <w:tcPr>
            <w:tcW w:w="3964" w:type="dxa"/>
            <w:tcBorders>
              <w:top w:val="single" w:color="auto" w:sz="4" w:space="0"/>
              <w:left w:val="single" w:color="auto" w:sz="4" w:space="0"/>
              <w:bottom w:val="single" w:color="auto" w:sz="4" w:space="0"/>
              <w:right w:val="single" w:color="auto" w:sz="4" w:space="0"/>
            </w:tcBorders>
            <w:noWrap w:val="0"/>
            <w:vAlign w:val="center"/>
          </w:tcPr>
          <w:p w14:paraId="12395218">
            <w:pPr>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rPr>
            </w:pPr>
            <w:r>
              <w:rPr>
                <w:rFonts w:hint="eastAsia" w:ascii="方正仿宋_GB2312" w:hAnsi="方正仿宋_GB2312" w:eastAsia="方正仿宋_GB2312" w:cs="方正仿宋_GB2312"/>
                <w:sz w:val="24"/>
                <w:szCs w:val="24"/>
                <w:highlight w:val="none"/>
                <w:lang w:val="en-US" w:eastAsia="zh-CN"/>
              </w:rPr>
              <w:t>运动</w:t>
            </w:r>
            <w:r>
              <w:rPr>
                <w:rFonts w:hint="eastAsia" w:ascii="方正仿宋_GB2312" w:hAnsi="方正仿宋_GB2312" w:eastAsia="方正仿宋_GB2312" w:cs="方正仿宋_GB2312"/>
                <w:sz w:val="24"/>
                <w:szCs w:val="24"/>
                <w:highlight w:val="none"/>
              </w:rPr>
              <w:t>心电导联线</w:t>
            </w:r>
          </w:p>
        </w:tc>
        <w:tc>
          <w:tcPr>
            <w:tcW w:w="3922" w:type="dxa"/>
            <w:tcBorders>
              <w:top w:val="single" w:color="auto" w:sz="4" w:space="0"/>
              <w:left w:val="single" w:color="auto" w:sz="4" w:space="0"/>
              <w:bottom w:val="single" w:color="auto" w:sz="4" w:space="0"/>
              <w:right w:val="single" w:color="auto" w:sz="4" w:space="0"/>
            </w:tcBorders>
            <w:noWrap w:val="0"/>
            <w:vAlign w:val="center"/>
          </w:tcPr>
          <w:p w14:paraId="4000AB0B">
            <w:pPr>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lang w:eastAsia="zh-CN"/>
              </w:rPr>
            </w:pPr>
            <w:r>
              <w:rPr>
                <w:rFonts w:hint="eastAsia" w:ascii="方正仿宋_GB2312" w:hAnsi="方正仿宋_GB2312" w:eastAsia="方正仿宋_GB2312" w:cs="方正仿宋_GB2312"/>
                <w:sz w:val="24"/>
                <w:szCs w:val="24"/>
                <w:highlight w:val="none"/>
                <w:lang w:val="en-US" w:eastAsia="zh-CN"/>
              </w:rPr>
              <w:t>1副</w:t>
            </w:r>
          </w:p>
        </w:tc>
      </w:tr>
      <w:tr w14:paraId="2C85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2C873982">
            <w:pPr>
              <w:keepNext w:val="0"/>
              <w:keepLines w:val="0"/>
              <w:pageBreakBefore w:val="0"/>
              <w:widowControl w:val="0"/>
              <w:numPr>
                <w:ilvl w:val="0"/>
                <w:numId w:val="2"/>
              </w:numPr>
              <w:kinsoku/>
              <w:wordWrap/>
              <w:topLinePunct w:val="0"/>
              <w:autoSpaceDE/>
              <w:autoSpaceDN/>
              <w:bidi w:val="0"/>
              <w:snapToGrid/>
              <w:spacing w:line="400" w:lineRule="exact"/>
              <w:ind w:left="425" w:leftChars="0" w:firstLine="480" w:firstLineChars="200"/>
              <w:jc w:val="center"/>
              <w:rPr>
                <w:rFonts w:hint="eastAsia" w:ascii="方正仿宋_GB2312" w:hAnsi="方正仿宋_GB2312" w:eastAsia="方正仿宋_GB2312" w:cs="方正仿宋_GB2312"/>
                <w:sz w:val="24"/>
                <w:szCs w:val="24"/>
                <w:highlight w:val="none"/>
              </w:rPr>
            </w:pPr>
          </w:p>
        </w:tc>
        <w:tc>
          <w:tcPr>
            <w:tcW w:w="3964" w:type="dxa"/>
            <w:tcBorders>
              <w:top w:val="single" w:color="auto" w:sz="4" w:space="0"/>
              <w:left w:val="single" w:color="auto" w:sz="4" w:space="0"/>
              <w:bottom w:val="single" w:color="auto" w:sz="4" w:space="0"/>
              <w:right w:val="single" w:color="auto" w:sz="4" w:space="0"/>
            </w:tcBorders>
            <w:noWrap w:val="0"/>
            <w:vAlign w:val="center"/>
          </w:tcPr>
          <w:p w14:paraId="5C106E9D">
            <w:pPr>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运动血压监护仪</w:t>
            </w:r>
          </w:p>
        </w:tc>
        <w:tc>
          <w:tcPr>
            <w:tcW w:w="3922" w:type="dxa"/>
            <w:tcBorders>
              <w:top w:val="single" w:color="auto" w:sz="4" w:space="0"/>
              <w:left w:val="single" w:color="auto" w:sz="4" w:space="0"/>
              <w:bottom w:val="single" w:color="auto" w:sz="4" w:space="0"/>
              <w:right w:val="single" w:color="auto" w:sz="4" w:space="0"/>
            </w:tcBorders>
            <w:noWrap w:val="0"/>
            <w:vAlign w:val="center"/>
          </w:tcPr>
          <w:p w14:paraId="728C5A6C">
            <w:pPr>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1套</w:t>
            </w:r>
          </w:p>
        </w:tc>
      </w:tr>
      <w:tr w14:paraId="1050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77FA102A">
            <w:pPr>
              <w:keepNext w:val="0"/>
              <w:keepLines w:val="0"/>
              <w:pageBreakBefore w:val="0"/>
              <w:widowControl w:val="0"/>
              <w:numPr>
                <w:ilvl w:val="0"/>
                <w:numId w:val="2"/>
              </w:numPr>
              <w:kinsoku/>
              <w:wordWrap/>
              <w:topLinePunct w:val="0"/>
              <w:autoSpaceDE/>
              <w:autoSpaceDN/>
              <w:bidi w:val="0"/>
              <w:snapToGrid/>
              <w:spacing w:line="400" w:lineRule="exact"/>
              <w:ind w:left="425" w:leftChars="0" w:firstLine="480" w:firstLineChars="200"/>
              <w:jc w:val="center"/>
              <w:rPr>
                <w:rFonts w:hint="eastAsia" w:ascii="方正仿宋_GB2312" w:hAnsi="方正仿宋_GB2312" w:eastAsia="方正仿宋_GB2312" w:cs="方正仿宋_GB2312"/>
                <w:sz w:val="24"/>
                <w:szCs w:val="24"/>
                <w:highlight w:val="none"/>
              </w:rPr>
            </w:pPr>
          </w:p>
        </w:tc>
        <w:tc>
          <w:tcPr>
            <w:tcW w:w="3964" w:type="dxa"/>
            <w:tcBorders>
              <w:top w:val="single" w:color="auto" w:sz="4" w:space="0"/>
              <w:left w:val="single" w:color="auto" w:sz="4" w:space="0"/>
              <w:bottom w:val="single" w:color="auto" w:sz="4" w:space="0"/>
              <w:right w:val="single" w:color="auto" w:sz="4" w:space="0"/>
            </w:tcBorders>
            <w:noWrap w:val="0"/>
            <w:vAlign w:val="center"/>
          </w:tcPr>
          <w:p w14:paraId="75235C84">
            <w:pPr>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电脑</w:t>
            </w:r>
          </w:p>
        </w:tc>
        <w:tc>
          <w:tcPr>
            <w:tcW w:w="3922" w:type="dxa"/>
            <w:tcBorders>
              <w:top w:val="single" w:color="auto" w:sz="4" w:space="0"/>
              <w:left w:val="single" w:color="auto" w:sz="4" w:space="0"/>
              <w:bottom w:val="single" w:color="auto" w:sz="4" w:space="0"/>
              <w:right w:val="single" w:color="auto" w:sz="4" w:space="0"/>
            </w:tcBorders>
            <w:noWrap w:val="0"/>
            <w:vAlign w:val="center"/>
          </w:tcPr>
          <w:p w14:paraId="2D8772D6">
            <w:pPr>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1套</w:t>
            </w:r>
          </w:p>
        </w:tc>
      </w:tr>
      <w:tr w14:paraId="32F3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1662936D">
            <w:pPr>
              <w:keepNext w:val="0"/>
              <w:keepLines w:val="0"/>
              <w:pageBreakBefore w:val="0"/>
              <w:widowControl w:val="0"/>
              <w:numPr>
                <w:ilvl w:val="0"/>
                <w:numId w:val="2"/>
              </w:numPr>
              <w:kinsoku/>
              <w:wordWrap/>
              <w:topLinePunct w:val="0"/>
              <w:autoSpaceDE/>
              <w:autoSpaceDN/>
              <w:bidi w:val="0"/>
              <w:snapToGrid/>
              <w:spacing w:line="400" w:lineRule="exact"/>
              <w:ind w:left="425" w:leftChars="0" w:firstLine="480" w:firstLineChars="200"/>
              <w:jc w:val="center"/>
              <w:rPr>
                <w:rFonts w:hint="eastAsia" w:ascii="方正仿宋_GB2312" w:hAnsi="方正仿宋_GB2312" w:eastAsia="方正仿宋_GB2312" w:cs="方正仿宋_GB2312"/>
                <w:sz w:val="24"/>
                <w:szCs w:val="24"/>
                <w:highlight w:val="none"/>
              </w:rPr>
            </w:pPr>
          </w:p>
        </w:tc>
        <w:tc>
          <w:tcPr>
            <w:tcW w:w="3964" w:type="dxa"/>
            <w:tcBorders>
              <w:top w:val="single" w:color="auto" w:sz="4" w:space="0"/>
              <w:left w:val="single" w:color="auto" w:sz="4" w:space="0"/>
              <w:bottom w:val="single" w:color="auto" w:sz="4" w:space="0"/>
              <w:right w:val="single" w:color="auto" w:sz="4" w:space="0"/>
            </w:tcBorders>
            <w:noWrap w:val="0"/>
            <w:vAlign w:val="center"/>
          </w:tcPr>
          <w:p w14:paraId="53499862">
            <w:pPr>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打印机</w:t>
            </w:r>
          </w:p>
        </w:tc>
        <w:tc>
          <w:tcPr>
            <w:tcW w:w="3922" w:type="dxa"/>
            <w:tcBorders>
              <w:top w:val="single" w:color="auto" w:sz="4" w:space="0"/>
              <w:left w:val="single" w:color="auto" w:sz="4" w:space="0"/>
              <w:bottom w:val="single" w:color="auto" w:sz="4" w:space="0"/>
              <w:right w:val="single" w:color="auto" w:sz="4" w:space="0"/>
            </w:tcBorders>
            <w:noWrap w:val="0"/>
            <w:vAlign w:val="center"/>
          </w:tcPr>
          <w:p w14:paraId="7ACB75F7">
            <w:pPr>
              <w:keepNext w:val="0"/>
              <w:keepLines w:val="0"/>
              <w:pageBreakBefore w:val="0"/>
              <w:widowControl w:val="0"/>
              <w:kinsoku/>
              <w:wordWrap/>
              <w:topLinePunct w:val="0"/>
              <w:autoSpaceDE/>
              <w:autoSpaceDN/>
              <w:bidi w:val="0"/>
              <w:snapToGrid/>
              <w:spacing w:line="400" w:lineRule="exact"/>
              <w:ind w:firstLine="480" w:firstLineChars="200"/>
              <w:jc w:val="center"/>
              <w:rPr>
                <w:rFonts w:hint="eastAsia" w:ascii="方正仿宋_GB2312" w:hAnsi="方正仿宋_GB2312" w:eastAsia="方正仿宋_GB2312" w:cs="方正仿宋_GB2312"/>
                <w:sz w:val="24"/>
                <w:szCs w:val="24"/>
                <w:highlight w:val="none"/>
                <w:lang w:val="en-US" w:eastAsia="zh-CN"/>
              </w:rPr>
            </w:pPr>
            <w:r>
              <w:rPr>
                <w:rFonts w:hint="eastAsia" w:ascii="方正仿宋_GB2312" w:hAnsi="方正仿宋_GB2312" w:eastAsia="方正仿宋_GB2312" w:cs="方正仿宋_GB2312"/>
                <w:sz w:val="24"/>
                <w:szCs w:val="24"/>
                <w:highlight w:val="none"/>
                <w:lang w:val="en-US" w:eastAsia="zh-CN"/>
              </w:rPr>
              <w:t>1台</w:t>
            </w:r>
          </w:p>
        </w:tc>
      </w:tr>
    </w:tbl>
    <w:p w14:paraId="5FF2DA11">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rPr>
          <w:rFonts w:hint="eastAsia" w:ascii="方正仿宋_GB2312" w:hAnsi="方正仿宋_GB2312" w:eastAsia="方正仿宋_GB2312" w:cs="方正仿宋_GB2312"/>
          <w:b/>
          <w:bCs/>
          <w:color w:val="auto"/>
          <w:sz w:val="28"/>
          <w:szCs w:val="28"/>
          <w:highlight w:val="none"/>
          <w:lang w:val="en-US" w:eastAsia="zh-CN"/>
        </w:rPr>
      </w:pPr>
      <w:r>
        <w:rPr>
          <w:rFonts w:hint="eastAsia" w:ascii="方正仿宋_GB2312" w:hAnsi="方正仿宋_GB2312" w:eastAsia="方正仿宋_GB2312" w:cs="方正仿宋_GB2312"/>
          <w:b/>
          <w:bCs/>
          <w:color w:val="auto"/>
          <w:sz w:val="28"/>
          <w:szCs w:val="28"/>
          <w:highlight w:val="none"/>
          <w:lang w:val="en-US" w:eastAsia="zh-CN"/>
        </w:rPr>
        <w:t>商务参数</w:t>
      </w:r>
    </w:p>
    <w:p w14:paraId="3201862B">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1、运输、装卸、培训、安装调试：由中标人负责承担，最终通过使用科室、设备科及相关部门确认验收交付使用。国产设备交付，设备必须为6个月内生产的产品；进口设备交付，设备必须为一年内生产的产品。</w:t>
      </w:r>
    </w:p>
    <w:p w14:paraId="4C07C838">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2、交货时间：按合同约定的日期交货。</w:t>
      </w:r>
    </w:p>
    <w:p w14:paraId="748B0A87">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3、交货地点：娄底市中心医院指定地点。</w:t>
      </w:r>
    </w:p>
    <w:p w14:paraId="65330B7B">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4、付款方式：设备验收合格后，供应商将发票交到娄底市中心医院后按程序支付货款90%（一般情况下4个月内支付、特殊情况下最多不超过6个月），甲方在设备验收合格满3年后支付10%余款给乙方。</w:t>
      </w:r>
    </w:p>
    <w:p w14:paraId="5F5ABDD6">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5、质保与售后：整机保修3 年，终身维修。验收时出具原厂售后质保承诺书，质保期内每年巡检一次，并提交巡检记录。质保期内出现故障，1小时响应，响应后24小时上门服务。</w:t>
      </w:r>
    </w:p>
    <w:p w14:paraId="2D6B87B5">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6、在投标文件中必须提供相关佐证资料(加盖投标人公章的技术参数、技术白皮书、说明书、彩页)，并在响应表中备注该条参数响应或正偏离的佐证资料所在页码。</w:t>
      </w:r>
    </w:p>
    <w:p w14:paraId="716766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aps/>
          <w:color w:val="auto"/>
          <w:kern w:val="2"/>
          <w:sz w:val="24"/>
          <w:szCs w:val="24"/>
          <w:highlight w:val="none"/>
          <w:lang w:val="en-US" w:eastAsia="zh-CN" w:bidi="ar-SA"/>
        </w:rPr>
      </w:pPr>
      <w:r>
        <w:rPr>
          <w:rFonts w:hint="eastAsia" w:asciiTheme="minorEastAsia" w:hAnsiTheme="minorEastAsia" w:eastAsiaTheme="minorEastAsia" w:cstheme="minorEastAsia"/>
          <w:sz w:val="24"/>
          <w:szCs w:val="24"/>
          <w:lang w:val="en-US" w:eastAsia="zh-CN"/>
        </w:rPr>
        <w:t>7、设备如涉及网络接口费用，由中标人承担，采购人不再出具任何费用。</w:t>
      </w:r>
    </w:p>
    <w:p w14:paraId="688C2C3F">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rPr>
          <w:rFonts w:hint="eastAsia" w:ascii="方正仿宋_GB2312" w:hAnsi="方正仿宋_GB2312" w:eastAsia="方正仿宋_GB2312" w:cs="方正仿宋_GB2312"/>
          <w:caps/>
          <w:color w:val="auto"/>
          <w:kern w:val="2"/>
          <w:sz w:val="24"/>
          <w:szCs w:val="24"/>
          <w:highlight w:val="none"/>
          <w:lang w:val="en-US" w:eastAsia="zh-CN" w:bidi="ar-SA"/>
        </w:rPr>
      </w:pPr>
    </w:p>
    <w:p w14:paraId="30E671A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p>
    <w:p w14:paraId="46A704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1762905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59A3771E">
      <w:pPr>
        <w:pStyle w:val="4"/>
        <w:rPr>
          <w:rFonts w:hint="eastAsia"/>
          <w:lang w:val="en-US" w:eastAsia="zh-CN"/>
        </w:rPr>
      </w:pP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FC5BB9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9A301CA">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运动负荷心电分析系统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运动负荷心电分析系统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运动负荷心电分析系统</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1套</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 本合同约定价格为（☑固定总价□固定单价），不因物价、市场波动变更，约定价格包括且不限于设计费、材料费、人工费、安装费、包装费、运输费、装卸费、调试费、接口费、检测费、检验费、税费、保险费、售后服务费、</w:t>
      </w:r>
      <w:bookmarkStart w:id="4" w:name="_GoBack"/>
      <w:bookmarkEnd w:id="4"/>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1.3 </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本合同设备</w:t>
      </w:r>
      <w:r>
        <w:rPr>
          <w:rFonts w:hint="eastAsia" w:ascii="宋体" w:hAnsi="宋体" w:cs="宋体"/>
          <w:color w:val="auto"/>
          <w:sz w:val="24"/>
          <w:szCs w:val="24"/>
          <w:highlight w:val="none"/>
          <w:lang w:eastAsia="zh-CN"/>
        </w:rPr>
        <w:t>无需</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本合同设备</w:t>
      </w:r>
      <w:r>
        <w:rPr>
          <w:rFonts w:hint="eastAsia" w:ascii="宋体" w:hAnsi="宋体" w:cs="宋体"/>
          <w:color w:val="auto"/>
          <w:sz w:val="24"/>
          <w:szCs w:val="24"/>
          <w:highlight w:val="none"/>
          <w:lang w:eastAsia="zh-CN"/>
        </w:rPr>
        <w:t>需要</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对接，因</w:t>
      </w:r>
      <w:r>
        <w:rPr>
          <w:rFonts w:hint="eastAsia" w:ascii="宋体" w:hAnsi="宋体" w:cs="宋体"/>
          <w:color w:val="auto"/>
          <w:sz w:val="24"/>
          <w:szCs w:val="24"/>
          <w:highlight w:val="none"/>
        </w:rPr>
        <w:t>对接产生的接口开发等</w:t>
      </w:r>
      <w:r>
        <w:rPr>
          <w:rFonts w:hint="eastAsia" w:ascii="宋体" w:hAnsi="宋体" w:cs="宋体"/>
          <w:color w:val="auto"/>
          <w:sz w:val="24"/>
          <w:szCs w:val="24"/>
          <w:highlight w:val="none"/>
          <w:lang w:eastAsia="zh-CN"/>
        </w:rPr>
        <w:t>乙方及第三方需要收取的</w:t>
      </w:r>
      <w:r>
        <w:rPr>
          <w:rFonts w:hint="eastAsia" w:ascii="宋体" w:hAnsi="宋体" w:cs="宋体"/>
          <w:color w:val="auto"/>
          <w:sz w:val="24"/>
          <w:szCs w:val="24"/>
          <w:highlight w:val="none"/>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w:t>
      </w:r>
      <w:r>
        <w:rPr>
          <w:rFonts w:hint="eastAsia" w:ascii="宋体" w:hAnsi="宋体" w:eastAsia="宋体" w:cs="宋体"/>
          <w:color w:val="auto"/>
          <w:sz w:val="24"/>
          <w:szCs w:val="24"/>
          <w:highlight w:val="none"/>
          <w:lang w:val="en-US" w:eastAsia="zh-CN"/>
        </w:rPr>
        <w:t>费用</w:t>
      </w:r>
      <w:r>
        <w:rPr>
          <w:rFonts w:hint="default" w:ascii="宋体" w:hAnsi="宋体" w:eastAsia="宋体" w:cs="宋体"/>
          <w:color w:val="auto"/>
          <w:sz w:val="24"/>
          <w:szCs w:val="24"/>
          <w:highlight w:val="none"/>
          <w:lang w:val="en-US" w:eastAsia="zh-CN"/>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 质量标准：乙方提供设备的质量、安装应符合或优于国家标准；如投标文件/响应文件中的技术参数和质量标准高于国家标准，则设备的技术参数和质量标准以投标文件/响应文件为准；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总体验收：乙方将设备全部拆包、安装、调试、培训后应及时通知甲方，甲方自接到乙方通知之日起</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叁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第十</w:t>
      </w:r>
      <w:r>
        <w:rPr>
          <w:rFonts w:hint="eastAsia" w:ascii="宋体" w:hAnsi="宋体" w:cs="宋体"/>
          <w:b/>
          <w:bCs/>
          <w:color w:val="auto"/>
          <w:sz w:val="24"/>
          <w:highlight w:val="none"/>
          <w:lang w:val="en-US" w:eastAsia="zh-CN"/>
        </w:rPr>
        <w:t>四</w:t>
      </w:r>
      <w:r>
        <w:rPr>
          <w:rFonts w:hint="eastAsia" w:ascii="宋体" w:hAnsi="宋体" w:eastAsia="宋体" w:cs="宋体"/>
          <w:b/>
          <w:bCs/>
          <w:color w:val="auto"/>
          <w:sz w:val="24"/>
          <w:highlight w:val="none"/>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auto"/>
          <w:sz w:val="24"/>
          <w:highlight w:val="none"/>
          <w:lang w:eastAsia="zh-CN"/>
        </w:rPr>
        <w:t xml:space="preserve">14.2 </w:t>
      </w:r>
      <w:r>
        <w:rPr>
          <w:rFonts w:hint="eastAsia" w:ascii="宋体" w:hAnsi="宋体" w:eastAsia="宋体" w:cs="宋体"/>
          <w:color w:val="auto"/>
          <w:sz w:val="24"/>
          <w:highlight w:val="none"/>
        </w:rPr>
        <w:t>本合同组成文件和优先解释顺序：</w:t>
      </w:r>
      <w:r>
        <w:rPr>
          <w:rFonts w:hint="eastAsia" w:ascii="宋体" w:hAnsi="宋体" w:eastAsia="宋体" w:cs="宋体"/>
          <w:color w:val="auto"/>
          <w:sz w:val="24"/>
          <w:highlight w:val="none"/>
          <w:lang w:eastAsia="zh-CN"/>
        </w:rPr>
        <w:t>乙方在</w:t>
      </w:r>
      <w:r>
        <w:rPr>
          <w:rFonts w:hint="eastAsia" w:ascii="宋体" w:hAnsi="宋体" w:eastAsia="宋体" w:cs="宋体"/>
          <w:color w:val="000000" w:themeColor="text1"/>
          <w:sz w:val="24"/>
          <w:highlight w:val="none"/>
          <w:lang w:eastAsia="zh-CN"/>
          <w14:textFill>
            <w14:solidFill>
              <w14:schemeClr w14:val="tx1"/>
            </w14:solidFill>
          </w14:textFill>
        </w:rPr>
        <w:t>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9"/>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9"/>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0"/>
        <w:rPr>
          <w:color w:val="auto"/>
        </w:rPr>
      </w:pPr>
    </w:p>
    <w:p w14:paraId="43E00E01">
      <w:pPr>
        <w:pStyle w:val="19"/>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10"/>
      <w:rPr>
        <w:rFonts w:hint="eastAsia" w:ascii="方正仿宋_GB2312" w:eastAsia="方正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方正仿宋_GB2312" w:eastAsia="方正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0"/>
      <w:rPr>
        <w:rFonts w:hint="eastAsia" w:ascii="方正仿宋_GB2312" w:eastAsia="方正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方正仿宋_GB2312" w:eastAsia="方正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5B8FE513"/>
    <w:multiLevelType w:val="singleLevel"/>
    <w:tmpl w:val="5B8FE513"/>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B3EF958"/>
    <w:rsid w:val="0CA247DD"/>
    <w:rsid w:val="0E331420"/>
    <w:rsid w:val="0EDD1643"/>
    <w:rsid w:val="0FB47E4C"/>
    <w:rsid w:val="0FB86C6D"/>
    <w:rsid w:val="0FB9029C"/>
    <w:rsid w:val="10897B23"/>
    <w:rsid w:val="10914EF9"/>
    <w:rsid w:val="10B8663C"/>
    <w:rsid w:val="12080B62"/>
    <w:rsid w:val="12994AC5"/>
    <w:rsid w:val="129F447F"/>
    <w:rsid w:val="12C86253"/>
    <w:rsid w:val="15060AC8"/>
    <w:rsid w:val="15675A4C"/>
    <w:rsid w:val="17F91BB8"/>
    <w:rsid w:val="1AF56B46"/>
    <w:rsid w:val="1BD8B5CD"/>
    <w:rsid w:val="1BF73734"/>
    <w:rsid w:val="1DD7486D"/>
    <w:rsid w:val="1E79119D"/>
    <w:rsid w:val="1F334F58"/>
    <w:rsid w:val="1F796B24"/>
    <w:rsid w:val="1F7D8E9C"/>
    <w:rsid w:val="1F7F353B"/>
    <w:rsid w:val="1FE73549"/>
    <w:rsid w:val="1FEB1D55"/>
    <w:rsid w:val="1FFF5D63"/>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2F1D4B15"/>
    <w:rsid w:val="302741D2"/>
    <w:rsid w:val="308B184D"/>
    <w:rsid w:val="309C1E01"/>
    <w:rsid w:val="30BB11DD"/>
    <w:rsid w:val="31F17CD1"/>
    <w:rsid w:val="32E941A9"/>
    <w:rsid w:val="33330659"/>
    <w:rsid w:val="33384C93"/>
    <w:rsid w:val="340F06E9"/>
    <w:rsid w:val="3564DC9E"/>
    <w:rsid w:val="36E47928"/>
    <w:rsid w:val="372F7378"/>
    <w:rsid w:val="397348CD"/>
    <w:rsid w:val="3A994AB7"/>
    <w:rsid w:val="3B3B544D"/>
    <w:rsid w:val="3B654F2B"/>
    <w:rsid w:val="3BB72BAE"/>
    <w:rsid w:val="3BFC7D2B"/>
    <w:rsid w:val="3BFDED5B"/>
    <w:rsid w:val="3C7C799C"/>
    <w:rsid w:val="3C8A61A4"/>
    <w:rsid w:val="3D5E17FF"/>
    <w:rsid w:val="3DAF329E"/>
    <w:rsid w:val="3DDF65DD"/>
    <w:rsid w:val="3DFD1951"/>
    <w:rsid w:val="3DFF7085"/>
    <w:rsid w:val="3E1F0DA4"/>
    <w:rsid w:val="3E584E51"/>
    <w:rsid w:val="3E6DFF5D"/>
    <w:rsid w:val="3EBE1ADE"/>
    <w:rsid w:val="3EEB6045"/>
    <w:rsid w:val="3FCB53D0"/>
    <w:rsid w:val="3FFB35EB"/>
    <w:rsid w:val="3FFE739B"/>
    <w:rsid w:val="3FFFDEC7"/>
    <w:rsid w:val="403B4B34"/>
    <w:rsid w:val="4140452A"/>
    <w:rsid w:val="414D7889"/>
    <w:rsid w:val="41BB0BAE"/>
    <w:rsid w:val="429A4992"/>
    <w:rsid w:val="435B161D"/>
    <w:rsid w:val="43B25DAC"/>
    <w:rsid w:val="44771DFD"/>
    <w:rsid w:val="45D569C3"/>
    <w:rsid w:val="4A354E62"/>
    <w:rsid w:val="4AEE1A11"/>
    <w:rsid w:val="4B7F39F4"/>
    <w:rsid w:val="4BAE646F"/>
    <w:rsid w:val="4CAC1559"/>
    <w:rsid w:val="4D754257"/>
    <w:rsid w:val="4DCD6AB3"/>
    <w:rsid w:val="4FBBF41E"/>
    <w:rsid w:val="4FEAE078"/>
    <w:rsid w:val="50216DCD"/>
    <w:rsid w:val="50540C20"/>
    <w:rsid w:val="506258C6"/>
    <w:rsid w:val="51AC28BD"/>
    <w:rsid w:val="52183ACC"/>
    <w:rsid w:val="53B55872"/>
    <w:rsid w:val="54AD4386"/>
    <w:rsid w:val="56B92F48"/>
    <w:rsid w:val="581A7C72"/>
    <w:rsid w:val="583A4BD7"/>
    <w:rsid w:val="587C2104"/>
    <w:rsid w:val="59C74B1F"/>
    <w:rsid w:val="5BFF8CB5"/>
    <w:rsid w:val="5D7DEF8F"/>
    <w:rsid w:val="5FBD69A1"/>
    <w:rsid w:val="5FBF17A7"/>
    <w:rsid w:val="5FF5377A"/>
    <w:rsid w:val="5FF87B1A"/>
    <w:rsid w:val="611B6B1B"/>
    <w:rsid w:val="616F1903"/>
    <w:rsid w:val="62C222C2"/>
    <w:rsid w:val="632D7C40"/>
    <w:rsid w:val="64133D6A"/>
    <w:rsid w:val="675B1D75"/>
    <w:rsid w:val="678E4F5D"/>
    <w:rsid w:val="67EF7C46"/>
    <w:rsid w:val="680E122C"/>
    <w:rsid w:val="6A4E1D63"/>
    <w:rsid w:val="6AAEC9BA"/>
    <w:rsid w:val="6BEB05B6"/>
    <w:rsid w:val="6DE375E4"/>
    <w:rsid w:val="6E8E5287"/>
    <w:rsid w:val="6EEFAA13"/>
    <w:rsid w:val="6FBE332C"/>
    <w:rsid w:val="6FF8EE20"/>
    <w:rsid w:val="71554367"/>
    <w:rsid w:val="71584067"/>
    <w:rsid w:val="735201FF"/>
    <w:rsid w:val="737B50A4"/>
    <w:rsid w:val="73F40E72"/>
    <w:rsid w:val="74566F5C"/>
    <w:rsid w:val="750117A8"/>
    <w:rsid w:val="755B2270"/>
    <w:rsid w:val="756D0455"/>
    <w:rsid w:val="75A9D64A"/>
    <w:rsid w:val="767B308C"/>
    <w:rsid w:val="76920D75"/>
    <w:rsid w:val="77423DFF"/>
    <w:rsid w:val="77F85A45"/>
    <w:rsid w:val="77FF9A21"/>
    <w:rsid w:val="783B5EA9"/>
    <w:rsid w:val="79EB699D"/>
    <w:rsid w:val="7AFA0D0D"/>
    <w:rsid w:val="7B0620DE"/>
    <w:rsid w:val="7BBF44BB"/>
    <w:rsid w:val="7BF15CE4"/>
    <w:rsid w:val="7C3A27E5"/>
    <w:rsid w:val="7D7DDB2B"/>
    <w:rsid w:val="7D7DE384"/>
    <w:rsid w:val="7D9727DD"/>
    <w:rsid w:val="7E7D89FB"/>
    <w:rsid w:val="7EB7CCC1"/>
    <w:rsid w:val="7EDF943D"/>
    <w:rsid w:val="7EFB4F6E"/>
    <w:rsid w:val="7EFFE97F"/>
    <w:rsid w:val="7F1A5E95"/>
    <w:rsid w:val="7F395B1C"/>
    <w:rsid w:val="7FF471D9"/>
    <w:rsid w:val="7FF732F4"/>
    <w:rsid w:val="7FFB0877"/>
    <w:rsid w:val="7FFC7260"/>
    <w:rsid w:val="7FFE107C"/>
    <w:rsid w:val="921DCDB2"/>
    <w:rsid w:val="A46775B8"/>
    <w:rsid w:val="A9C5DFA4"/>
    <w:rsid w:val="AEEF08BF"/>
    <w:rsid w:val="B6731A39"/>
    <w:rsid w:val="B67CF350"/>
    <w:rsid w:val="B7274AE6"/>
    <w:rsid w:val="B79FD79D"/>
    <w:rsid w:val="BB9D4226"/>
    <w:rsid w:val="BBBC5396"/>
    <w:rsid w:val="BBDFDCCD"/>
    <w:rsid w:val="BDBEDF74"/>
    <w:rsid w:val="BDF94BB8"/>
    <w:rsid w:val="C9B9B7E2"/>
    <w:rsid w:val="CF6FC6A9"/>
    <w:rsid w:val="CF6FDE4D"/>
    <w:rsid w:val="D7A51AD4"/>
    <w:rsid w:val="D7C71D86"/>
    <w:rsid w:val="DAFFE800"/>
    <w:rsid w:val="DB7FA50B"/>
    <w:rsid w:val="DBB7234C"/>
    <w:rsid w:val="DEE6BED4"/>
    <w:rsid w:val="DFCF8CDC"/>
    <w:rsid w:val="DFEEBC6E"/>
    <w:rsid w:val="DFF9E878"/>
    <w:rsid w:val="EBE6D05A"/>
    <w:rsid w:val="EC77BDEB"/>
    <w:rsid w:val="EF1FB877"/>
    <w:rsid w:val="EF3F27D1"/>
    <w:rsid w:val="F3ABDAF2"/>
    <w:rsid w:val="F3FE1660"/>
    <w:rsid w:val="F65EB4A3"/>
    <w:rsid w:val="F9FBFB7B"/>
    <w:rsid w:val="FCE75AC1"/>
    <w:rsid w:val="FDAFD04E"/>
    <w:rsid w:val="FFA568CB"/>
    <w:rsid w:val="FFBE060A"/>
    <w:rsid w:val="FFEED1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方正仿宋_GB2312" w:hAnsi="Times New Roman" w:eastAsia="方正仿宋_GB2312" w:cs="方正仿宋_GB2312"/>
      <w:color w:val="000000"/>
      <w:sz w:val="24"/>
      <w:szCs w:val="24"/>
      <w:lang w:val="en-US" w:eastAsia="zh-CN" w:bidi="ar-SA"/>
    </w:rPr>
  </w:style>
  <w:style w:type="paragraph" w:styleId="6">
    <w:name w:val="Body Text"/>
    <w:basedOn w:val="1"/>
    <w:next w:val="7"/>
    <w:qFormat/>
    <w:uiPriority w:val="0"/>
    <w:pPr>
      <w:spacing w:line="360" w:lineRule="auto"/>
    </w:pPr>
    <w:rPr>
      <w:sz w:val="24"/>
      <w:szCs w:val="20"/>
    </w:rPr>
  </w:style>
  <w:style w:type="paragraph" w:styleId="7">
    <w:name w:val="Date"/>
    <w:basedOn w:val="1"/>
    <w:next w:val="1"/>
    <w:qFormat/>
    <w:uiPriority w:val="0"/>
    <w:pPr>
      <w:ind w:left="100" w:leftChars="2500"/>
    </w:pPr>
    <w:rPr>
      <w:rFonts w:eastAsia="黑体"/>
      <w:b/>
      <w:spacing w:val="-2"/>
      <w:sz w:val="30"/>
    </w:rPr>
  </w:style>
  <w:style w:type="paragraph" w:styleId="8">
    <w:name w:val="Body Text Indent"/>
    <w:basedOn w:val="1"/>
    <w:next w:val="9"/>
    <w:autoRedefine/>
    <w:qFormat/>
    <w:uiPriority w:val="99"/>
    <w:pPr>
      <w:spacing w:line="400" w:lineRule="exact"/>
      <w:ind w:left="630"/>
    </w:pPr>
    <w:rPr>
      <w:rFonts w:ascii="楷体_GB2312"/>
      <w:sz w:val="30"/>
      <w:szCs w:val="30"/>
    </w:rPr>
  </w:style>
  <w:style w:type="paragraph" w:styleId="9">
    <w:name w:val="Body Text First Indent 2"/>
    <w:basedOn w:val="8"/>
    <w:autoRedefine/>
    <w:qFormat/>
    <w:uiPriority w:val="0"/>
    <w:pPr>
      <w:overflowPunct w:val="0"/>
      <w:adjustRightInd w:val="0"/>
      <w:spacing w:line="500" w:lineRule="exact"/>
      <w:ind w:firstLine="420" w:firstLineChars="200"/>
      <w:textAlignment w:val="baseline"/>
    </w:pPr>
    <w:rPr>
      <w:rFonts w:eastAsia="方正仿宋_GB2312"/>
      <w:kern w:val="28"/>
      <w:sz w:val="28"/>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大标题"/>
    <w:basedOn w:val="1"/>
    <w:next w:val="9"/>
    <w:autoRedefine/>
    <w:qFormat/>
    <w:uiPriority w:val="0"/>
    <w:pPr>
      <w:jc w:val="center"/>
    </w:pPr>
    <w:rPr>
      <w:rFonts w:ascii="Arial" w:hAnsi="Arial" w:eastAsia="宋体"/>
      <w:b/>
      <w:sz w:val="28"/>
      <w:szCs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link w:val="1"/>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6471</Words>
  <Characters>6659</Characters>
  <Lines>0</Lines>
  <Paragraphs>0</Paragraphs>
  <TotalTime>0</TotalTime>
  <ScaleCrop>false</ScaleCrop>
  <LinksUpToDate>false</LinksUpToDate>
  <CharactersWithSpaces>7131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2023-07-22T17:45:00Z</dcterms:created>
  <dc:creator>是小豹子</dc:creator>
  <cp:lastModifiedBy>沁sqr</cp:lastModifiedBy>
  <dcterms:modified xsi:type="dcterms:W3CDTF">2026-06-26T13:43:21Z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