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6"/>
        <w:snapToGrid w:val="0"/>
        <w:jc w:val="center"/>
        <w:rPr>
          <w:rFonts w:hint="eastAsia" w:ascii="Arial" w:hAnsi="Arial" w:eastAsia="方正小标宋简体" w:cs="Arial"/>
          <w:color w:val="auto"/>
          <w:sz w:val="72"/>
          <w:szCs w:val="72"/>
          <w:lang w:eastAsia="zh-CN"/>
        </w:rPr>
      </w:pPr>
      <w:bookmarkStart w:id="0" w:name="_Toc16523570"/>
    </w:p>
    <w:p w14:paraId="624C34B6">
      <w:pPr>
        <w:pStyle w:val="6"/>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6"/>
        <w:snapToGrid w:val="0"/>
        <w:jc w:val="center"/>
        <w:rPr>
          <w:rFonts w:hint="eastAsia" w:ascii="Arial" w:hAnsi="Arial" w:eastAsia="方正小标宋简体" w:cs="Arial"/>
          <w:sz w:val="72"/>
          <w:szCs w:val="72"/>
        </w:rPr>
      </w:pPr>
    </w:p>
    <w:p w14:paraId="16E58BC0">
      <w:pPr>
        <w:pStyle w:val="6"/>
        <w:snapToGrid w:val="0"/>
        <w:jc w:val="center"/>
        <w:rPr>
          <w:rFonts w:hint="eastAsia" w:ascii="Arial" w:hAnsi="Arial" w:eastAsia="方正小标宋简体" w:cs="Arial"/>
          <w:sz w:val="72"/>
          <w:szCs w:val="72"/>
        </w:rPr>
      </w:pPr>
    </w:p>
    <w:p w14:paraId="7D3C3256">
      <w:pPr>
        <w:pStyle w:val="6"/>
        <w:snapToGrid w:val="0"/>
        <w:jc w:val="center"/>
        <w:rPr>
          <w:rFonts w:hint="eastAsia" w:ascii="Arial" w:hAnsi="Arial" w:eastAsia="方正小标宋简体" w:cs="Arial"/>
          <w:sz w:val="72"/>
          <w:szCs w:val="72"/>
        </w:rPr>
      </w:pPr>
    </w:p>
    <w:p w14:paraId="11608FC0">
      <w:pPr>
        <w:pStyle w:val="6"/>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6"/>
        <w:snapToGrid w:val="0"/>
        <w:jc w:val="center"/>
        <w:rPr>
          <w:rFonts w:ascii="Arial" w:hAnsi="Arial" w:cs="Arial"/>
          <w:sz w:val="32"/>
          <w:szCs w:val="32"/>
        </w:rPr>
      </w:pPr>
    </w:p>
    <w:p w14:paraId="46311545">
      <w:pPr>
        <w:pStyle w:val="16"/>
        <w:rPr>
          <w:rFonts w:ascii="Arial" w:hAnsi="Arial" w:cs="Arial"/>
          <w:sz w:val="32"/>
          <w:szCs w:val="32"/>
        </w:rPr>
      </w:pPr>
    </w:p>
    <w:p w14:paraId="5F00027D">
      <w:pPr>
        <w:pStyle w:val="12"/>
        <w:rPr>
          <w:rFonts w:ascii="Arial" w:hAnsi="Arial" w:cs="Arial"/>
          <w:sz w:val="32"/>
          <w:szCs w:val="32"/>
        </w:rPr>
      </w:pPr>
    </w:p>
    <w:p w14:paraId="790E99FE">
      <w:pPr>
        <w:pStyle w:val="12"/>
        <w:rPr>
          <w:rFonts w:ascii="Arial" w:hAnsi="Arial" w:cs="Arial"/>
          <w:sz w:val="32"/>
          <w:szCs w:val="32"/>
        </w:rPr>
      </w:pPr>
    </w:p>
    <w:p w14:paraId="6D6CF557">
      <w:pPr>
        <w:pStyle w:val="12"/>
        <w:rPr>
          <w:rFonts w:ascii="Arial" w:hAnsi="Arial" w:cs="Arial"/>
          <w:sz w:val="32"/>
          <w:szCs w:val="32"/>
        </w:rPr>
      </w:pPr>
    </w:p>
    <w:p w14:paraId="77BABE1C">
      <w:pPr>
        <w:pStyle w:val="12"/>
        <w:rPr>
          <w:rFonts w:ascii="Arial" w:hAnsi="Arial" w:cs="Arial"/>
          <w:sz w:val="32"/>
          <w:szCs w:val="32"/>
        </w:rPr>
      </w:pPr>
    </w:p>
    <w:p w14:paraId="1C0FB295">
      <w:pPr>
        <w:pStyle w:val="12"/>
        <w:rPr>
          <w:rFonts w:ascii="Arial" w:hAnsi="Arial" w:cs="Arial"/>
          <w:sz w:val="32"/>
          <w:szCs w:val="32"/>
        </w:rPr>
      </w:pPr>
    </w:p>
    <w:p w14:paraId="4C96CB97">
      <w:pPr>
        <w:pStyle w:val="12"/>
        <w:rPr>
          <w:rFonts w:ascii="Arial" w:hAnsi="Arial" w:cs="Arial"/>
          <w:sz w:val="32"/>
          <w:szCs w:val="32"/>
        </w:rPr>
      </w:pPr>
    </w:p>
    <w:p w14:paraId="1825AAC5">
      <w:pPr>
        <w:pStyle w:val="12"/>
        <w:rPr>
          <w:rFonts w:ascii="Arial" w:hAnsi="Arial" w:cs="Arial"/>
          <w:sz w:val="32"/>
          <w:szCs w:val="32"/>
        </w:rPr>
      </w:pPr>
    </w:p>
    <w:p w14:paraId="1B92FFA5">
      <w:pPr>
        <w:pStyle w:val="6"/>
        <w:snapToGrid w:val="0"/>
        <w:jc w:val="center"/>
        <w:rPr>
          <w:rFonts w:ascii="Arial" w:hAnsi="Arial" w:cs="Arial"/>
          <w:sz w:val="32"/>
          <w:szCs w:val="32"/>
        </w:rPr>
      </w:pPr>
    </w:p>
    <w:p w14:paraId="3EB4A47A">
      <w:pPr>
        <w:pStyle w:val="6"/>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pStyle w:val="11"/>
        <w:keepNext w:val="0"/>
        <w:keepLines w:val="0"/>
        <w:widowControl/>
        <w:suppressLineNumbers w:val="0"/>
        <w:spacing w:before="0" w:beforeAutospacing="0" w:after="0" w:afterAutospacing="0"/>
        <w:ind w:left="0" w:right="0" w:firstLine="0"/>
        <w:jc w:val="center"/>
        <w:rPr>
          <w:rFonts w:hint="default" w:ascii="Times New Roman" w:hAnsi="Times New Roman" w:eastAsia="宋体" w:cs="Times New Roman"/>
          <w:b/>
          <w:bCs/>
          <w:kern w:val="44"/>
          <w:sz w:val="32"/>
          <w:szCs w:val="32"/>
          <w:lang w:val="en-US" w:eastAsia="zh-CN" w:bidi="ar-SA"/>
        </w:rPr>
      </w:pPr>
      <w:r>
        <w:rPr>
          <w:rFonts w:hint="eastAsia" w:ascii="Times New Roman" w:hAnsi="Times New Roman" w:eastAsia="宋体" w:cs="Times New Roman"/>
          <w:b/>
          <w:bCs/>
          <w:kern w:val="44"/>
          <w:sz w:val="32"/>
          <w:szCs w:val="32"/>
          <w:lang w:val="en-US" w:eastAsia="zh-CN" w:bidi="ar-SA"/>
        </w:rPr>
        <w:t>（半自动转轮式切片机医院公开挂网）</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六</w:t>
      </w:r>
      <w:r>
        <w:rPr>
          <w:rFonts w:hint="eastAsia" w:ascii="宋体" w:hAnsi="宋体" w:cs="宋体"/>
          <w:bCs/>
          <w:sz w:val="32"/>
          <w:szCs w:val="32"/>
        </w:rPr>
        <w:t>年</w:t>
      </w:r>
      <w:r>
        <w:rPr>
          <w:rFonts w:hint="eastAsia" w:ascii="宋体" w:hAnsi="宋体" w:cs="宋体"/>
          <w:bCs/>
          <w:sz w:val="32"/>
          <w:szCs w:val="32"/>
          <w:lang w:eastAsia="zh-CN"/>
        </w:rPr>
        <w:t>五</w:t>
      </w:r>
      <w:r>
        <w:rPr>
          <w:rFonts w:hint="eastAsia" w:ascii="宋体" w:hAnsi="宋体" w:cs="宋体"/>
          <w:bCs/>
          <w:sz w:val="32"/>
          <w:szCs w:val="32"/>
        </w:rPr>
        <w:t>月</w:t>
      </w:r>
    </w:p>
    <w:p w14:paraId="4F5472A4">
      <w:pPr>
        <w:pStyle w:val="2"/>
        <w:numPr>
          <w:ilvl w:val="0"/>
          <w:numId w:val="0"/>
        </w:numPr>
        <w:spacing w:line="240" w:lineRule="auto"/>
        <w:ind w:leftChars="0"/>
        <w:jc w:val="center"/>
        <w:rPr>
          <w:rFonts w:hint="eastAsia" w:ascii="宋体" w:hAnsi="宋体" w:cs="宋体"/>
          <w:color w:val="auto"/>
          <w:sz w:val="44"/>
          <w:szCs w:val="44"/>
          <w:lang w:val="en-US" w:eastAsia="zh-CN"/>
        </w:rPr>
      </w:pP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1"/>
        <w:keepNext w:val="0"/>
        <w:keepLines w:val="0"/>
        <w:widowControl/>
        <w:suppressLineNumbers w:val="0"/>
        <w:spacing w:before="0" w:beforeAutospacing="0" w:after="0" w:afterAutospacing="0"/>
        <w:ind w:left="0" w:right="0" w:firstLine="360" w:firstLineChars="150"/>
        <w:rPr>
          <w:rFonts w:hint="eastAsia" w:asciiTheme="minorEastAsia" w:hAnsiTheme="minorEastAsia" w:eastAsiaTheme="minorEastAsia" w:cstheme="minorEastAsia"/>
          <w:bCs/>
          <w:color w:val="auto"/>
          <w:sz w:val="24"/>
          <w:szCs w:val="24"/>
          <w:lang w:val="en-US" w:eastAsia="zh-CN"/>
        </w:rPr>
      </w:pPr>
      <w:r>
        <w:rPr>
          <w:u w:val="single"/>
        </w:rPr>
        <w:t>半自动转轮式切片机</w:t>
      </w:r>
      <w:r>
        <w:rPr>
          <w:rFonts w:hint="eastAsia" w:asciiTheme="minorEastAsia" w:hAnsiTheme="minorEastAsia" w:eastAsiaTheme="minorEastAsia" w:cstheme="minorEastAsia"/>
          <w:bCs/>
          <w:color w:val="auto"/>
          <w:sz w:val="24"/>
          <w:szCs w:val="24"/>
          <w:u w:val="none"/>
          <w:lang w:val="en-US" w:eastAsia="zh-CN"/>
        </w:rPr>
        <w:t>项目</w:t>
      </w:r>
      <w:r>
        <w:rPr>
          <w:rFonts w:hint="eastAsia" w:asciiTheme="minorEastAsia" w:hAnsiTheme="minorEastAsia" w:eastAsiaTheme="minorEastAsia" w:cstheme="minorEastAsia"/>
          <w:bCs/>
          <w:color w:val="auto"/>
          <w:sz w:val="24"/>
          <w:szCs w:val="24"/>
          <w:lang w:val="en-US" w:eastAsia="zh-CN"/>
        </w:rPr>
        <w:t>进行医院公开挂网，将事项公告如下：</w:t>
      </w:r>
    </w:p>
    <w:p w14:paraId="435321EC">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3932C94C">
      <w:pPr>
        <w:pStyle w:val="11"/>
        <w:keepNext w:val="0"/>
        <w:keepLines w:val="0"/>
        <w:widowControl/>
        <w:suppressLineNumbers w:val="0"/>
        <w:spacing w:before="0" w:beforeAutospacing="0" w:after="0" w:afterAutospacing="0"/>
        <w:ind w:left="0" w:right="0" w:firstLine="360" w:firstLineChars="150"/>
      </w:pPr>
      <w:r>
        <w:rPr>
          <w:rFonts w:hint="eastAsia" w:asciiTheme="minorEastAsia" w:hAnsiTheme="minorEastAsia" w:eastAsiaTheme="minorEastAsia" w:cstheme="minorEastAsia"/>
          <w:b w:val="0"/>
          <w:bCs/>
          <w:color w:val="auto"/>
          <w:sz w:val="24"/>
          <w:szCs w:val="24"/>
          <w:lang w:val="en-US" w:eastAsia="zh-CN"/>
        </w:rPr>
        <w:t>项目名称：</w:t>
      </w:r>
      <w:r>
        <w:rPr>
          <w:u w:val="single"/>
        </w:rPr>
        <w:t>半自动转轮式切片机</w:t>
      </w:r>
      <w:r>
        <w:rPr>
          <w:rFonts w:hint="eastAsia" w:asciiTheme="minorEastAsia" w:hAnsiTheme="minorEastAsia" w:eastAsiaTheme="minorEastAsia" w:cstheme="minorEastAsia"/>
          <w:bCs/>
          <w:color w:val="auto"/>
          <w:sz w:val="24"/>
          <w:szCs w:val="24"/>
          <w:u w:val="none"/>
          <w:lang w:val="en-US" w:eastAsia="zh-CN"/>
        </w:rPr>
        <w:t>项目</w:t>
      </w:r>
    </w:p>
    <w:p w14:paraId="0AC8FEC7">
      <w:pPr>
        <w:pStyle w:val="6"/>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bookmarkEnd w:id="0"/>
    <w:p w14:paraId="76DBA799">
      <w:pPr>
        <w:pStyle w:val="6"/>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03E8934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E28611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1、投标截止时间、开标时间：见医院官网公开挂网表</w:t>
      </w:r>
    </w:p>
    <w:p w14:paraId="0808AD5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AB872F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6"/>
        <w:rPr>
          <w:rFonts w:hint="eastAsia"/>
          <w:lang w:val="en-US" w:eastAsia="zh-CN"/>
        </w:rPr>
      </w:pPr>
    </w:p>
    <w:p w14:paraId="687E9235">
      <w:pPr>
        <w:pStyle w:val="16"/>
        <w:jc w:val="both"/>
        <w:rPr>
          <w:rFonts w:hint="default"/>
          <w:lang w:val="en-US" w:eastAsia="zh-CN"/>
        </w:rPr>
      </w:pPr>
    </w:p>
    <w:p w14:paraId="7AECD5DA">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6"/>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3"/>
        <w:tblW w:w="968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386"/>
      </w:tblGrid>
      <w:tr w14:paraId="20CC542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7B7E320">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是否允许进口产品</w:t>
            </w:r>
          </w:p>
        </w:tc>
      </w:tr>
      <w:tr w14:paraId="4C6A9AF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eastAsia="zh-CN"/>
              </w:rPr>
              <w:t>半自动转轮式切片机</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r>
              <w:rPr>
                <w:rFonts w:hint="default"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default" w:asciiTheme="minorEastAsia" w:hAnsiTheme="minorEastAsia" w:eastAsiaTheme="minorEastAsia" w:cstheme="minorEastAsia"/>
                <w:kern w:val="2"/>
                <w:sz w:val="24"/>
                <w:szCs w:val="24"/>
                <w:lang w:val="en-US" w:eastAsia="zh-CN"/>
              </w:rPr>
              <w:t>16.8</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425AB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否</w:t>
            </w:r>
          </w:p>
        </w:tc>
      </w:tr>
    </w:tbl>
    <w:p w14:paraId="39DE11E6">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14:paraId="336CF4AB">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w:t>
      </w:r>
    </w:p>
    <w:p w14:paraId="4B9EAA40">
      <w:pPr>
        <w:keepNext w:val="0"/>
        <w:keepLines w:val="0"/>
        <w:pageBreakBefore w:val="0"/>
        <w:widowControl w:val="0"/>
        <w:kinsoku/>
        <w:wordWrap/>
        <w:topLinePunct w:val="0"/>
        <w:autoSpaceDE/>
        <w:autoSpaceDN/>
        <w:bidi w:val="0"/>
        <w:snapToGrid/>
        <w:ind w:firstLine="482" w:firstLineChars="200"/>
        <w:jc w:val="both"/>
        <w:textAlignment w:val="baseline"/>
        <w:rPr>
          <w:rStyle w:val="21"/>
          <w:rFonts w:hint="eastAsia" w:asciiTheme="minorEastAsia" w:hAnsiTheme="minorEastAsia" w:eastAsiaTheme="minorEastAsia" w:cstheme="minorEastAsia"/>
          <w:b/>
          <w:kern w:val="2"/>
          <w:sz w:val="24"/>
          <w:szCs w:val="24"/>
          <w:lang w:val="en-US" w:eastAsia="zh-CN" w:bidi="ar-SA"/>
        </w:rPr>
      </w:pPr>
      <w:r>
        <w:rPr>
          <w:rStyle w:val="21"/>
          <w:rFonts w:hint="eastAsia" w:asciiTheme="minorEastAsia" w:hAnsiTheme="minorEastAsia" w:eastAsiaTheme="minorEastAsia" w:cstheme="minorEastAsia"/>
          <w:b/>
          <w:kern w:val="2"/>
          <w:sz w:val="24"/>
          <w:szCs w:val="24"/>
          <w:lang w:val="en-US" w:eastAsia="zh-CN" w:bidi="ar-SA"/>
        </w:rPr>
        <w:t>（一）技术参数</w:t>
      </w:r>
    </w:p>
    <w:p w14:paraId="72FCE86A">
      <w:pPr>
        <w:tabs>
          <w:tab w:val="left" w:pos="849"/>
          <w:tab w:val="left" w:pos="4111"/>
        </w:tabs>
        <w:ind w:left="95"/>
        <w:jc w:val="left"/>
        <w:rPr>
          <w:rFonts w:ascii="宋体" w:hAnsi="宋体"/>
          <w:b/>
        </w:rPr>
      </w:pPr>
      <w:r>
        <w:rPr>
          <w:rFonts w:hint="eastAsia" w:ascii="宋体" w:hAnsi="宋体"/>
          <w:b/>
        </w:rPr>
        <w:t>序号</w:t>
      </w:r>
      <w:r>
        <w:rPr>
          <w:rFonts w:ascii="宋体" w:hAnsi="宋体"/>
          <w:b/>
        </w:rPr>
        <w:tab/>
      </w:r>
      <w:r>
        <w:rPr>
          <w:rFonts w:hint="eastAsia" w:ascii="宋体" w:hAnsi="宋体"/>
          <w:b/>
        </w:rPr>
        <w:t>参数项目</w:t>
      </w:r>
      <w:r>
        <w:rPr>
          <w:rFonts w:ascii="宋体" w:hAnsi="宋体"/>
          <w:b/>
        </w:rPr>
        <w:tab/>
      </w:r>
      <w:r>
        <w:rPr>
          <w:rFonts w:hint="eastAsia" w:ascii="宋体" w:hAnsi="宋体"/>
          <w:b/>
        </w:rPr>
        <w:t>具体指标</w:t>
      </w:r>
    </w:p>
    <w:p w14:paraId="34F36736">
      <w:pPr>
        <w:numPr>
          <w:ilvl w:val="0"/>
          <w:numId w:val="3"/>
        </w:numPr>
        <w:tabs>
          <w:tab w:val="left" w:pos="849"/>
          <w:tab w:val="left" w:pos="4111"/>
        </w:tabs>
        <w:ind w:left="4084" w:leftChars="45" w:hanging="3990" w:hangingChars="1900"/>
        <w:jc w:val="left"/>
        <w:rPr>
          <w:rFonts w:hint="eastAsia" w:ascii="宋体" w:hAnsi="宋体" w:cs="Times New Roman"/>
          <w:lang w:val="en-US" w:eastAsia="zh-CN"/>
        </w:rPr>
      </w:pPr>
      <w:r>
        <w:rPr>
          <w:rFonts w:ascii="宋体" w:hAnsi="宋体"/>
        </w:rPr>
        <w:t>切片厚度</w:t>
      </w:r>
      <w:r>
        <w:rPr>
          <w:rFonts w:hint="eastAsia" w:ascii="宋体" w:hAnsi="宋体"/>
          <w:lang w:val="en-US" w:eastAsia="zh-CN"/>
        </w:rPr>
        <w:t>范围</w:t>
      </w:r>
      <w:r>
        <w:rPr>
          <w:rFonts w:ascii="宋体" w:hAnsi="宋体"/>
        </w:rPr>
        <w:tab/>
      </w:r>
      <w:r>
        <w:rPr>
          <w:rFonts w:hint="eastAsia" w:ascii="宋体" w:hAnsi="宋体" w:cs="Times New Roman"/>
          <w:lang w:val="en-US" w:eastAsia="zh-CN"/>
        </w:rPr>
        <w:t>0.5–100μm</w:t>
      </w:r>
    </w:p>
    <w:p w14:paraId="61C98885">
      <w:pPr>
        <w:numPr>
          <w:ilvl w:val="0"/>
          <w:numId w:val="3"/>
        </w:numPr>
        <w:tabs>
          <w:tab w:val="left" w:pos="849"/>
          <w:tab w:val="left" w:pos="4111"/>
        </w:tabs>
        <w:ind w:left="4084" w:leftChars="45" w:hanging="3990" w:hangingChars="1900"/>
        <w:jc w:val="left"/>
        <w:rPr>
          <w:rFonts w:ascii="宋体" w:hAnsi="宋体"/>
        </w:rPr>
      </w:pPr>
      <w:r>
        <w:rPr>
          <w:rFonts w:hint="eastAsia" w:ascii="宋体" w:hAnsi="宋体" w:cs="Times New Roman"/>
          <w:lang w:val="en-US" w:eastAsia="zh-CN"/>
        </w:rPr>
        <w:t>切片厚度设置                   0.5–5μm 以 0.5μm 递增</w:t>
      </w:r>
      <w:r>
        <w:rPr>
          <w:rFonts w:hint="eastAsia" w:ascii="宋体" w:hAnsi="宋体" w:cs="Times New Roman"/>
          <w:lang w:val="en-US" w:eastAsia="zh-CN"/>
        </w:rPr>
        <w:br w:type="textWrapping"/>
      </w:r>
      <w:r>
        <w:rPr>
          <w:rFonts w:hint="eastAsia" w:ascii="宋体" w:hAnsi="宋体" w:cs="Times New Roman"/>
          <w:lang w:val="en-US" w:eastAsia="zh-CN"/>
        </w:rPr>
        <w:t>5–20μm 以 1μm 递增</w:t>
      </w:r>
      <w:r>
        <w:rPr>
          <w:rFonts w:hint="eastAsia" w:ascii="宋体" w:hAnsi="宋体" w:cs="Times New Roman"/>
          <w:lang w:val="en-US" w:eastAsia="zh-CN"/>
        </w:rPr>
        <w:br w:type="textWrapping"/>
      </w:r>
      <w:r>
        <w:rPr>
          <w:rFonts w:hint="eastAsia" w:ascii="宋体" w:hAnsi="宋体" w:cs="Times New Roman"/>
          <w:lang w:val="en-US" w:eastAsia="zh-CN"/>
        </w:rPr>
        <w:t>20–50 μm 以 5μm 递增</w:t>
      </w:r>
      <w:r>
        <w:rPr>
          <w:rFonts w:hint="eastAsia" w:ascii="宋体" w:hAnsi="宋体" w:cs="Times New Roman"/>
          <w:lang w:val="en-US" w:eastAsia="zh-CN"/>
        </w:rPr>
        <w:br w:type="textWrapping"/>
      </w:r>
      <w:r>
        <w:rPr>
          <w:rFonts w:hint="eastAsia" w:ascii="宋体" w:hAnsi="宋体" w:cs="Times New Roman"/>
          <w:lang w:val="en-US" w:eastAsia="zh-CN"/>
        </w:rPr>
        <w:t>50–100μm 以 10 μm 递增</w:t>
      </w:r>
    </w:p>
    <w:p w14:paraId="75C1C1B7">
      <w:pPr>
        <w:numPr>
          <w:ilvl w:val="0"/>
          <w:numId w:val="3"/>
        </w:numPr>
        <w:tabs>
          <w:tab w:val="left" w:pos="849"/>
          <w:tab w:val="left" w:pos="4111"/>
        </w:tabs>
        <w:ind w:left="4084" w:leftChars="45" w:hanging="3990" w:hangingChars="1900"/>
        <w:jc w:val="left"/>
        <w:rPr>
          <w:rFonts w:hint="eastAsia" w:ascii="宋体" w:hAnsi="宋体"/>
          <w:lang w:val="en-US" w:eastAsia="zh-CN"/>
        </w:rPr>
      </w:pPr>
      <w:r>
        <w:rPr>
          <w:rFonts w:ascii="宋体" w:hAnsi="宋体"/>
        </w:rPr>
        <w:t>修片厚度</w:t>
      </w:r>
      <w:r>
        <w:rPr>
          <w:rFonts w:hint="eastAsia" w:ascii="宋体" w:hAnsi="宋体"/>
          <w:lang w:val="en-US" w:eastAsia="zh-CN"/>
        </w:rPr>
        <w:t>范围</w:t>
      </w:r>
      <w:r>
        <w:rPr>
          <w:rFonts w:ascii="宋体" w:hAnsi="宋体"/>
        </w:rPr>
        <w:tab/>
      </w:r>
      <w:r>
        <w:rPr>
          <w:rFonts w:hint="eastAsia" w:ascii="宋体" w:hAnsi="宋体"/>
          <w:lang w:val="en-US" w:eastAsia="zh-CN"/>
        </w:rPr>
        <w:t>1-800μm</w:t>
      </w:r>
    </w:p>
    <w:p w14:paraId="4009E960">
      <w:pPr>
        <w:numPr>
          <w:ilvl w:val="0"/>
          <w:numId w:val="3"/>
        </w:numPr>
        <w:tabs>
          <w:tab w:val="left" w:pos="849"/>
          <w:tab w:val="left" w:pos="4111"/>
        </w:tabs>
        <w:ind w:left="4084" w:leftChars="45" w:hanging="3990" w:hangingChars="1900"/>
        <w:jc w:val="left"/>
        <w:rPr>
          <w:rFonts w:hint="default" w:ascii="宋体" w:hAnsi="宋体"/>
          <w:lang w:val="en-US" w:eastAsia="zh-CN"/>
        </w:rPr>
      </w:pPr>
      <w:r>
        <w:rPr>
          <w:rFonts w:hint="eastAsia" w:ascii="宋体" w:hAnsi="宋体"/>
          <w:lang w:val="en-US" w:eastAsia="zh-CN"/>
        </w:rPr>
        <w:t xml:space="preserve">修片厚度设置                  </w:t>
      </w:r>
      <w:r>
        <w:rPr>
          <w:rFonts w:hint="eastAsia" w:ascii="宋体" w:hAnsi="宋体" w:cs="Times New Roman"/>
          <w:lang w:val="en-US" w:eastAsia="zh-CN"/>
        </w:rPr>
        <w:t xml:space="preserve"> 1–10μm 以 1μm 递增</w:t>
      </w:r>
      <w:r>
        <w:rPr>
          <w:rFonts w:hint="eastAsia" w:ascii="宋体" w:hAnsi="宋体" w:cs="Times New Roman"/>
          <w:lang w:val="en-US" w:eastAsia="zh-CN"/>
        </w:rPr>
        <w:br w:type="textWrapping"/>
      </w:r>
      <w:r>
        <w:rPr>
          <w:rFonts w:hint="eastAsia" w:ascii="宋体" w:hAnsi="宋体" w:cs="Times New Roman"/>
          <w:lang w:val="en-US" w:eastAsia="zh-CN"/>
        </w:rPr>
        <w:t>10–20μm 以 2 μm 递增</w:t>
      </w:r>
      <w:r>
        <w:rPr>
          <w:rFonts w:hint="eastAsia" w:ascii="宋体" w:hAnsi="宋体" w:cs="Times New Roman"/>
          <w:lang w:val="en-US" w:eastAsia="zh-CN"/>
        </w:rPr>
        <w:br w:type="textWrapping"/>
      </w:r>
      <w:r>
        <w:rPr>
          <w:rFonts w:hint="eastAsia" w:ascii="宋体" w:hAnsi="宋体" w:cs="Times New Roman"/>
          <w:lang w:val="en-US" w:eastAsia="zh-CN"/>
        </w:rPr>
        <w:t>20–50μm 以 5μm 递增</w:t>
      </w:r>
      <w:r>
        <w:rPr>
          <w:rFonts w:hint="eastAsia" w:ascii="宋体" w:hAnsi="宋体" w:cs="Times New Roman"/>
          <w:lang w:val="en-US" w:eastAsia="zh-CN"/>
        </w:rPr>
        <w:br w:type="textWrapping"/>
      </w:r>
      <w:r>
        <w:rPr>
          <w:rFonts w:hint="eastAsia" w:ascii="宋体" w:hAnsi="宋体" w:cs="Times New Roman"/>
          <w:lang w:val="en-US" w:eastAsia="zh-CN"/>
        </w:rPr>
        <w:t>50–100μm 以 10μm 递增</w:t>
      </w:r>
      <w:r>
        <w:rPr>
          <w:rFonts w:hint="eastAsia" w:ascii="宋体" w:hAnsi="宋体" w:cs="Times New Roman"/>
          <w:lang w:val="en-US" w:eastAsia="zh-CN"/>
        </w:rPr>
        <w:br w:type="textWrapping"/>
      </w:r>
      <w:r>
        <w:rPr>
          <w:rFonts w:hint="eastAsia" w:ascii="宋体" w:hAnsi="宋体" w:cs="Times New Roman"/>
          <w:lang w:val="en-US" w:eastAsia="zh-CN"/>
        </w:rPr>
        <w:t>100–800μm 以 50μm 递增</w:t>
      </w:r>
    </w:p>
    <w:p w14:paraId="46534B71">
      <w:pPr>
        <w:tabs>
          <w:tab w:val="left" w:pos="849"/>
          <w:tab w:val="left" w:pos="4111"/>
        </w:tabs>
        <w:ind w:left="95"/>
        <w:jc w:val="left"/>
        <w:rPr>
          <w:rFonts w:hint="default" w:ascii="宋体" w:hAnsi="宋体" w:eastAsia="宋体"/>
          <w:lang w:val="en-US" w:eastAsia="zh-CN"/>
        </w:rPr>
      </w:pPr>
      <w:r>
        <w:rPr>
          <w:rFonts w:hint="eastAsia" w:ascii="宋体" w:hAnsi="宋体"/>
          <w:lang w:val="en-US" w:eastAsia="zh-CN"/>
        </w:rPr>
        <w:t>5</w:t>
      </w:r>
      <w:r>
        <w:rPr>
          <w:rFonts w:ascii="宋体" w:hAnsi="宋体"/>
        </w:rPr>
        <w:tab/>
      </w:r>
      <w:r>
        <w:rPr>
          <w:rFonts w:ascii="宋体" w:hAnsi="宋体"/>
        </w:rPr>
        <w:t>样本夹头最大垂直行程</w:t>
      </w:r>
      <w:r>
        <w:rPr>
          <w:rFonts w:ascii="宋体" w:hAnsi="宋体"/>
        </w:rPr>
        <w:tab/>
      </w:r>
      <w:r>
        <w:rPr>
          <w:rFonts w:hint="eastAsia" w:ascii="宋体" w:hAnsi="宋体"/>
          <w:lang w:val="en-US" w:eastAsia="zh-CN"/>
        </w:rPr>
        <w:t>70±1mm</w:t>
      </w:r>
    </w:p>
    <w:p w14:paraId="2EB6DE8C">
      <w:pPr>
        <w:tabs>
          <w:tab w:val="left" w:pos="849"/>
          <w:tab w:val="left" w:pos="4111"/>
        </w:tabs>
        <w:ind w:left="95"/>
        <w:jc w:val="left"/>
        <w:rPr>
          <w:rFonts w:hint="default" w:ascii="宋体" w:hAnsi="宋体" w:eastAsia="宋体"/>
          <w:lang w:val="en-US" w:eastAsia="zh-CN"/>
        </w:rPr>
      </w:pPr>
      <w:r>
        <w:rPr>
          <w:rFonts w:hint="eastAsia" w:ascii="宋体" w:hAnsi="宋体"/>
          <w:lang w:val="en-US" w:eastAsia="zh-CN"/>
        </w:rPr>
        <w:t>6</w:t>
      </w:r>
      <w:r>
        <w:rPr>
          <w:rFonts w:hint="eastAsia" w:ascii="宋体" w:hAnsi="宋体" w:eastAsia="宋体" w:cs="宋体"/>
          <w:lang w:val="en-US" w:eastAsia="zh-CN"/>
        </w:rPr>
        <w:t>▲</w:t>
      </w:r>
      <w:r>
        <w:rPr>
          <w:rFonts w:ascii="宋体" w:hAnsi="宋体"/>
        </w:rPr>
        <w:tab/>
      </w:r>
      <w:r>
        <w:rPr>
          <w:rFonts w:ascii="宋体" w:hAnsi="宋体"/>
        </w:rPr>
        <w:t>样本夹头最大水平行程</w:t>
      </w:r>
      <w:r>
        <w:rPr>
          <w:rFonts w:ascii="宋体" w:hAnsi="宋体"/>
        </w:rPr>
        <w:tab/>
      </w:r>
      <w:r>
        <w:rPr>
          <w:rFonts w:hint="eastAsia" w:ascii="宋体" w:hAnsi="宋体"/>
          <w:lang w:val="en-US" w:eastAsia="zh-CN"/>
        </w:rPr>
        <w:t>30±1mm</w:t>
      </w:r>
    </w:p>
    <w:p w14:paraId="14638B5D">
      <w:pPr>
        <w:numPr>
          <w:ilvl w:val="0"/>
          <w:numId w:val="4"/>
        </w:numPr>
        <w:tabs>
          <w:tab w:val="left" w:pos="849"/>
          <w:tab w:val="left" w:pos="4111"/>
        </w:tabs>
        <w:ind w:left="95"/>
        <w:jc w:val="left"/>
        <w:rPr>
          <w:rFonts w:hint="eastAsia" w:ascii="宋体" w:hAnsi="宋体"/>
        </w:rPr>
      </w:pPr>
      <w:r>
        <w:rPr>
          <w:rFonts w:hint="eastAsia" w:ascii="宋体" w:hAnsi="宋体"/>
        </w:rPr>
        <w:t>最大样品尺寸</w:t>
      </w:r>
      <w:r>
        <w:rPr>
          <w:rFonts w:ascii="宋体" w:hAnsi="宋体"/>
        </w:rPr>
        <w:tab/>
      </w:r>
      <w:r>
        <w:rPr>
          <w:rFonts w:hint="eastAsia" w:ascii="宋体" w:hAnsi="宋体"/>
          <w:lang w:val="en-US" w:eastAsia="zh-CN"/>
        </w:rPr>
        <w:t>80×55×40</w:t>
      </w:r>
      <w:r>
        <w:rPr>
          <w:rFonts w:hint="eastAsia" w:ascii="宋体" w:hAnsi="宋体"/>
        </w:rPr>
        <w:t>mm</w:t>
      </w:r>
    </w:p>
    <w:p w14:paraId="4F57E08A">
      <w:pPr>
        <w:numPr>
          <w:ilvl w:val="0"/>
          <w:numId w:val="4"/>
        </w:numPr>
        <w:tabs>
          <w:tab w:val="left" w:pos="849"/>
          <w:tab w:val="left" w:pos="4111"/>
        </w:tabs>
        <w:ind w:left="95"/>
        <w:jc w:val="left"/>
        <w:rPr>
          <w:rFonts w:ascii="宋体" w:hAnsi="宋体"/>
        </w:rPr>
      </w:pPr>
      <w:r>
        <w:rPr>
          <w:rFonts w:hint="eastAsia" w:ascii="宋体" w:hAnsi="宋体"/>
          <w:lang w:val="en-US" w:eastAsia="zh-CN"/>
        </w:rPr>
        <w:t xml:space="preserve">半切修片功能                   </w:t>
      </w:r>
      <w:r>
        <w:rPr>
          <w:rFonts w:hint="eastAsia" w:ascii="宋体" w:hAnsi="宋体" w:cs="Times New Roman"/>
          <w:lang w:val="en-US" w:eastAsia="zh-CN"/>
        </w:rPr>
        <w:t>半切修片完自动转成整圈切片的功能</w:t>
      </w:r>
      <w:r>
        <w:rPr>
          <w:rFonts w:hint="eastAsia" w:ascii="宋体" w:hAnsi="宋体"/>
        </w:rPr>
        <w:t xml:space="preserve"> </w:t>
      </w:r>
    </w:p>
    <w:p w14:paraId="463B2468">
      <w:pPr>
        <w:tabs>
          <w:tab w:val="left" w:pos="849"/>
          <w:tab w:val="left" w:pos="4111"/>
        </w:tabs>
        <w:ind w:left="95"/>
        <w:jc w:val="left"/>
        <w:rPr>
          <w:rFonts w:ascii="宋体" w:hAnsi="宋体"/>
        </w:rPr>
      </w:pPr>
      <w:r>
        <w:rPr>
          <w:rFonts w:hint="eastAsia" w:ascii="宋体" w:hAnsi="宋体"/>
          <w:lang w:val="en-US" w:eastAsia="zh-CN"/>
        </w:rPr>
        <w:t>9</w:t>
      </w:r>
      <w:r>
        <w:rPr>
          <w:rFonts w:ascii="宋体" w:hAnsi="宋体"/>
        </w:rPr>
        <w:tab/>
      </w:r>
      <w:r>
        <w:rPr>
          <w:rFonts w:ascii="宋体" w:hAnsi="宋体"/>
        </w:rPr>
        <w:t>夹头前进后退驱动方式</w:t>
      </w:r>
      <w:r>
        <w:rPr>
          <w:rFonts w:ascii="宋体" w:hAnsi="宋体"/>
        </w:rPr>
        <w:tab/>
      </w:r>
      <w:r>
        <w:rPr>
          <w:rFonts w:ascii="宋体" w:hAnsi="宋体"/>
        </w:rPr>
        <w:t>步进电机驱动</w:t>
      </w:r>
    </w:p>
    <w:p w14:paraId="236F8A95">
      <w:pPr>
        <w:tabs>
          <w:tab w:val="left" w:pos="849"/>
          <w:tab w:val="left" w:pos="4111"/>
        </w:tabs>
        <w:ind w:left="4084" w:leftChars="45" w:hanging="3990" w:hangingChars="1900"/>
        <w:jc w:val="left"/>
        <w:rPr>
          <w:rFonts w:hint="default" w:ascii="宋体" w:hAnsi="宋体"/>
          <w:lang w:val="en-US" w:eastAsia="zh-CN"/>
        </w:rPr>
      </w:pPr>
      <w:r>
        <w:rPr>
          <w:rFonts w:hint="eastAsia" w:ascii="宋体" w:hAnsi="宋体"/>
          <w:lang w:val="en-US" w:eastAsia="zh-CN"/>
        </w:rPr>
        <w:t>10     电动粗进                       20μm/点动，300μm/s（单箭头），900μm/s（双箭头），两秒后速度加倍</w:t>
      </w:r>
    </w:p>
    <w:p w14:paraId="6E7C8E52">
      <w:pPr>
        <w:tabs>
          <w:tab w:val="left" w:pos="849"/>
          <w:tab w:val="left" w:pos="4111"/>
        </w:tabs>
        <w:ind w:left="95"/>
        <w:jc w:val="left"/>
        <w:rPr>
          <w:rFonts w:hint="eastAsia" w:ascii="宋体" w:hAnsi="宋体"/>
          <w:lang w:val="en-US" w:eastAsia="zh-CN"/>
        </w:rPr>
      </w:pPr>
      <w:r>
        <w:rPr>
          <w:rFonts w:hint="eastAsia" w:ascii="宋体" w:hAnsi="宋体"/>
          <w:lang w:val="en-US" w:eastAsia="zh-CN"/>
        </w:rPr>
        <w:t>11</w:t>
      </w:r>
      <w:r>
        <w:rPr>
          <w:rFonts w:hint="eastAsia" w:ascii="宋体" w:hAnsi="宋体" w:eastAsia="宋体" w:cs="宋体"/>
          <w:lang w:val="en-US" w:eastAsia="zh-CN"/>
        </w:rPr>
        <w:t>▲</w:t>
      </w:r>
      <w:r>
        <w:rPr>
          <w:rFonts w:ascii="宋体" w:hAnsi="宋体"/>
        </w:rPr>
        <w:tab/>
      </w:r>
      <w:r>
        <w:rPr>
          <w:rFonts w:ascii="宋体" w:hAnsi="宋体"/>
        </w:rPr>
        <w:t>配重方式</w:t>
      </w:r>
      <w:r>
        <w:rPr>
          <w:rFonts w:ascii="宋体" w:hAnsi="宋体"/>
        </w:rPr>
        <w:tab/>
      </w:r>
      <w:r>
        <w:rPr>
          <w:rFonts w:ascii="宋体" w:hAnsi="宋体"/>
        </w:rPr>
        <w:t>弹簧和</w:t>
      </w:r>
      <w:r>
        <w:rPr>
          <w:rFonts w:hint="eastAsia" w:ascii="宋体" w:hAnsi="宋体"/>
        </w:rPr>
        <w:t>铅块双重配重</w:t>
      </w:r>
      <w:r>
        <w:rPr>
          <w:rFonts w:hint="eastAsia" w:ascii="宋体" w:hAnsi="宋体"/>
          <w:lang w:eastAsia="zh-CN"/>
        </w:rPr>
        <w:t>，</w:t>
      </w:r>
      <w:r>
        <w:rPr>
          <w:rFonts w:hint="eastAsia" w:ascii="宋体" w:hAnsi="宋体"/>
          <w:lang w:val="en-US" w:eastAsia="zh-CN"/>
        </w:rPr>
        <w:t>受力均匀，手感更佳</w:t>
      </w:r>
    </w:p>
    <w:p w14:paraId="3BE35A54">
      <w:pPr>
        <w:tabs>
          <w:tab w:val="left" w:pos="849"/>
          <w:tab w:val="left" w:pos="4111"/>
        </w:tabs>
        <w:ind w:left="95"/>
        <w:jc w:val="left"/>
        <w:rPr>
          <w:rFonts w:hint="default" w:ascii="宋体" w:hAnsi="宋体"/>
          <w:lang w:val="en-US" w:eastAsia="zh-CN"/>
        </w:rPr>
      </w:pPr>
      <w:r>
        <w:rPr>
          <w:rFonts w:hint="eastAsia" w:ascii="宋体" w:hAnsi="宋体"/>
          <w:lang w:val="en-US" w:eastAsia="zh-CN"/>
        </w:rPr>
        <w:t>12     大手轮                         大手轮可最高点锁定和任意位置锁定，增加安全系数</w:t>
      </w:r>
    </w:p>
    <w:p w14:paraId="4FD6E0E5">
      <w:pPr>
        <w:tabs>
          <w:tab w:val="left" w:pos="849"/>
          <w:tab w:val="left" w:pos="4111"/>
        </w:tabs>
        <w:ind w:left="4084" w:leftChars="45" w:hanging="3990" w:hangingChars="1900"/>
        <w:jc w:val="left"/>
        <w:rPr>
          <w:rFonts w:hint="default" w:ascii="宋体" w:hAnsi="宋体" w:eastAsia="宋体"/>
          <w:lang w:val="en-US" w:eastAsia="zh-CN"/>
        </w:rPr>
      </w:pPr>
      <w:r>
        <w:rPr>
          <w:rFonts w:hint="eastAsia" w:ascii="宋体" w:hAnsi="宋体"/>
          <w:lang w:val="en-US" w:eastAsia="zh-CN"/>
        </w:rPr>
        <w:t>13</w:t>
      </w:r>
      <w:r>
        <w:rPr>
          <w:rFonts w:ascii="宋体" w:hAnsi="宋体"/>
        </w:rPr>
        <w:tab/>
      </w:r>
      <w:r>
        <w:rPr>
          <w:rFonts w:ascii="宋体" w:hAnsi="宋体"/>
        </w:rPr>
        <w:t>休眠功能</w:t>
      </w:r>
      <w:r>
        <w:rPr>
          <w:rFonts w:ascii="宋体" w:hAnsi="宋体"/>
        </w:rPr>
        <w:tab/>
      </w:r>
      <w:r>
        <w:rPr>
          <w:rFonts w:hint="eastAsia" w:ascii="宋体" w:hAnsi="宋体"/>
        </w:rPr>
        <w:t>机器15分钟内未操作，自动进入休眠状态</w:t>
      </w:r>
      <w:r>
        <w:rPr>
          <w:rFonts w:hint="eastAsia" w:ascii="宋体" w:hAnsi="宋体"/>
          <w:lang w:eastAsia="zh-CN"/>
        </w:rPr>
        <w:t>，</w:t>
      </w:r>
      <w:r>
        <w:rPr>
          <w:rFonts w:hint="eastAsia" w:ascii="宋体" w:hAnsi="宋体"/>
          <w:lang w:val="en-US" w:eastAsia="zh-CN"/>
        </w:rPr>
        <w:t>通过触摸屏任意键唤醒</w:t>
      </w:r>
    </w:p>
    <w:p w14:paraId="2A24E3E3">
      <w:pPr>
        <w:tabs>
          <w:tab w:val="left" w:pos="849"/>
          <w:tab w:val="left" w:pos="4111"/>
        </w:tabs>
        <w:ind w:left="95"/>
        <w:jc w:val="left"/>
        <w:rPr>
          <w:rFonts w:ascii="宋体" w:hAnsi="宋体"/>
        </w:rPr>
      </w:pPr>
      <w:r>
        <w:rPr>
          <w:rFonts w:hint="eastAsia" w:ascii="宋体" w:hAnsi="宋体"/>
          <w:lang w:val="en-US" w:eastAsia="zh-CN"/>
        </w:rPr>
        <w:t>14</w:t>
      </w:r>
      <w:r>
        <w:rPr>
          <w:rFonts w:ascii="宋体" w:hAnsi="宋体"/>
        </w:rPr>
        <w:tab/>
      </w:r>
      <w:r>
        <w:rPr>
          <w:rFonts w:ascii="宋体" w:hAnsi="宋体"/>
        </w:rPr>
        <w:t>修块模式</w:t>
      </w:r>
      <w:r>
        <w:rPr>
          <w:rFonts w:ascii="宋体" w:hAnsi="宋体"/>
        </w:rPr>
        <w:tab/>
      </w:r>
      <w:r>
        <w:rPr>
          <w:rFonts w:hint="eastAsia" w:ascii="宋体" w:hAnsi="宋体"/>
        </w:rPr>
        <w:t>3种，其中必须含小手轮(非旋钮)辅助修块模式</w:t>
      </w:r>
    </w:p>
    <w:p w14:paraId="29710D55">
      <w:pPr>
        <w:tabs>
          <w:tab w:val="left" w:pos="849"/>
          <w:tab w:val="left" w:pos="4111"/>
        </w:tabs>
        <w:ind w:left="4109" w:leftChars="44" w:hanging="4017" w:hangingChars="1913"/>
        <w:jc w:val="left"/>
        <w:rPr>
          <w:rFonts w:hint="eastAsia" w:ascii="宋体" w:hAnsi="宋体"/>
        </w:rPr>
      </w:pPr>
      <w:r>
        <w:rPr>
          <w:rFonts w:hint="eastAsia" w:ascii="宋体" w:hAnsi="宋体"/>
        </w:rPr>
        <w:t>1</w:t>
      </w:r>
      <w:r>
        <w:rPr>
          <w:rFonts w:hint="eastAsia" w:ascii="宋体" w:hAnsi="宋体"/>
          <w:lang w:val="en-US" w:eastAsia="zh-CN"/>
        </w:rPr>
        <w:t>5</w:t>
      </w:r>
      <w:r>
        <w:rPr>
          <w:rFonts w:ascii="宋体" w:hAnsi="宋体"/>
        </w:rPr>
        <w:tab/>
      </w:r>
      <w:r>
        <w:rPr>
          <w:rFonts w:hint="eastAsia" w:ascii="宋体" w:hAnsi="宋体"/>
        </w:rPr>
        <w:t>小手轮</w:t>
      </w:r>
      <w:r>
        <w:rPr>
          <w:rFonts w:ascii="宋体" w:hAnsi="宋体"/>
        </w:rPr>
        <w:tab/>
      </w:r>
      <w:r>
        <w:rPr>
          <w:rFonts w:hint="eastAsia" w:ascii="宋体" w:hAnsi="宋体"/>
        </w:rPr>
        <w:t>机器左侧的小手轮可</w:t>
      </w:r>
      <w:r>
        <w:rPr>
          <w:rFonts w:hint="eastAsia" w:ascii="宋体" w:hAnsi="宋体"/>
          <w:lang w:val="en-US" w:eastAsia="zh-CN"/>
        </w:rPr>
        <w:t>一键</w:t>
      </w:r>
      <w:r>
        <w:rPr>
          <w:rFonts w:hint="eastAsia" w:ascii="宋体" w:hAnsi="宋体"/>
        </w:rPr>
        <w:t>换向：小手轮顺时针转动夹头前进/逆时针夹头后退，或者顺时针后退/逆时针前进</w:t>
      </w:r>
    </w:p>
    <w:p w14:paraId="57F1555C">
      <w:pPr>
        <w:tabs>
          <w:tab w:val="left" w:pos="849"/>
          <w:tab w:val="left" w:pos="4111"/>
        </w:tabs>
        <w:ind w:left="4109" w:leftChars="44" w:hanging="4017" w:hangingChars="1913"/>
        <w:jc w:val="left"/>
        <w:rPr>
          <w:rFonts w:hint="default" w:ascii="宋体" w:hAnsi="宋体" w:eastAsia="宋体"/>
          <w:lang w:val="en-US" w:eastAsia="zh-CN"/>
        </w:rPr>
      </w:pPr>
      <w:r>
        <w:rPr>
          <w:rFonts w:hint="eastAsia" w:ascii="宋体" w:hAnsi="宋体"/>
          <w:lang w:val="en-US" w:eastAsia="zh-CN"/>
        </w:rPr>
        <w:t>16     小手轮步进距离                 1-30μm/格，可调</w:t>
      </w:r>
    </w:p>
    <w:p w14:paraId="4867B394">
      <w:pPr>
        <w:tabs>
          <w:tab w:val="left" w:pos="849"/>
          <w:tab w:val="left" w:pos="4111"/>
        </w:tabs>
        <w:ind w:left="4109" w:leftChars="45" w:hanging="4015" w:hangingChars="1912"/>
        <w:jc w:val="left"/>
        <w:rPr>
          <w:rFonts w:ascii="宋体" w:hAnsi="宋体"/>
        </w:rPr>
      </w:pPr>
      <w:r>
        <w:rPr>
          <w:rFonts w:hint="eastAsia" w:ascii="宋体" w:hAnsi="宋体"/>
        </w:rPr>
        <w:t>1</w:t>
      </w:r>
      <w:r>
        <w:rPr>
          <w:rFonts w:hint="eastAsia" w:ascii="宋体" w:hAnsi="宋体"/>
          <w:lang w:val="en-US" w:eastAsia="zh-CN"/>
        </w:rPr>
        <w:t>7</w:t>
      </w:r>
      <w:r>
        <w:rPr>
          <w:rFonts w:ascii="宋体" w:hAnsi="宋体"/>
        </w:rPr>
        <w:tab/>
      </w:r>
      <w:r>
        <w:rPr>
          <w:rFonts w:hint="eastAsia" w:ascii="宋体" w:hAnsi="宋体"/>
        </w:rPr>
        <w:t>样本夹头</w:t>
      </w:r>
      <w:r>
        <w:rPr>
          <w:rFonts w:ascii="宋体" w:hAnsi="宋体"/>
        </w:rPr>
        <w:tab/>
      </w:r>
      <w:r>
        <w:rPr>
          <w:rFonts w:hint="eastAsia" w:ascii="宋体" w:hAnsi="宋体"/>
        </w:rPr>
        <w:t>夹头和角度调节装置之间，有一个带燕尾滑块的快装装置，方便从侧面快速更换或拆卸夹头。除标配常规包埋框夹头外，再增配一个77*60mm的大蜡块夹头。</w:t>
      </w:r>
    </w:p>
    <w:p w14:paraId="698A4C33">
      <w:pPr>
        <w:tabs>
          <w:tab w:val="left" w:pos="849"/>
          <w:tab w:val="left" w:pos="4111"/>
        </w:tabs>
        <w:ind w:left="4109" w:leftChars="45" w:hanging="4015" w:hangingChars="1912"/>
        <w:jc w:val="left"/>
        <w:rPr>
          <w:rFonts w:hint="eastAsia" w:ascii="宋体" w:hAnsi="宋体"/>
        </w:rPr>
      </w:pPr>
      <w:r>
        <w:rPr>
          <w:rFonts w:hint="eastAsia" w:ascii="宋体" w:hAnsi="宋体"/>
        </w:rPr>
        <w:t>1</w:t>
      </w:r>
      <w:r>
        <w:rPr>
          <w:rFonts w:hint="eastAsia" w:ascii="宋体" w:hAnsi="宋体"/>
          <w:lang w:val="en-US" w:eastAsia="zh-CN"/>
        </w:rPr>
        <w:t>8</w:t>
      </w:r>
      <w:r>
        <w:rPr>
          <w:rFonts w:hint="eastAsia" w:ascii="宋体" w:hAnsi="宋体" w:eastAsia="宋体" w:cs="宋体"/>
          <w:lang w:val="en-US" w:eastAsia="zh-CN"/>
        </w:rPr>
        <w:t>▲</w:t>
      </w:r>
      <w:r>
        <w:rPr>
          <w:rFonts w:hint="eastAsia" w:ascii="宋体" w:hAnsi="宋体"/>
        </w:rPr>
        <w:tab/>
      </w:r>
      <w:r>
        <w:rPr>
          <w:rFonts w:hint="eastAsia" w:ascii="宋体" w:hAnsi="宋体"/>
        </w:rPr>
        <w:t>样本夹头位置记忆</w:t>
      </w:r>
      <w:r>
        <w:rPr>
          <w:rFonts w:hint="eastAsia" w:ascii="宋体" w:hAnsi="宋体"/>
        </w:rPr>
        <w:tab/>
      </w:r>
      <w:r>
        <w:rPr>
          <w:rFonts w:hint="eastAsia" w:ascii="宋体" w:hAnsi="宋体"/>
        </w:rPr>
        <w:t>有三个位置可以存储</w:t>
      </w:r>
    </w:p>
    <w:p w14:paraId="5E5C00A9">
      <w:pPr>
        <w:tabs>
          <w:tab w:val="left" w:pos="849"/>
          <w:tab w:val="left" w:pos="4111"/>
        </w:tabs>
        <w:ind w:left="4109" w:leftChars="45" w:hanging="4015" w:hangingChars="1912"/>
        <w:jc w:val="left"/>
        <w:rPr>
          <w:rFonts w:hint="eastAsia" w:ascii="宋体" w:hAnsi="宋体" w:cs="Times New Roman"/>
          <w:lang w:val="en-US" w:eastAsia="zh-CN"/>
        </w:rPr>
      </w:pPr>
      <w:r>
        <w:rPr>
          <w:rFonts w:hint="eastAsia" w:ascii="宋体" w:hAnsi="宋体"/>
          <w:lang w:val="en-US" w:eastAsia="zh-CN"/>
        </w:rPr>
        <w:t>19     样本角度调整范围               样本夹角度可调，</w:t>
      </w:r>
      <w:r>
        <w:rPr>
          <w:rFonts w:hint="eastAsia" w:ascii="宋体" w:hAnsi="宋体" w:cs="Times New Roman"/>
          <w:lang w:val="en-US" w:eastAsia="zh-CN"/>
        </w:rPr>
        <w:t>水平方向：± 8°，垂直方向： ± 8°</w:t>
      </w:r>
    </w:p>
    <w:p w14:paraId="60EA526F">
      <w:pPr>
        <w:tabs>
          <w:tab w:val="left" w:pos="849"/>
          <w:tab w:val="left" w:pos="4111"/>
        </w:tabs>
        <w:ind w:left="4109" w:leftChars="45" w:hanging="4015" w:hangingChars="1912"/>
        <w:jc w:val="left"/>
        <w:rPr>
          <w:rFonts w:hint="eastAsia" w:ascii="宋体" w:hAnsi="宋体"/>
          <w:lang w:val="en-US" w:eastAsia="zh-CN"/>
        </w:rPr>
      </w:pPr>
      <w:r>
        <w:rPr>
          <w:rFonts w:hint="eastAsia" w:ascii="宋体" w:hAnsi="宋体" w:cs="Times New Roman"/>
          <w:lang w:val="en-US" w:eastAsia="zh-CN"/>
        </w:rPr>
        <w:t xml:space="preserve">                                      </w:t>
      </w:r>
      <w:r>
        <w:rPr>
          <w:rFonts w:hint="eastAsia" w:ascii="宋体" w:hAnsi="宋体"/>
          <w:lang w:val="en-US" w:eastAsia="zh-CN"/>
        </w:rPr>
        <w:t>样本夹角度零位显示</w:t>
      </w:r>
    </w:p>
    <w:p w14:paraId="572BCEC8">
      <w:pPr>
        <w:tabs>
          <w:tab w:val="left" w:pos="849"/>
          <w:tab w:val="left" w:pos="4111"/>
        </w:tabs>
        <w:ind w:left="4109" w:leftChars="45" w:hanging="4015" w:hangingChars="1912"/>
        <w:jc w:val="left"/>
        <w:rPr>
          <w:rFonts w:hint="default" w:ascii="宋体" w:hAnsi="宋体"/>
          <w:lang w:val="en-US" w:eastAsia="zh-CN"/>
        </w:rPr>
      </w:pPr>
      <w:r>
        <w:rPr>
          <w:rFonts w:hint="eastAsia" w:ascii="宋体" w:hAnsi="宋体"/>
          <w:lang w:val="en-US" w:eastAsia="zh-CN"/>
        </w:rPr>
        <w:t xml:space="preserve">20     样本夹头提示                   </w:t>
      </w:r>
      <w:r>
        <w:rPr>
          <w:rFonts w:hint="eastAsia" w:ascii="宋体" w:hAnsi="宋体" w:cs="Times New Roman"/>
          <w:lang w:val="en-US" w:eastAsia="zh-CN"/>
        </w:rPr>
        <w:t>标本夹前后行程即时显示，极限位置有声音提醒</w:t>
      </w:r>
    </w:p>
    <w:p w14:paraId="6A7A1D87">
      <w:pPr>
        <w:tabs>
          <w:tab w:val="left" w:pos="849"/>
          <w:tab w:val="left" w:pos="4111"/>
        </w:tabs>
        <w:ind w:left="4109" w:leftChars="45" w:hanging="4015" w:hangingChars="1912"/>
        <w:jc w:val="left"/>
        <w:rPr>
          <w:rFonts w:hint="eastAsia" w:ascii="宋体" w:hAnsi="宋体" w:eastAsia="宋体"/>
          <w:lang w:eastAsia="zh-CN"/>
        </w:rPr>
      </w:pPr>
      <w:r>
        <w:rPr>
          <w:rFonts w:hint="eastAsia" w:ascii="宋体" w:hAnsi="宋体"/>
          <w:lang w:val="en-US" w:eastAsia="zh-CN"/>
        </w:rPr>
        <w:t>21</w:t>
      </w:r>
      <w:r>
        <w:rPr>
          <w:rFonts w:hint="eastAsia" w:ascii="宋体" w:hAnsi="宋体"/>
        </w:rPr>
        <w:tab/>
      </w:r>
      <w:r>
        <w:rPr>
          <w:rFonts w:hint="eastAsia" w:ascii="宋体" w:hAnsi="宋体"/>
        </w:rPr>
        <w:t>独立控制盒</w:t>
      </w:r>
      <w:r>
        <w:rPr>
          <w:rFonts w:hint="eastAsia" w:ascii="宋体" w:hAnsi="宋体"/>
        </w:rPr>
        <w:tab/>
      </w:r>
      <w:r>
        <w:rPr>
          <w:rFonts w:hint="eastAsia" w:ascii="宋体" w:hAnsi="宋体"/>
          <w:lang w:val="en-US" w:eastAsia="zh-CN"/>
        </w:rPr>
        <w:t>包含</w:t>
      </w:r>
    </w:p>
    <w:p w14:paraId="3733F41E">
      <w:pPr>
        <w:tabs>
          <w:tab w:val="left" w:pos="849"/>
          <w:tab w:val="left" w:pos="4111"/>
        </w:tabs>
        <w:ind w:left="4109" w:leftChars="45" w:hanging="4015" w:hangingChars="1912"/>
        <w:jc w:val="left"/>
        <w:rPr>
          <w:rFonts w:ascii="宋体" w:hAnsi="宋体"/>
        </w:rPr>
      </w:pPr>
      <w:r>
        <w:rPr>
          <w:rFonts w:hint="eastAsia" w:ascii="宋体" w:hAnsi="宋体"/>
          <w:lang w:val="en-US" w:eastAsia="zh-CN"/>
        </w:rPr>
        <w:t>22</w:t>
      </w:r>
      <w:r>
        <w:rPr>
          <w:rFonts w:hint="eastAsia" w:ascii="宋体" w:hAnsi="宋体"/>
        </w:rPr>
        <w:tab/>
      </w:r>
      <w:r>
        <w:rPr>
          <w:rFonts w:hint="eastAsia" w:ascii="宋体" w:hAnsi="宋体"/>
        </w:rPr>
        <w:t>样本回缩</w:t>
      </w:r>
      <w:r>
        <w:rPr>
          <w:rFonts w:hint="eastAsia" w:ascii="宋体" w:hAnsi="宋体"/>
        </w:rPr>
        <w:tab/>
      </w:r>
      <w:r>
        <w:rPr>
          <w:rFonts w:hint="eastAsia" w:ascii="宋体" w:hAnsi="宋体" w:cs="Times New Roman"/>
          <w:lang w:val="en-US" w:eastAsia="zh-CN"/>
        </w:rPr>
        <w:t>0–150μm，以 5μm 增量，可关闭</w:t>
      </w:r>
    </w:p>
    <w:p w14:paraId="2DA7ECD9">
      <w:pPr>
        <w:tabs>
          <w:tab w:val="left" w:pos="849"/>
          <w:tab w:val="left" w:pos="4111"/>
        </w:tabs>
        <w:ind w:left="4084" w:leftChars="45" w:hanging="3990" w:hangingChars="1900"/>
        <w:jc w:val="left"/>
        <w:rPr>
          <w:rFonts w:hint="default" w:ascii="宋体" w:hAnsi="宋体" w:eastAsia="宋体"/>
          <w:lang w:val="en-US" w:eastAsia="zh-CN"/>
        </w:rPr>
      </w:pPr>
      <w:r>
        <w:rPr>
          <w:rFonts w:hint="eastAsia" w:ascii="宋体" w:hAnsi="宋体"/>
          <w:lang w:val="en-US" w:eastAsia="zh-CN"/>
        </w:rPr>
        <w:t>23</w:t>
      </w:r>
      <w:r>
        <w:rPr>
          <w:rFonts w:hint="eastAsia" w:ascii="宋体" w:hAnsi="宋体"/>
        </w:rPr>
        <w:tab/>
      </w:r>
      <w:r>
        <w:rPr>
          <w:rFonts w:hint="eastAsia" w:ascii="宋体" w:hAnsi="宋体"/>
        </w:rPr>
        <w:t>接口</w:t>
      </w:r>
      <w:r>
        <w:rPr>
          <w:rFonts w:hint="eastAsia" w:ascii="宋体" w:hAnsi="宋体"/>
        </w:rPr>
        <w:tab/>
      </w:r>
      <w:r>
        <w:rPr>
          <w:rFonts w:hint="eastAsia" w:ascii="宋体" w:hAnsi="宋体"/>
        </w:rPr>
        <w:t>24V直流电源插口、5V的USB插孔和I/O插孔</w:t>
      </w:r>
      <w:r>
        <w:rPr>
          <w:rFonts w:hint="eastAsia" w:ascii="宋体" w:hAnsi="宋体"/>
          <w:lang w:eastAsia="zh-CN"/>
        </w:rPr>
        <w:t>，</w:t>
      </w:r>
      <w:r>
        <w:rPr>
          <w:rFonts w:hint="eastAsia" w:ascii="宋体" w:hAnsi="宋体" w:cs="Times New Roman"/>
          <w:lang w:val="en-US" w:eastAsia="zh-CN"/>
        </w:rPr>
        <w:t>满足加湿器、台灯、手机充电、蓝牙音箱等电子设备需求</w:t>
      </w:r>
    </w:p>
    <w:p w14:paraId="4F44E529">
      <w:pPr>
        <w:numPr>
          <w:ilvl w:val="0"/>
          <w:numId w:val="0"/>
        </w:numPr>
        <w:tabs>
          <w:tab w:val="left" w:pos="849"/>
          <w:tab w:val="left" w:pos="4111"/>
        </w:tabs>
        <w:ind w:left="95" w:leftChars="0"/>
        <w:jc w:val="left"/>
        <w:rPr>
          <w:rFonts w:hint="default" w:ascii="宋体" w:hAnsi="宋体"/>
          <w:color w:val="auto"/>
          <w:lang w:val="en-US" w:eastAsia="zh-CN"/>
        </w:rPr>
      </w:pPr>
      <w:r>
        <w:rPr>
          <w:rFonts w:hint="eastAsia" w:ascii="宋体" w:hAnsi="宋体"/>
          <w:lang w:val="en-US" w:eastAsia="zh-CN"/>
        </w:rPr>
        <w:t>24</w:t>
      </w:r>
      <w:r>
        <w:rPr>
          <w:rFonts w:hint="eastAsia" w:ascii="宋体" w:hAnsi="宋体" w:eastAsia="宋体" w:cs="宋体"/>
          <w:color w:val="auto"/>
          <w:lang w:val="en-US" w:eastAsia="zh-CN"/>
        </w:rPr>
        <w:t>▲</w:t>
      </w:r>
      <w:r>
        <w:rPr>
          <w:rFonts w:hint="eastAsia" w:ascii="宋体" w:hAnsi="宋体"/>
          <w:color w:val="auto"/>
          <w:lang w:val="en-US" w:eastAsia="zh-CN"/>
        </w:rPr>
        <w:t xml:space="preserve">   外置加湿器                     包含</w:t>
      </w:r>
    </w:p>
    <w:p w14:paraId="6E8715BF">
      <w:pPr>
        <w:tabs>
          <w:tab w:val="left" w:pos="849"/>
          <w:tab w:val="left" w:pos="4111"/>
        </w:tabs>
        <w:ind w:left="95"/>
        <w:jc w:val="left"/>
        <w:rPr>
          <w:rFonts w:hint="default" w:ascii="宋体" w:hAnsi="宋体"/>
          <w:color w:val="auto"/>
          <w:lang w:val="en-US" w:eastAsia="zh-CN"/>
        </w:rPr>
      </w:pPr>
      <w:r>
        <w:rPr>
          <w:rFonts w:hint="eastAsia" w:ascii="宋体" w:hAnsi="宋体"/>
          <w:color w:val="auto"/>
          <w:lang w:val="en-US" w:eastAsia="zh-CN"/>
        </w:rPr>
        <w:t>25     台灯                           包含</w:t>
      </w:r>
    </w:p>
    <w:p w14:paraId="143AEEEE">
      <w:pPr>
        <w:tabs>
          <w:tab w:val="left" w:pos="849"/>
          <w:tab w:val="left" w:pos="4111"/>
        </w:tabs>
        <w:ind w:left="95"/>
        <w:jc w:val="left"/>
        <w:rPr>
          <w:rFonts w:ascii="宋体" w:hAnsi="宋体"/>
          <w:color w:val="auto"/>
        </w:rPr>
      </w:pPr>
      <w:r>
        <w:rPr>
          <w:rFonts w:hint="eastAsia" w:ascii="宋体" w:hAnsi="宋体"/>
          <w:color w:val="auto"/>
          <w:lang w:val="en-US" w:eastAsia="zh-CN"/>
        </w:rPr>
        <w:t>26</w:t>
      </w:r>
      <w:r>
        <w:rPr>
          <w:rFonts w:ascii="宋体" w:hAnsi="宋体"/>
          <w:color w:val="auto"/>
        </w:rPr>
        <w:tab/>
      </w:r>
      <w:r>
        <w:rPr>
          <w:rFonts w:ascii="宋体" w:hAnsi="宋体"/>
          <w:color w:val="auto"/>
        </w:rPr>
        <w:t>内置控制面板</w:t>
      </w:r>
      <w:r>
        <w:rPr>
          <w:rFonts w:ascii="宋体" w:hAnsi="宋体"/>
          <w:color w:val="auto"/>
        </w:rPr>
        <w:tab/>
      </w:r>
      <w:r>
        <w:rPr>
          <w:rFonts w:ascii="宋体" w:hAnsi="宋体"/>
          <w:color w:val="auto"/>
        </w:rPr>
        <w:t>工业触摸屏</w:t>
      </w:r>
      <w:r>
        <w:rPr>
          <w:rFonts w:ascii="宋体" w:hAnsi="宋体"/>
          <w:color w:val="auto"/>
        </w:rPr>
        <w:br w:type="textWrapping"/>
      </w:r>
      <w:r>
        <w:rPr>
          <w:rFonts w:hint="eastAsia" w:ascii="宋体" w:hAnsi="宋体"/>
          <w:color w:val="auto"/>
          <w:lang w:val="en-US" w:eastAsia="zh-CN"/>
        </w:rPr>
        <w:t>27</w:t>
      </w:r>
      <w:r>
        <w:rPr>
          <w:rFonts w:hint="eastAsia" w:ascii="宋体" w:hAnsi="宋体"/>
          <w:color w:val="auto"/>
        </w:rPr>
        <w:t xml:space="preserve">     折叠把手                       机器后部有可折叠把手</w:t>
      </w:r>
    </w:p>
    <w:p w14:paraId="31C0BB6A">
      <w:pPr>
        <w:numPr>
          <w:ilvl w:val="0"/>
          <w:numId w:val="0"/>
        </w:numPr>
        <w:tabs>
          <w:tab w:val="left" w:pos="849"/>
          <w:tab w:val="left" w:pos="4111"/>
        </w:tabs>
        <w:ind w:left="95" w:leftChars="0"/>
        <w:jc w:val="left"/>
        <w:rPr>
          <w:rFonts w:hint="eastAsia" w:ascii="宋体" w:hAnsi="宋体"/>
          <w:color w:val="auto"/>
          <w:lang w:eastAsia="zh-CN"/>
        </w:rPr>
      </w:pPr>
      <w:r>
        <w:rPr>
          <w:rFonts w:hint="eastAsia" w:ascii="宋体" w:hAnsi="宋体" w:cs="Times New Roman"/>
          <w:color w:val="auto"/>
          <w:kern w:val="2"/>
          <w:sz w:val="21"/>
          <w:szCs w:val="22"/>
          <w:lang w:val="en-US" w:eastAsia="zh-CN" w:bidi="ar-SA"/>
        </w:rPr>
        <w:t xml:space="preserve">28     </w:t>
      </w:r>
      <w:r>
        <w:rPr>
          <w:rFonts w:hint="eastAsia" w:ascii="宋体" w:hAnsi="宋体"/>
          <w:color w:val="auto"/>
          <w:lang w:val="en-US" w:eastAsia="zh-CN"/>
        </w:rPr>
        <w:t>废屑槽                         带磁吸和防静电功能的大容量废屑槽</w:t>
      </w:r>
    </w:p>
    <w:p w14:paraId="58A96C79">
      <w:pPr>
        <w:numPr>
          <w:ilvl w:val="0"/>
          <w:numId w:val="0"/>
        </w:numPr>
        <w:tabs>
          <w:tab w:val="left" w:pos="849"/>
          <w:tab w:val="left" w:pos="4111"/>
        </w:tabs>
        <w:ind w:left="95" w:leftChars="0"/>
        <w:jc w:val="left"/>
        <w:rPr>
          <w:rFonts w:hint="eastAsia" w:ascii="宋体" w:hAnsi="宋体"/>
          <w:color w:val="auto"/>
          <w:lang w:eastAsia="zh-CN"/>
        </w:rPr>
      </w:pPr>
      <w:r>
        <w:rPr>
          <w:rFonts w:hint="eastAsia" w:ascii="宋体" w:hAnsi="宋体" w:cs="Times New Roman"/>
          <w:color w:val="auto"/>
          <w:kern w:val="2"/>
          <w:sz w:val="21"/>
          <w:szCs w:val="22"/>
          <w:lang w:val="en-US" w:eastAsia="zh-CN" w:bidi="ar-SA"/>
        </w:rPr>
        <w:t xml:space="preserve">29     </w:t>
      </w:r>
      <w:r>
        <w:rPr>
          <w:rFonts w:hint="eastAsia" w:ascii="宋体" w:hAnsi="宋体" w:cs="Times New Roman"/>
          <w:color w:val="auto"/>
          <w:lang w:val="en-US" w:eastAsia="zh-CN"/>
        </w:rPr>
        <w:t>机顶杂物盘                     包含</w:t>
      </w:r>
    </w:p>
    <w:p w14:paraId="50CDC4AD">
      <w:pPr>
        <w:numPr>
          <w:ilvl w:val="0"/>
          <w:numId w:val="0"/>
        </w:numPr>
        <w:tabs>
          <w:tab w:val="left" w:pos="849"/>
          <w:tab w:val="left" w:pos="4111"/>
        </w:tabs>
        <w:ind w:left="95" w:leftChars="0"/>
        <w:jc w:val="left"/>
        <w:rPr>
          <w:rFonts w:hint="eastAsia" w:ascii="宋体" w:hAnsi="宋体"/>
          <w:color w:val="auto"/>
          <w:lang w:eastAsia="zh-CN"/>
        </w:rPr>
      </w:pPr>
      <w:r>
        <w:rPr>
          <w:rFonts w:hint="eastAsia" w:ascii="宋体" w:hAnsi="宋体" w:cs="Times New Roman"/>
          <w:color w:val="auto"/>
          <w:kern w:val="2"/>
          <w:sz w:val="21"/>
          <w:szCs w:val="22"/>
          <w:lang w:val="en-US" w:eastAsia="zh-CN" w:bidi="ar-SA"/>
        </w:rPr>
        <w:t xml:space="preserve">30     </w:t>
      </w:r>
      <w:r>
        <w:rPr>
          <w:rFonts w:hint="eastAsia" w:ascii="宋体" w:hAnsi="宋体" w:cs="Times New Roman"/>
          <w:color w:val="auto"/>
          <w:lang w:val="en-US" w:eastAsia="zh-CN"/>
        </w:rPr>
        <w:t>刀片角度可调                   包含</w:t>
      </w:r>
    </w:p>
    <w:p w14:paraId="0DCA3B3E">
      <w:pPr>
        <w:numPr>
          <w:ilvl w:val="0"/>
          <w:numId w:val="0"/>
        </w:numPr>
        <w:tabs>
          <w:tab w:val="left" w:pos="849"/>
          <w:tab w:val="left" w:pos="4111"/>
        </w:tabs>
        <w:ind w:left="95" w:leftChars="0"/>
        <w:jc w:val="left"/>
        <w:rPr>
          <w:rFonts w:hint="eastAsia" w:ascii="宋体" w:hAnsi="宋体"/>
          <w:color w:val="auto"/>
          <w:lang w:eastAsia="zh-CN"/>
        </w:rPr>
      </w:pPr>
      <w:r>
        <w:rPr>
          <w:rFonts w:hint="eastAsia" w:ascii="宋体" w:hAnsi="宋体" w:cs="Times New Roman"/>
          <w:color w:val="auto"/>
          <w:kern w:val="2"/>
          <w:sz w:val="21"/>
          <w:szCs w:val="22"/>
          <w:lang w:val="en-US" w:eastAsia="zh-CN" w:bidi="ar-SA"/>
        </w:rPr>
        <w:t xml:space="preserve">31     </w:t>
      </w:r>
      <w:r>
        <w:rPr>
          <w:rFonts w:hint="eastAsia" w:ascii="宋体" w:hAnsi="宋体"/>
          <w:color w:val="auto"/>
          <w:lang w:val="en-US" w:eastAsia="zh-CN"/>
        </w:rPr>
        <w:t>宽窄刀片通用刀架               包含</w:t>
      </w:r>
    </w:p>
    <w:p w14:paraId="1A1F7D92">
      <w:pPr>
        <w:numPr>
          <w:ilvl w:val="0"/>
          <w:numId w:val="0"/>
        </w:numPr>
        <w:tabs>
          <w:tab w:val="left" w:pos="849"/>
          <w:tab w:val="left" w:pos="4111"/>
        </w:tabs>
        <w:ind w:left="95" w:leftChars="0"/>
        <w:jc w:val="left"/>
        <w:rPr>
          <w:rFonts w:hint="eastAsia" w:ascii="宋体" w:hAnsi="宋体"/>
          <w:color w:val="auto"/>
          <w:lang w:val="en-US" w:eastAsia="zh-CN"/>
        </w:rPr>
      </w:pPr>
      <w:r>
        <w:rPr>
          <w:rFonts w:hint="eastAsia" w:ascii="宋体" w:hAnsi="宋体" w:cs="Times New Roman"/>
          <w:color w:val="auto"/>
          <w:kern w:val="2"/>
          <w:sz w:val="21"/>
          <w:szCs w:val="22"/>
          <w:lang w:val="en-US" w:eastAsia="zh-CN" w:bidi="ar-SA"/>
        </w:rPr>
        <w:t xml:space="preserve">32     </w:t>
      </w:r>
      <w:r>
        <w:rPr>
          <w:rFonts w:hint="eastAsia" w:ascii="宋体" w:hAnsi="宋体"/>
          <w:color w:val="auto"/>
          <w:lang w:val="en-US" w:eastAsia="zh-CN"/>
        </w:rPr>
        <w:t>可快速更换各种不同组织夹头     包含</w:t>
      </w:r>
    </w:p>
    <w:p w14:paraId="60928DE5">
      <w:pPr>
        <w:numPr>
          <w:ilvl w:val="0"/>
          <w:numId w:val="0"/>
        </w:numPr>
        <w:tabs>
          <w:tab w:val="left" w:pos="849"/>
          <w:tab w:val="left" w:pos="4111"/>
        </w:tabs>
        <w:ind w:left="95" w:leftChars="0"/>
        <w:jc w:val="left"/>
        <w:rPr>
          <w:rFonts w:hint="eastAsia" w:ascii="宋体" w:hAnsi="宋体"/>
          <w:lang w:val="en-US" w:eastAsia="zh-CN"/>
        </w:rPr>
      </w:pPr>
    </w:p>
    <w:p w14:paraId="1C313275">
      <w:pPr>
        <w:keepNext w:val="0"/>
        <w:keepLines w:val="0"/>
        <w:pageBreakBefore w:val="0"/>
        <w:widowControl w:val="0"/>
        <w:kinsoku/>
        <w:wordWrap/>
        <w:topLinePunct w:val="0"/>
        <w:autoSpaceDE/>
        <w:autoSpaceDN/>
        <w:bidi w:val="0"/>
        <w:snapToGrid/>
        <w:spacing w:line="360" w:lineRule="auto"/>
        <w:ind w:left="120" w:leftChars="57"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p>
    <w:p w14:paraId="7DA9722A">
      <w:pPr>
        <w:keepNext w:val="0"/>
        <w:keepLines w:val="0"/>
        <w:pageBreakBefore w:val="0"/>
        <w:widowControl w:val="0"/>
        <w:numPr>
          <w:ilvl w:val="0"/>
          <w:numId w:val="0"/>
        </w:numPr>
        <w:kinsoku/>
        <w:wordWrap/>
        <w:topLinePunct w:val="0"/>
        <w:autoSpaceDE/>
        <w:autoSpaceDN/>
        <w:bidi w:val="0"/>
        <w:snapToGrid/>
        <w:ind w:leftChars="200"/>
        <w:rPr>
          <w:rStyle w:val="21"/>
          <w:rFonts w:hint="eastAsia" w:asciiTheme="minorEastAsia" w:hAnsiTheme="minorEastAsia" w:eastAsiaTheme="minorEastAsia" w:cstheme="minorEastAsia"/>
          <w:b/>
          <w:kern w:val="2"/>
          <w:sz w:val="24"/>
          <w:szCs w:val="24"/>
          <w:lang w:val="en-US" w:eastAsia="zh-CN" w:bidi="ar-SA"/>
        </w:rPr>
      </w:pPr>
      <w:r>
        <w:rPr>
          <w:rStyle w:val="21"/>
          <w:rFonts w:hint="default" w:asciiTheme="minorEastAsia" w:hAnsiTheme="minorEastAsia" w:eastAsiaTheme="minorEastAsia" w:cstheme="minorEastAsia"/>
          <w:b/>
          <w:kern w:val="2"/>
          <w:sz w:val="24"/>
          <w:szCs w:val="24"/>
          <w:lang w:val="en-US" w:eastAsia="zh-CN" w:bidi="ar-SA"/>
        </w:rPr>
        <w:t>(</w:t>
      </w:r>
      <w:r>
        <w:rPr>
          <w:rStyle w:val="21"/>
          <w:rFonts w:hint="eastAsia" w:asciiTheme="minorEastAsia" w:hAnsiTheme="minorEastAsia" w:eastAsiaTheme="minorEastAsia" w:cstheme="minorEastAsia"/>
          <w:b/>
          <w:kern w:val="2"/>
          <w:sz w:val="24"/>
          <w:szCs w:val="24"/>
          <w:lang w:val="en-US" w:eastAsia="zh-CN" w:bidi="ar-SA"/>
        </w:rPr>
        <w:t>二）商务参数</w:t>
      </w:r>
    </w:p>
    <w:p w14:paraId="4387463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szCs w:val="21"/>
          <w:lang w:val="en-US" w:eastAsia="zh-CN"/>
        </w:rPr>
      </w:pPr>
      <w:r>
        <w:rPr>
          <w:rFonts w:hint="eastAsia" w:ascii="宋体" w:hAnsi="宋体" w:eastAsia="宋体"/>
          <w:szCs w:val="21"/>
        </w:rPr>
        <w:t>★1、运输、装卸、培训、安装调试：由中标人负责承担，最终通过使用科室、设备科及相关部门确认验收交付使用</w:t>
      </w:r>
      <w:r>
        <w:rPr>
          <w:rFonts w:hint="eastAsia" w:ascii="宋体" w:hAnsi="宋体" w:eastAsia="宋体"/>
          <w:szCs w:val="21"/>
          <w:lang w:eastAsia="zh-CN"/>
        </w:rPr>
        <w:t>。</w:t>
      </w:r>
      <w:r>
        <w:rPr>
          <w:rFonts w:hint="eastAsia" w:ascii="宋体" w:hAnsi="宋体" w:eastAsia="宋体"/>
          <w:szCs w:val="21"/>
          <w:lang w:val="en-US" w:eastAsia="zh-CN"/>
        </w:rPr>
        <w:t>国产设备交付，设备必须为6个月内生产的产品；进口设备交付，设备必须为一年内生产的产品</w:t>
      </w:r>
      <w:r>
        <w:rPr>
          <w:rFonts w:hint="eastAsia" w:ascii="宋体" w:hAnsi="宋体" w:eastAsia="宋体"/>
          <w:szCs w:val="21"/>
        </w:rPr>
        <w:t>。</w:t>
      </w:r>
      <w:r>
        <w:rPr>
          <w:rFonts w:hint="eastAsia" w:ascii="宋体" w:hAnsi="宋体" w:eastAsia="宋体"/>
          <w:szCs w:val="21"/>
        </w:rPr>
        <w:cr/>
      </w:r>
      <w:r>
        <w:rPr>
          <w:rFonts w:hint="eastAsia" w:ascii="宋体" w:hAnsi="宋体" w:eastAsia="宋体"/>
          <w:szCs w:val="21"/>
          <w:lang w:val="en-US" w:eastAsia="zh-CN"/>
        </w:rPr>
        <w:t xml:space="preserve">   </w:t>
      </w:r>
      <w:r>
        <w:rPr>
          <w:rFonts w:hint="eastAsia" w:ascii="宋体" w:hAnsi="宋体" w:eastAsia="宋体"/>
          <w:szCs w:val="21"/>
        </w:rPr>
        <w:t>★2、交货时间：按</w:t>
      </w:r>
      <w:r>
        <w:rPr>
          <w:rFonts w:hint="eastAsia" w:ascii="宋体" w:hAnsi="宋体" w:eastAsia="宋体"/>
          <w:szCs w:val="21"/>
          <w:lang w:val="en-US" w:eastAsia="zh-CN"/>
        </w:rPr>
        <w:t>合同约定的日期交货。</w:t>
      </w:r>
    </w:p>
    <w:p w14:paraId="5FF3A2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szCs w:val="21"/>
          <w:lang w:val="en-US" w:eastAsia="zh-CN"/>
        </w:rPr>
      </w:pPr>
      <w:r>
        <w:rPr>
          <w:rFonts w:hint="eastAsia" w:ascii="宋体" w:hAnsi="宋体" w:eastAsia="宋体"/>
          <w:szCs w:val="21"/>
        </w:rPr>
        <w:t>★</w:t>
      </w:r>
      <w:r>
        <w:rPr>
          <w:rFonts w:hint="eastAsia" w:ascii="宋体" w:hAnsi="宋体" w:eastAsia="宋体"/>
          <w:szCs w:val="21"/>
          <w:lang w:val="en-US" w:eastAsia="zh-CN"/>
        </w:rPr>
        <w:t>3</w:t>
      </w:r>
      <w:r>
        <w:rPr>
          <w:rFonts w:hint="eastAsia" w:ascii="宋体" w:hAnsi="宋体" w:eastAsia="宋体"/>
          <w:szCs w:val="21"/>
        </w:rPr>
        <w:t>、交货地点：娄底市中心医院</w:t>
      </w:r>
      <w:r>
        <w:rPr>
          <w:rFonts w:hint="eastAsia" w:ascii="宋体" w:hAnsi="宋体" w:eastAsia="宋体"/>
          <w:szCs w:val="21"/>
          <w:lang w:val="en-US" w:eastAsia="zh-CN"/>
        </w:rPr>
        <w:t>指定地点</w:t>
      </w:r>
      <w:r>
        <w:rPr>
          <w:rFonts w:hint="eastAsia" w:ascii="宋体" w:hAnsi="宋体" w:eastAsia="宋体"/>
          <w:szCs w:val="21"/>
        </w:rPr>
        <w:t>。</w:t>
      </w:r>
    </w:p>
    <w:p w14:paraId="2102653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szCs w:val="21"/>
          <w:lang w:val="en-US" w:eastAsia="zh-CN"/>
        </w:rPr>
      </w:pPr>
      <w:r>
        <w:rPr>
          <w:rFonts w:hint="eastAsia" w:ascii="宋体" w:hAnsi="宋体" w:eastAsia="宋体"/>
          <w:szCs w:val="21"/>
        </w:rPr>
        <w:t>★</w:t>
      </w:r>
      <w:r>
        <w:rPr>
          <w:rFonts w:hint="eastAsia" w:ascii="宋体" w:hAnsi="宋体" w:eastAsia="宋体"/>
          <w:szCs w:val="21"/>
          <w:lang w:val="en-US" w:eastAsia="zh-CN"/>
        </w:rPr>
        <w:t>4</w:t>
      </w:r>
      <w:r>
        <w:rPr>
          <w:rFonts w:hint="eastAsia" w:ascii="宋体" w:hAnsi="宋体" w:eastAsia="宋体"/>
          <w:szCs w:val="21"/>
        </w:rPr>
        <w:t>、付款方式：设备验收合格后，供应商将发票交到娄底市中心医院后按程序支付货款90%（一般情况下4个月内支付、特殊情况下最多不超过6个月），甲方在设备验收合格</w:t>
      </w:r>
      <w:r>
        <w:rPr>
          <w:rFonts w:hint="eastAsia" w:ascii="宋体" w:hAnsi="宋体" w:eastAsia="宋体"/>
          <w:szCs w:val="21"/>
          <w:lang w:val="en-US" w:eastAsia="zh-CN"/>
        </w:rPr>
        <w:t>满叁年</w:t>
      </w:r>
      <w:r>
        <w:rPr>
          <w:rFonts w:hint="eastAsia" w:ascii="宋体" w:hAnsi="宋体" w:eastAsia="宋体"/>
          <w:szCs w:val="21"/>
        </w:rPr>
        <w:t>后支付10%余款给乙方。</w:t>
      </w:r>
      <w:r>
        <w:rPr>
          <w:rFonts w:hint="eastAsia" w:ascii="宋体" w:hAnsi="宋体" w:eastAsia="宋体"/>
          <w:szCs w:val="21"/>
        </w:rPr>
        <w:cr/>
      </w:r>
      <w:r>
        <w:rPr>
          <w:rFonts w:hint="eastAsia" w:ascii="宋体" w:hAnsi="宋体" w:eastAsia="宋体"/>
          <w:szCs w:val="21"/>
          <w:lang w:val="en-US" w:eastAsia="zh-CN"/>
        </w:rPr>
        <w:t xml:space="preserve">   </w:t>
      </w:r>
      <w:r>
        <w:rPr>
          <w:rFonts w:hint="eastAsia" w:ascii="宋体" w:hAnsi="宋体" w:eastAsia="宋体"/>
          <w:szCs w:val="21"/>
        </w:rPr>
        <w:t>★5、质保与售后：整机保修</w:t>
      </w:r>
      <w:r>
        <w:rPr>
          <w:rFonts w:hint="eastAsia" w:ascii="宋体" w:hAnsi="宋体" w:eastAsia="宋体"/>
          <w:szCs w:val="21"/>
          <w:lang w:val="en-US" w:eastAsia="zh-CN"/>
        </w:rPr>
        <w:t>叁</w:t>
      </w:r>
      <w:r>
        <w:rPr>
          <w:rFonts w:hint="eastAsia" w:ascii="宋体" w:hAnsi="宋体" w:eastAsia="宋体"/>
          <w:szCs w:val="21"/>
        </w:rPr>
        <w:t>年，终身维修。</w:t>
      </w:r>
      <w:r>
        <w:rPr>
          <w:rFonts w:hint="eastAsia" w:ascii="宋体" w:hAnsi="宋体" w:eastAsia="宋体"/>
          <w:szCs w:val="21"/>
          <w:lang w:val="en-US" w:eastAsia="zh-CN"/>
        </w:rPr>
        <w:t>验收时</w:t>
      </w:r>
      <w:r>
        <w:rPr>
          <w:rFonts w:hint="eastAsia" w:ascii="宋体" w:hAnsi="宋体" w:eastAsia="宋体"/>
          <w:szCs w:val="21"/>
        </w:rPr>
        <w:t>出具原厂售后质保承诺书，质保期内每年巡检</w:t>
      </w:r>
      <w:r>
        <w:rPr>
          <w:rFonts w:hint="eastAsia" w:ascii="宋体" w:hAnsi="宋体" w:eastAsia="宋体"/>
          <w:szCs w:val="21"/>
          <w:lang w:val="en-US" w:eastAsia="zh-CN"/>
        </w:rPr>
        <w:t>一</w:t>
      </w:r>
      <w:r>
        <w:rPr>
          <w:rFonts w:hint="eastAsia" w:ascii="宋体" w:hAnsi="宋体" w:eastAsia="宋体"/>
          <w:szCs w:val="21"/>
        </w:rPr>
        <w:t>次</w:t>
      </w:r>
      <w:r>
        <w:rPr>
          <w:rFonts w:hint="eastAsia" w:ascii="宋体" w:hAnsi="宋体" w:eastAsia="宋体"/>
          <w:szCs w:val="21"/>
          <w:lang w:eastAsia="zh-CN"/>
        </w:rPr>
        <w:t>，</w:t>
      </w:r>
      <w:r>
        <w:rPr>
          <w:rFonts w:hint="eastAsia" w:ascii="宋体" w:hAnsi="宋体" w:eastAsia="宋体"/>
          <w:szCs w:val="21"/>
          <w:lang w:val="en-US" w:eastAsia="zh-CN"/>
        </w:rPr>
        <w:t>并提交巡检记录</w:t>
      </w:r>
      <w:r>
        <w:rPr>
          <w:rFonts w:hint="eastAsia" w:ascii="宋体" w:hAnsi="宋体" w:eastAsia="宋体"/>
          <w:szCs w:val="21"/>
        </w:rPr>
        <w:t>。</w:t>
      </w:r>
      <w:r>
        <w:rPr>
          <w:rFonts w:hint="eastAsia" w:ascii="宋体" w:hAnsi="宋体" w:eastAsia="宋体"/>
          <w:szCs w:val="21"/>
          <w:lang w:val="zh-CN" w:eastAsia="zh-CN"/>
        </w:rPr>
        <w:t>质保期内</w:t>
      </w:r>
      <w:r>
        <w:rPr>
          <w:rFonts w:hint="eastAsia" w:ascii="宋体" w:hAnsi="宋体" w:eastAsia="宋体"/>
          <w:szCs w:val="21"/>
          <w:lang w:val="en-US" w:eastAsia="zh-CN"/>
        </w:rPr>
        <w:t>出现故障，1小时响应，响应后24小时上门服务。</w:t>
      </w:r>
    </w:p>
    <w:p w14:paraId="2DFE31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szCs w:val="21"/>
          <w:lang w:val="en-US" w:eastAsia="zh-CN"/>
        </w:rPr>
      </w:pPr>
      <w:r>
        <w:rPr>
          <w:rFonts w:hint="eastAsia" w:ascii="宋体" w:hAnsi="宋体" w:eastAsia="宋体"/>
          <w:szCs w:val="21"/>
          <w:lang w:val="en-US" w:eastAsia="zh-CN"/>
        </w:rPr>
        <w:t>★6、在投标文件中必须提供相关技术资料并加盖投标人公章（如技术参数、技术白皮书、说明书、彩页等），并在响应表中对“★”、“▲”以及要求提供佐证材料的条款备注该条参数响应或正偏离的佐证资料所在页码。</w:t>
      </w:r>
    </w:p>
    <w:p w14:paraId="68723FF2">
      <w:pPr>
        <w:numPr>
          <w:ilvl w:val="0"/>
          <w:numId w:val="0"/>
        </w:numPr>
        <w:tabs>
          <w:tab w:val="left" w:pos="849"/>
          <w:tab w:val="left" w:pos="4111"/>
        </w:tabs>
        <w:ind w:left="95" w:leftChars="0"/>
        <w:jc w:val="left"/>
        <w:rPr>
          <w:rFonts w:hint="default" w:ascii="宋体" w:hAnsi="宋体"/>
          <w:lang w:val="en-US" w:eastAsia="zh-CN"/>
        </w:rPr>
      </w:pPr>
    </w:p>
    <w:p w14:paraId="46A704C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0F75E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5083B53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联系人：彭春涛</w:t>
      </w:r>
    </w:p>
    <w:p w14:paraId="0FC5BB9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联系电话：13027388172</w:t>
      </w:r>
    </w:p>
    <w:p w14:paraId="39A301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半自动转轮式切片机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半自动转轮式切片机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3"/>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3EDEC3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68D30D3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35C702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7DD1C2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6C4E50C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718090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1469BBF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半自动转轮式切片机</w:t>
            </w:r>
          </w:p>
        </w:tc>
        <w:tc>
          <w:tcPr>
            <w:tcW w:w="1220" w:type="dxa"/>
            <w:vAlign w:val="center"/>
          </w:tcPr>
          <w:p w14:paraId="15E622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2F091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F69A4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top"/>
          </w:tcPr>
          <w:p w14:paraId="07DC10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1台</w:t>
            </w:r>
          </w:p>
        </w:tc>
        <w:tc>
          <w:tcPr>
            <w:tcW w:w="1654" w:type="dxa"/>
            <w:vAlign w:val="top"/>
          </w:tcPr>
          <w:p w14:paraId="4213476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4117F42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1.2 本合同约定价格为（☑固定总价□固定单价），不因物价、市场波动变更，约定价格包括且不限于设计费、材料费、人工费、安装费、包装费、运输费、装卸费、调试费、接口费、检</w:t>
      </w:r>
      <w:bookmarkStart w:id="5" w:name="_GoBack"/>
      <w:r>
        <w:rPr>
          <w:rFonts w:hint="eastAsia" w:ascii="宋体" w:hAnsi="宋体" w:eastAsia="宋体" w:cs="宋体"/>
          <w:color w:val="auto"/>
          <w:sz w:val="24"/>
          <w:szCs w:val="24"/>
          <w:highlight w:val="none"/>
          <w:lang w:val="en-US" w:eastAsia="zh-CN"/>
        </w:rPr>
        <w:t xml:space="preserve">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auto"/>
          <w:sz w:val="24"/>
          <w:szCs w:val="24"/>
          <w:highlight w:val="none"/>
        </w:rPr>
      </w:pPr>
      <w:r>
        <w:rPr>
          <w:rFonts w:hint="eastAsia" w:ascii="宋体" w:hAnsi="宋体" w:eastAsia="宋体" w:cs="宋体"/>
          <w:color w:val="auto"/>
          <w:sz w:val="24"/>
          <w:szCs w:val="24"/>
          <w:highlight w:val="none"/>
          <w:lang w:val="en-US" w:eastAsia="zh-CN"/>
        </w:rPr>
        <w:t>1.3 ☑</w:t>
      </w:r>
      <w:r>
        <w:rPr>
          <w:rFonts w:hint="eastAsia" w:ascii="宋体" w:hAnsi="宋体" w:cs="宋体"/>
          <w:color w:val="auto"/>
          <w:sz w:val="24"/>
          <w:szCs w:val="24"/>
          <w:highlight w:val="none"/>
        </w:rPr>
        <w:t>本合同设备</w:t>
      </w:r>
      <w:r>
        <w:rPr>
          <w:rFonts w:hint="eastAsia" w:ascii="宋体" w:hAnsi="宋体" w:cs="宋体"/>
          <w:color w:val="auto"/>
          <w:sz w:val="24"/>
          <w:szCs w:val="24"/>
          <w:highlight w:val="none"/>
          <w:lang w:eastAsia="zh-CN"/>
        </w:rPr>
        <w:t>无需</w:t>
      </w:r>
      <w:r>
        <w:rPr>
          <w:rFonts w:hint="eastAsia" w:ascii="宋体" w:hAnsi="宋体" w:cs="宋体"/>
          <w:color w:val="auto"/>
          <w:sz w:val="24"/>
          <w:szCs w:val="24"/>
          <w:highlight w:val="none"/>
        </w:rPr>
        <w:t>与甲方</w:t>
      </w:r>
      <w:r>
        <w:rPr>
          <w:rFonts w:hint="eastAsia" w:ascii="宋体" w:hAnsi="宋体" w:cs="宋体"/>
          <w:color w:val="auto"/>
          <w:sz w:val="24"/>
          <w:szCs w:val="24"/>
          <w:highlight w:val="none"/>
          <w:lang w:eastAsia="zh-CN"/>
        </w:rPr>
        <w:t>使用的</w:t>
      </w:r>
      <w:r>
        <w:rPr>
          <w:rFonts w:hint="eastAsia" w:ascii="宋体" w:hAnsi="宋体" w:cs="宋体"/>
          <w:color w:val="auto"/>
          <w:sz w:val="24"/>
          <w:szCs w:val="24"/>
          <w:highlight w:val="none"/>
        </w:rPr>
        <w:t>信息系统</w:t>
      </w:r>
      <w:r>
        <w:rPr>
          <w:rFonts w:hint="eastAsia" w:ascii="宋体" w:hAnsi="宋体" w:cs="宋体"/>
          <w:color w:val="auto"/>
          <w:sz w:val="24"/>
          <w:szCs w:val="24"/>
          <w:highlight w:val="none"/>
          <w:lang w:eastAsia="zh-CN"/>
        </w:rPr>
        <w:t>对接。</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rPr>
        <w:t>本合同设备</w:t>
      </w:r>
      <w:r>
        <w:rPr>
          <w:rFonts w:hint="eastAsia" w:ascii="宋体" w:hAnsi="宋体" w:cs="宋体"/>
          <w:color w:val="auto"/>
          <w:sz w:val="24"/>
          <w:szCs w:val="24"/>
          <w:highlight w:val="none"/>
          <w:lang w:eastAsia="zh-CN"/>
        </w:rPr>
        <w:t>需要</w:t>
      </w:r>
      <w:r>
        <w:rPr>
          <w:rFonts w:hint="eastAsia" w:ascii="宋体" w:hAnsi="宋体" w:cs="宋体"/>
          <w:color w:val="auto"/>
          <w:sz w:val="24"/>
          <w:szCs w:val="24"/>
          <w:highlight w:val="none"/>
        </w:rPr>
        <w:t>与甲方</w:t>
      </w:r>
      <w:r>
        <w:rPr>
          <w:rFonts w:hint="eastAsia" w:ascii="宋体" w:hAnsi="宋体" w:cs="宋体"/>
          <w:color w:val="auto"/>
          <w:sz w:val="24"/>
          <w:szCs w:val="24"/>
          <w:highlight w:val="none"/>
          <w:lang w:eastAsia="zh-CN"/>
        </w:rPr>
        <w:t>使用的</w:t>
      </w:r>
      <w:r>
        <w:rPr>
          <w:rFonts w:hint="eastAsia" w:ascii="宋体" w:hAnsi="宋体" w:cs="宋体"/>
          <w:color w:val="auto"/>
          <w:sz w:val="24"/>
          <w:szCs w:val="24"/>
          <w:highlight w:val="none"/>
        </w:rPr>
        <w:t>信息系统</w:t>
      </w:r>
      <w:r>
        <w:rPr>
          <w:rFonts w:hint="eastAsia" w:ascii="宋体" w:hAnsi="宋体" w:cs="宋体"/>
          <w:color w:val="auto"/>
          <w:sz w:val="24"/>
          <w:szCs w:val="24"/>
          <w:highlight w:val="none"/>
          <w:lang w:eastAsia="zh-CN"/>
        </w:rPr>
        <w:t>对接，因</w:t>
      </w:r>
      <w:r>
        <w:rPr>
          <w:rFonts w:hint="eastAsia" w:ascii="宋体" w:hAnsi="宋体" w:cs="宋体"/>
          <w:color w:val="auto"/>
          <w:sz w:val="24"/>
          <w:szCs w:val="24"/>
          <w:highlight w:val="none"/>
        </w:rPr>
        <w:t>对接产生的接口开发等</w:t>
      </w:r>
      <w:r>
        <w:rPr>
          <w:rFonts w:hint="eastAsia" w:ascii="宋体" w:hAnsi="宋体" w:cs="宋体"/>
          <w:color w:val="auto"/>
          <w:sz w:val="24"/>
          <w:szCs w:val="24"/>
          <w:highlight w:val="none"/>
          <w:lang w:eastAsia="zh-CN"/>
        </w:rPr>
        <w:t>乙方及第三方需要收取的</w:t>
      </w:r>
      <w:r>
        <w:rPr>
          <w:rFonts w:hint="eastAsia" w:ascii="宋体" w:hAnsi="宋体" w:cs="宋体"/>
          <w:color w:val="auto"/>
          <w:sz w:val="24"/>
          <w:szCs w:val="24"/>
          <w:highlight w:val="none"/>
        </w:rPr>
        <w:t>全部费用均由乙方承担。</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kern w:val="2"/>
          <w:sz w:val="24"/>
          <w:szCs w:val="24"/>
          <w:highlight w:val="none"/>
          <w:lang w:val="en-US" w:eastAsia="zh-CN" w:bidi="ar-SA"/>
        </w:rPr>
        <w:t xml:space="preserve">第二条  </w:t>
      </w:r>
      <w:r>
        <w:rPr>
          <w:rFonts w:hint="default" w:ascii="宋体" w:hAnsi="宋体" w:eastAsia="宋体" w:cs="宋体"/>
          <w:b/>
          <w:bCs/>
          <w:color w:val="auto"/>
          <w:sz w:val="24"/>
          <w:szCs w:val="24"/>
          <w:highlight w:val="none"/>
          <w:lang w:val="en-US" w:eastAsia="zh-CN"/>
        </w:rPr>
        <w:t>交货时间、地点、运输</w:t>
      </w:r>
      <w:r>
        <w:rPr>
          <w:rFonts w:hint="eastAsia" w:ascii="宋体" w:hAnsi="宋体" w:eastAsia="宋体" w:cs="宋体"/>
          <w:b/>
          <w:bCs/>
          <w:color w:val="auto"/>
          <w:sz w:val="24"/>
          <w:szCs w:val="24"/>
          <w:highlight w:val="none"/>
          <w:lang w:val="en-US" w:eastAsia="zh-CN"/>
        </w:rPr>
        <w:t>、</w:t>
      </w:r>
      <w:r>
        <w:rPr>
          <w:rFonts w:hint="default" w:ascii="宋体" w:hAnsi="宋体" w:eastAsia="宋体" w:cs="宋体"/>
          <w:b/>
          <w:bCs/>
          <w:color w:val="auto"/>
          <w:sz w:val="24"/>
          <w:szCs w:val="24"/>
          <w:highlight w:val="none"/>
          <w:lang w:val="en-US" w:eastAsia="zh-CN"/>
        </w:rPr>
        <w:t>装卸</w:t>
      </w:r>
      <w:r>
        <w:rPr>
          <w:rFonts w:hint="eastAsia" w:ascii="宋体" w:hAnsi="宋体" w:eastAsia="宋体" w:cs="宋体"/>
          <w:b/>
          <w:bCs/>
          <w:color w:val="auto"/>
          <w:sz w:val="24"/>
          <w:szCs w:val="24"/>
          <w:highlight w:val="none"/>
          <w:lang w:val="en-US" w:eastAsia="zh-CN"/>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2.1 </w:t>
      </w:r>
      <w:r>
        <w:rPr>
          <w:rFonts w:hint="default" w:ascii="宋体" w:hAnsi="宋体" w:eastAsia="宋体" w:cs="宋体"/>
          <w:color w:val="auto"/>
          <w:sz w:val="24"/>
          <w:szCs w:val="24"/>
          <w:highlight w:val="none"/>
          <w:lang w:val="en-US" w:eastAsia="zh-CN"/>
        </w:rPr>
        <w:t>交货时间：乙方应在</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u w:val="none"/>
          <w:lang w:val="en-US" w:eastAsia="zh-CN"/>
        </w:rPr>
        <w:t>☑自接到甲方通知之日起</w:t>
      </w:r>
      <w:r>
        <w:rPr>
          <w:rFonts w:hint="eastAsia" w:ascii="宋体" w:hAnsi="宋体" w:eastAsia="宋体" w:cs="宋体"/>
          <w:color w:val="auto"/>
          <w:sz w:val="24"/>
          <w:szCs w:val="24"/>
          <w:highlight w:val="none"/>
          <w:u w:val="single"/>
          <w:lang w:val="en-US" w:eastAsia="zh-CN"/>
        </w:rPr>
        <w:t xml:space="preserve"> 7 </w:t>
      </w:r>
      <w:r>
        <w:rPr>
          <w:rFonts w:hint="eastAsia" w:ascii="宋体" w:hAnsi="宋体" w:eastAsia="宋体" w:cs="宋体"/>
          <w:color w:val="auto"/>
          <w:sz w:val="24"/>
          <w:szCs w:val="24"/>
          <w:highlight w:val="none"/>
          <w:u w:val="none"/>
          <w:lang w:val="en-US" w:eastAsia="zh-CN"/>
        </w:rPr>
        <w:t>日内□</w:t>
      </w:r>
      <w:r>
        <w:rPr>
          <w:rFonts w:hint="default"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none"/>
          <w:lang w:val="en-US" w:eastAsia="zh-CN"/>
        </w:rPr>
        <w:t>年</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none"/>
          <w:lang w:val="en-US" w:eastAsia="zh-CN"/>
        </w:rPr>
        <w:t>月</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none"/>
          <w:lang w:val="en-US" w:eastAsia="zh-CN"/>
        </w:rPr>
        <w:t>日之前</w:t>
      </w:r>
      <w:r>
        <w:rPr>
          <w:rFonts w:hint="eastAsia" w:ascii="宋体" w:hAnsi="宋体" w:eastAsia="宋体" w:cs="宋体"/>
          <w:color w:val="auto"/>
          <w:sz w:val="24"/>
          <w:szCs w:val="24"/>
          <w:highlight w:val="none"/>
          <w:u w:val="none"/>
          <w:lang w:val="en-US" w:eastAsia="zh-CN"/>
        </w:rPr>
        <w:t>）</w:t>
      </w:r>
      <w:r>
        <w:rPr>
          <w:rFonts w:hint="default" w:ascii="宋体" w:hAnsi="宋体" w:eastAsia="宋体" w:cs="宋体"/>
          <w:color w:val="auto"/>
          <w:sz w:val="24"/>
          <w:szCs w:val="24"/>
          <w:highlight w:val="none"/>
          <w:lang w:val="en-US" w:eastAsia="zh-CN"/>
        </w:rPr>
        <w:t>将设备运至</w:t>
      </w:r>
      <w:r>
        <w:rPr>
          <w:rFonts w:hint="eastAsia" w:ascii="宋体" w:hAnsi="宋体" w:eastAsia="宋体" w:cs="宋体"/>
          <w:color w:val="auto"/>
          <w:sz w:val="24"/>
          <w:szCs w:val="24"/>
          <w:highlight w:val="none"/>
          <w:lang w:val="en-US" w:eastAsia="zh-CN"/>
        </w:rPr>
        <w:t>甲方指定交货</w:t>
      </w:r>
      <w:r>
        <w:rPr>
          <w:rFonts w:hint="default" w:ascii="宋体" w:hAnsi="宋体" w:eastAsia="宋体" w:cs="宋体"/>
          <w:color w:val="auto"/>
          <w:sz w:val="24"/>
          <w:szCs w:val="24"/>
          <w:highlight w:val="none"/>
          <w:lang w:val="en-US" w:eastAsia="zh-CN"/>
        </w:rPr>
        <w:t>地点，并</w:t>
      </w:r>
      <w:r>
        <w:rPr>
          <w:rFonts w:hint="eastAsia" w:ascii="宋体" w:hAnsi="宋体" w:eastAsia="宋体" w:cs="宋体"/>
          <w:color w:val="auto"/>
          <w:sz w:val="24"/>
          <w:szCs w:val="24"/>
          <w:highlight w:val="none"/>
          <w:lang w:val="en-US" w:eastAsia="zh-CN"/>
        </w:rPr>
        <w:t>在（</w:t>
      </w:r>
      <w:r>
        <w:rPr>
          <w:rFonts w:hint="eastAsia" w:ascii="宋体" w:hAnsi="宋体" w:eastAsia="宋体" w:cs="宋体"/>
          <w:color w:val="auto"/>
          <w:sz w:val="24"/>
          <w:szCs w:val="24"/>
          <w:highlight w:val="none"/>
          <w:u w:val="none"/>
          <w:lang w:val="en-US" w:eastAsia="zh-CN"/>
        </w:rPr>
        <w:t>☑到货后</w:t>
      </w:r>
      <w:r>
        <w:rPr>
          <w:rFonts w:hint="eastAsia" w:ascii="宋体" w:hAnsi="宋体" w:eastAsia="宋体" w:cs="宋体"/>
          <w:color w:val="auto"/>
          <w:sz w:val="24"/>
          <w:szCs w:val="24"/>
          <w:highlight w:val="none"/>
          <w:u w:val="single"/>
          <w:lang w:val="en-US" w:eastAsia="zh-CN"/>
        </w:rPr>
        <w:t xml:space="preserve"> 3 </w:t>
      </w:r>
      <w:r>
        <w:rPr>
          <w:rFonts w:hint="eastAsia" w:ascii="宋体" w:hAnsi="宋体" w:eastAsia="宋体" w:cs="宋体"/>
          <w:color w:val="auto"/>
          <w:sz w:val="24"/>
          <w:szCs w:val="24"/>
          <w:highlight w:val="none"/>
          <w:u w:val="none"/>
          <w:lang w:val="en-US" w:eastAsia="zh-CN"/>
        </w:rPr>
        <w:t>日内□</w:t>
      </w:r>
      <w:r>
        <w:rPr>
          <w:rFonts w:hint="default"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none"/>
          <w:lang w:val="en-US" w:eastAsia="zh-CN"/>
        </w:rPr>
        <w:t>年</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none"/>
          <w:lang w:val="en-US" w:eastAsia="zh-CN"/>
        </w:rPr>
        <w:t>月</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none"/>
          <w:lang w:val="en-US" w:eastAsia="zh-CN"/>
        </w:rPr>
        <w:t>日之前</w:t>
      </w:r>
      <w:r>
        <w:rPr>
          <w:rFonts w:hint="eastAsia" w:ascii="宋体" w:hAnsi="宋体" w:eastAsia="宋体" w:cs="宋体"/>
          <w:color w:val="auto"/>
          <w:sz w:val="24"/>
          <w:szCs w:val="24"/>
          <w:highlight w:val="none"/>
          <w:u w:val="none"/>
          <w:lang w:val="en-US" w:eastAsia="zh-CN"/>
        </w:rPr>
        <w:t>）</w:t>
      </w:r>
      <w:r>
        <w:rPr>
          <w:rFonts w:hint="default" w:ascii="宋体" w:hAnsi="宋体" w:eastAsia="宋体" w:cs="宋体"/>
          <w:color w:val="auto"/>
          <w:sz w:val="24"/>
          <w:szCs w:val="24"/>
          <w:highlight w:val="none"/>
          <w:lang w:val="en-US" w:eastAsia="zh-CN"/>
        </w:rPr>
        <w:t>完成安装、调试，办理验收手续并交付甲方使用。</w:t>
      </w:r>
    </w:p>
    <w:bookmarkEnd w:id="5"/>
    <w:p w14:paraId="6F612A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w:t>
      </w:r>
      <w:r>
        <w:rPr>
          <w:rFonts w:hint="eastAsia" w:ascii="宋体" w:hAnsi="宋体" w:eastAsia="宋体" w:cs="宋体"/>
          <w:color w:val="auto"/>
          <w:sz w:val="24"/>
          <w:szCs w:val="24"/>
          <w:highlight w:val="none"/>
          <w:lang w:val="en-US" w:eastAsia="zh-CN"/>
        </w:rPr>
        <w:t xml:space="preserve"> 质量标准：乙方提供设备的质量、安装应符合或优于国家标准；如投标文件/响应文件中的技术参数和质量标准高于国家标准，则设备的技术参数和质量标准以投标文件/响应文件为准；如乙方应交付的设备属于国产</w:t>
      </w:r>
      <w:r>
        <w:rPr>
          <w:rFonts w:hint="eastAsia" w:ascii="宋体" w:hAnsi="宋体" w:cs="宋体"/>
          <w:color w:val="auto"/>
          <w:sz w:val="24"/>
          <w:szCs w:val="24"/>
          <w:highlight w:val="none"/>
          <w:lang w:val="en-US" w:eastAsia="zh-CN"/>
        </w:rPr>
        <w:t>设备，则应保证该设备为交付时起近</w:t>
      </w:r>
      <w:r>
        <w:rPr>
          <w:rFonts w:hint="eastAsia" w:ascii="宋体" w:hAnsi="宋体" w:cs="宋体"/>
          <w:color w:val="auto"/>
          <w:sz w:val="24"/>
          <w:szCs w:val="24"/>
          <w:highlight w:val="none"/>
          <w:lang w:eastAsia="zh-CN"/>
        </w:rPr>
        <w:t>6个月内生产的产品；</w:t>
      </w:r>
      <w:r>
        <w:rPr>
          <w:rFonts w:hint="eastAsia" w:ascii="宋体" w:hAnsi="宋体" w:cs="宋体"/>
          <w:color w:val="auto"/>
          <w:sz w:val="24"/>
          <w:szCs w:val="24"/>
          <w:highlight w:val="none"/>
          <w:lang w:val="en-US" w:eastAsia="zh-CN"/>
        </w:rPr>
        <w:t>如乙方</w:t>
      </w:r>
      <w:r>
        <w:rPr>
          <w:rFonts w:hint="eastAsia" w:ascii="宋体" w:hAnsi="宋体" w:eastAsia="宋体" w:cs="宋体"/>
          <w:color w:val="auto"/>
          <w:sz w:val="24"/>
          <w:szCs w:val="24"/>
          <w:highlight w:val="none"/>
          <w:lang w:val="en-US" w:eastAsia="zh-CN"/>
        </w:rPr>
        <w:t>应</w:t>
      </w:r>
      <w:r>
        <w:rPr>
          <w:rFonts w:hint="eastAsia" w:ascii="宋体" w:hAnsi="宋体" w:cs="宋体"/>
          <w:color w:val="auto"/>
          <w:sz w:val="24"/>
          <w:szCs w:val="24"/>
          <w:highlight w:val="none"/>
          <w:lang w:val="en-US" w:eastAsia="zh-CN"/>
        </w:rPr>
        <w:t>交付的设备属于</w:t>
      </w:r>
      <w:r>
        <w:rPr>
          <w:rFonts w:hint="eastAsia" w:ascii="宋体" w:hAnsi="宋体" w:eastAsia="宋体" w:cs="宋体"/>
          <w:color w:val="auto"/>
          <w:sz w:val="24"/>
          <w:szCs w:val="24"/>
          <w:highlight w:val="none"/>
          <w:lang w:val="en-US" w:eastAsia="zh-CN"/>
        </w:rPr>
        <w:t>进口设备</w:t>
      </w:r>
      <w:r>
        <w:rPr>
          <w:rFonts w:hint="eastAsia" w:ascii="宋体" w:hAnsi="宋体" w:cs="宋体"/>
          <w:color w:val="auto"/>
          <w:sz w:val="24"/>
          <w:szCs w:val="24"/>
          <w:highlight w:val="none"/>
          <w:lang w:val="en-US" w:eastAsia="zh-CN"/>
        </w:rPr>
        <w:t>，则应保证该设备</w:t>
      </w:r>
      <w:r>
        <w:rPr>
          <w:rFonts w:hint="eastAsia" w:ascii="宋体" w:hAnsi="宋体" w:cs="宋体"/>
          <w:color w:val="auto"/>
          <w:sz w:val="24"/>
          <w:szCs w:val="24"/>
          <w:highlight w:val="none"/>
          <w:lang w:eastAsia="zh-CN"/>
        </w:rPr>
        <w:t>为</w:t>
      </w:r>
      <w:r>
        <w:rPr>
          <w:rFonts w:hint="eastAsia" w:ascii="宋体" w:hAnsi="宋体" w:cs="宋体"/>
          <w:color w:val="auto"/>
          <w:sz w:val="24"/>
          <w:szCs w:val="24"/>
          <w:highlight w:val="none"/>
          <w:lang w:val="en-US" w:eastAsia="zh-CN"/>
        </w:rPr>
        <w:t>交付时起近一年</w:t>
      </w:r>
      <w:r>
        <w:rPr>
          <w:rFonts w:hint="eastAsia" w:ascii="宋体" w:hAnsi="宋体" w:cs="宋体"/>
          <w:color w:val="auto"/>
          <w:sz w:val="24"/>
          <w:szCs w:val="24"/>
          <w:highlight w:val="none"/>
          <w:lang w:eastAsia="zh-CN"/>
        </w:rPr>
        <w:t>内生产的产品</w:t>
      </w:r>
      <w:r>
        <w:rPr>
          <w:rFonts w:hint="eastAsia" w:ascii="宋体" w:hAnsi="宋体" w:eastAsia="宋体" w:cs="宋体"/>
          <w:color w:val="auto"/>
          <w:sz w:val="24"/>
          <w:szCs w:val="24"/>
          <w:highlight w:val="none"/>
          <w:lang w:val="en-US" w:eastAsia="zh-CN"/>
        </w:rPr>
        <w:t>。</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auto"/>
          <w:sz w:val="24"/>
          <w:szCs w:val="24"/>
          <w:highlight w:val="none"/>
          <w:lang w:val="en-US" w:eastAsia="zh-CN"/>
        </w:rPr>
        <w:t>3.2.1 到货验收：乙方将设备运至指定交货地点后，应通知</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5.1 本合同设备质保期为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彭春涛</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721294732@qq.com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auto"/>
          <w:sz w:val="24"/>
          <w:highlight w:val="none"/>
          <w:lang w:val="en-US" w:eastAsia="zh-CN"/>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w:t>
      </w:r>
      <w:r>
        <w:rPr>
          <w:rFonts w:hint="eastAsia" w:ascii="宋体" w:hAnsi="宋体" w:eastAsia="宋体" w:cs="宋体"/>
          <w:color w:val="auto"/>
          <w:sz w:val="24"/>
          <w:highlight w:val="none"/>
        </w:rPr>
        <w:t>定时间内将验收合格的</w:t>
      </w:r>
      <w:r>
        <w:rPr>
          <w:rFonts w:hint="eastAsia" w:ascii="宋体" w:hAnsi="宋体" w:eastAsia="宋体" w:cs="宋体"/>
          <w:color w:val="auto"/>
          <w:sz w:val="24"/>
          <w:highlight w:val="none"/>
          <w:lang w:val="en-US" w:eastAsia="zh-CN"/>
        </w:rPr>
        <w:t>设备</w:t>
      </w:r>
      <w:r>
        <w:rPr>
          <w:rFonts w:hint="eastAsia" w:ascii="宋体" w:hAnsi="宋体" w:eastAsia="宋体" w:cs="宋体"/>
          <w:color w:val="auto"/>
          <w:sz w:val="24"/>
          <w:highlight w:val="none"/>
        </w:rPr>
        <w:t>交付给甲方使用，除应赔偿甲方因此造成的损失外，每逾期一日，按</w:t>
      </w:r>
      <w:r>
        <w:rPr>
          <w:rFonts w:hint="eastAsia" w:ascii="宋体" w:hAnsi="宋体" w:eastAsia="宋体" w:cs="宋体"/>
          <w:color w:val="auto"/>
          <w:sz w:val="24"/>
          <w:highlight w:val="none"/>
          <w:lang w:eastAsia="zh-CN"/>
        </w:rPr>
        <w:t>（</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元 ☑</w:t>
      </w:r>
      <w:r>
        <w:rPr>
          <w:rFonts w:hint="eastAsia" w:ascii="宋体" w:hAnsi="宋体" w:eastAsia="宋体" w:cs="宋体"/>
          <w:color w:val="auto"/>
          <w:sz w:val="24"/>
          <w:highlight w:val="none"/>
          <w:u w:val="none"/>
        </w:rPr>
        <w:t>本合同约定总价款的</w:t>
      </w:r>
      <w:r>
        <w:rPr>
          <w:rFonts w:hint="eastAsia" w:ascii="宋体" w:hAnsi="宋体" w:eastAsia="宋体" w:cs="宋体"/>
          <w:color w:val="auto"/>
          <w:sz w:val="24"/>
          <w:highlight w:val="none"/>
          <w:u w:val="none"/>
          <w:lang w:eastAsia="zh-CN"/>
        </w:rPr>
        <w:t>千分之一</w:t>
      </w:r>
      <w:r>
        <w:rPr>
          <w:rFonts w:hint="eastAsia" w:ascii="宋体" w:hAnsi="宋体" w:eastAsia="宋体" w:cs="宋体"/>
          <w:color w:val="auto"/>
          <w:sz w:val="24"/>
          <w:highlight w:val="none"/>
          <w:lang w:eastAsia="zh-CN"/>
        </w:rPr>
        <w:t>）标准</w:t>
      </w:r>
      <w:r>
        <w:rPr>
          <w:rFonts w:hint="eastAsia" w:ascii="宋体" w:hAnsi="宋体" w:eastAsia="宋体" w:cs="宋体"/>
          <w:color w:val="auto"/>
          <w:sz w:val="24"/>
          <w:highlight w:val="none"/>
        </w:rPr>
        <w:t>向甲方支付违约金。</w:t>
      </w:r>
    </w:p>
    <w:p w14:paraId="732D9B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cs="宋体"/>
          <w:color w:val="auto"/>
          <w:sz w:val="24"/>
          <w:highlight w:val="none"/>
          <w:lang w:val="en-US" w:eastAsia="zh-CN"/>
        </w:rPr>
        <w:t>12</w:t>
      </w:r>
      <w:r>
        <w:rPr>
          <w:rFonts w:hint="eastAsia" w:ascii="宋体" w:hAnsi="宋体" w:eastAsia="宋体" w:cs="宋体"/>
          <w:color w:val="auto"/>
          <w:sz w:val="24"/>
          <w:highlight w:val="none"/>
        </w:rPr>
        <w:t>.3 如乙方单方解除合同或甲方因</w:t>
      </w:r>
      <w:r>
        <w:rPr>
          <w:rFonts w:hint="eastAsia" w:ascii="宋体" w:hAnsi="宋体" w:eastAsia="宋体" w:cs="宋体"/>
          <w:color w:val="auto"/>
          <w:sz w:val="24"/>
          <w:highlight w:val="none"/>
          <w:lang w:val="en-US" w:eastAsia="zh-CN"/>
        </w:rPr>
        <w:t>11.3情形</w:t>
      </w:r>
      <w:r>
        <w:rPr>
          <w:rFonts w:hint="eastAsia" w:ascii="宋体" w:hAnsi="宋体" w:eastAsia="宋体" w:cs="宋体"/>
          <w:color w:val="auto"/>
          <w:sz w:val="24"/>
          <w:highlight w:val="none"/>
        </w:rPr>
        <w:t>解除合同，乙方应赔偿给甲方造成的全部经济损失，并按</w:t>
      </w:r>
      <w:r>
        <w:rPr>
          <w:rFonts w:hint="eastAsia" w:ascii="宋体" w:hAnsi="宋体" w:eastAsia="宋体" w:cs="宋体"/>
          <w:color w:val="auto"/>
          <w:sz w:val="24"/>
          <w:highlight w:val="none"/>
          <w:lang w:eastAsia="zh-CN"/>
        </w:rPr>
        <w:t>（</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元 ☑</w:t>
      </w:r>
      <w:r>
        <w:rPr>
          <w:rFonts w:hint="eastAsia" w:ascii="宋体" w:hAnsi="宋体" w:eastAsia="宋体" w:cs="宋体"/>
          <w:color w:val="auto"/>
          <w:sz w:val="24"/>
          <w:highlight w:val="none"/>
          <w:u w:val="none"/>
        </w:rPr>
        <w:t>本合同总价款30%</w:t>
      </w:r>
      <w:r>
        <w:rPr>
          <w:rFonts w:hint="eastAsia" w:ascii="宋体" w:hAnsi="宋体" w:eastAsia="宋体" w:cs="宋体"/>
          <w:color w:val="auto"/>
          <w:sz w:val="24"/>
          <w:highlight w:val="none"/>
          <w:u w:val="none"/>
          <w:lang w:eastAsia="zh-CN"/>
        </w:rPr>
        <w:t>）</w:t>
      </w:r>
      <w:r>
        <w:rPr>
          <w:rFonts w:hint="eastAsia" w:ascii="宋体" w:hAnsi="宋体" w:eastAsia="宋体" w:cs="宋体"/>
          <w:color w:val="auto"/>
          <w:sz w:val="24"/>
          <w:highlight w:val="none"/>
        </w:rPr>
        <w:t>标准</w:t>
      </w:r>
      <w:r>
        <w:rPr>
          <w:rFonts w:hint="eastAsia" w:ascii="宋体" w:hAnsi="宋体" w:eastAsia="宋体" w:cs="宋体"/>
          <w:color w:val="auto"/>
          <w:sz w:val="24"/>
          <w:highlight w:val="none"/>
          <w:lang w:val="en-US" w:eastAsia="zh-CN"/>
        </w:rPr>
        <w:t>向</w:t>
      </w:r>
      <w:r>
        <w:rPr>
          <w:rFonts w:hint="eastAsia" w:ascii="宋体" w:hAnsi="宋体" w:eastAsia="宋体" w:cs="宋体"/>
          <w:color w:val="auto"/>
          <w:sz w:val="24"/>
          <w:highlight w:val="none"/>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u w:val="single"/>
          <w:lang w:val="en-US" w:eastAsia="zh-CN"/>
        </w:rPr>
        <w:t>12.4 无论甲方在任意时候（不限于本合同履行期间）发现存在违反本合同廉洁条款及供应商考核管理制度约定的行为，乙方均须向甲方支付一次性惩罚性违约金，该违约金金额按以下较高者确定：（1）本合同总费用的10%；（2）根据《娄底市中心医院医疗器械供应商考核管理制度》规定计算的廉政违约金金额。如乙方除需承担违反廉洁条款及供应商考核管理制度的违约责任外，同时存在其他违约行为，乙方仍须就其他违约行为承担相应违约责任。</w:t>
      </w:r>
    </w:p>
    <w:p w14:paraId="593381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auto"/>
          <w:sz w:val="24"/>
          <w:highlight w:val="none"/>
          <w:u w:val="single"/>
          <w:lang w:val="en-US" w:eastAsia="zh-CN"/>
        </w:rPr>
      </w:pPr>
      <w:r>
        <w:rPr>
          <w:rFonts w:hint="eastAsia" w:ascii="宋体" w:hAnsi="宋体" w:eastAsia="宋体" w:cs="宋体"/>
          <w:b/>
          <w:bCs/>
          <w:color w:val="auto"/>
          <w:sz w:val="24"/>
          <w:highlight w:val="none"/>
          <w:u w:val="single"/>
          <w:lang w:val="en-US" w:eastAsia="zh-CN"/>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rPr>
        <w:t>第</w:t>
      </w:r>
      <w:r>
        <w:rPr>
          <w:rFonts w:hint="eastAsia" w:ascii="宋体" w:hAnsi="宋体" w:cs="宋体"/>
          <w:b/>
          <w:bCs/>
          <w:color w:val="auto"/>
          <w:sz w:val="24"/>
          <w:highlight w:val="none"/>
          <w:lang w:val="en-US" w:eastAsia="zh-CN"/>
        </w:rPr>
        <w:t>十三</w:t>
      </w:r>
      <w:r>
        <w:rPr>
          <w:rFonts w:hint="eastAsia" w:ascii="宋体" w:hAnsi="宋体" w:eastAsia="宋体" w:cs="宋体"/>
          <w:b/>
          <w:bCs/>
          <w:color w:val="auto"/>
          <w:sz w:val="24"/>
          <w:highlight w:val="none"/>
        </w:rPr>
        <w:t>条 争议解决</w:t>
      </w:r>
    </w:p>
    <w:p w14:paraId="592172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13.1 本合同适用中华人民共和国法律，并按其解释。</w:t>
      </w:r>
    </w:p>
    <w:p w14:paraId="3DCB19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13.2 </w:t>
      </w:r>
      <w:r>
        <w:rPr>
          <w:rFonts w:hint="eastAsia" w:ascii="宋体" w:hAnsi="宋体" w:eastAsia="宋体" w:cs="宋体"/>
          <w:color w:val="auto"/>
          <w:sz w:val="24"/>
          <w:highlight w:val="none"/>
        </w:rPr>
        <w:t>如双方在履行本合同过程中发生争议，双方应先协商解决，协商解决不成的，任一方均可向甲方所在地有管辖权的人民法院提起诉讼解决。</w:t>
      </w:r>
    </w:p>
    <w:p w14:paraId="3E8F58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rPr>
        <w:t>第十</w:t>
      </w:r>
      <w:r>
        <w:rPr>
          <w:rFonts w:hint="eastAsia" w:ascii="宋体" w:hAnsi="宋体" w:cs="宋体"/>
          <w:b/>
          <w:bCs/>
          <w:color w:val="auto"/>
          <w:sz w:val="24"/>
          <w:highlight w:val="none"/>
          <w:lang w:val="en-US" w:eastAsia="zh-CN"/>
        </w:rPr>
        <w:t>四</w:t>
      </w:r>
      <w:r>
        <w:rPr>
          <w:rFonts w:hint="eastAsia" w:ascii="宋体" w:hAnsi="宋体" w:eastAsia="宋体" w:cs="宋体"/>
          <w:b/>
          <w:bCs/>
          <w:color w:val="auto"/>
          <w:sz w:val="24"/>
          <w:highlight w:val="none"/>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 甲方《娄底市中心医院医疗器械供应商考核管理制度》、</w:t>
      </w:r>
      <w:r>
        <w:rPr>
          <w:rFonts w:hint="eastAsia" w:ascii="宋体" w:hAnsi="宋体" w:eastAsia="宋体" w:cs="宋体"/>
          <w:color w:val="auto"/>
          <w:sz w:val="24"/>
          <w:highlight w:val="none"/>
          <w:lang w:eastAsia="zh-CN"/>
        </w:rPr>
        <w:t>乙方加盖公章的资质复印件、售后承诺等作为本合同附件。</w:t>
      </w:r>
    </w:p>
    <w:p w14:paraId="14CD2E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auto"/>
          <w:sz w:val="24"/>
          <w:highlight w:val="none"/>
          <w:lang w:eastAsia="zh-CN"/>
        </w:rPr>
        <w:t xml:space="preserve">14.2 </w:t>
      </w:r>
      <w:r>
        <w:rPr>
          <w:rFonts w:hint="eastAsia" w:ascii="宋体" w:hAnsi="宋体" w:eastAsia="宋体" w:cs="宋体"/>
          <w:color w:val="auto"/>
          <w:sz w:val="24"/>
          <w:highlight w:val="none"/>
        </w:rPr>
        <w:t>本合同组成文件和优先解释顺序：</w:t>
      </w:r>
      <w:r>
        <w:rPr>
          <w:rFonts w:hint="eastAsia" w:ascii="宋体" w:hAnsi="宋体" w:eastAsia="宋体" w:cs="宋体"/>
          <w:color w:val="auto"/>
          <w:sz w:val="24"/>
          <w:highlight w:val="none"/>
          <w:lang w:eastAsia="zh-CN"/>
        </w:rPr>
        <w:t>乙方在履行本合同中作出的书面承诺；</w:t>
      </w:r>
      <w:r>
        <w:rPr>
          <w:rFonts w:hint="eastAsia" w:ascii="宋体" w:hAnsi="宋体" w:eastAsia="宋体" w:cs="宋体"/>
          <w:color w:val="auto"/>
          <w:sz w:val="24"/>
          <w:highlight w:val="none"/>
        </w:rPr>
        <w:t>本合同补充协议；本合同及附件；</w:t>
      </w:r>
      <w:r>
        <w:rPr>
          <w:rFonts w:hint="eastAsia" w:ascii="宋体" w:hAnsi="宋体" w:eastAsia="宋体" w:cs="宋体"/>
          <w:color w:val="auto"/>
          <w:sz w:val="24"/>
          <w:highlight w:val="none"/>
          <w:lang w:eastAsia="zh-CN"/>
        </w:rPr>
        <w:t>中标通知书</w:t>
      </w:r>
      <w:r>
        <w:rPr>
          <w:rFonts w:hint="eastAsia" w:ascii="宋体" w:hAnsi="宋体" w:eastAsia="宋体" w:cs="宋体"/>
          <w:color w:val="auto"/>
          <w:sz w:val="24"/>
          <w:highlight w:val="none"/>
          <w:lang w:val="en-US" w:eastAsia="zh-CN"/>
        </w:rPr>
        <w:t>/成交通知书/</w:t>
      </w:r>
      <w:r>
        <w:rPr>
          <w:rFonts w:hint="eastAsia" w:ascii="宋体" w:hAnsi="宋体" w:eastAsia="宋体" w:cs="宋体"/>
          <w:color w:val="auto"/>
          <w:sz w:val="24"/>
          <w:highlight w:val="none"/>
        </w:rPr>
        <w:t>议价结果公示</w:t>
      </w:r>
      <w:r>
        <w:rPr>
          <w:rFonts w:hint="eastAsia" w:ascii="宋体" w:hAnsi="宋体" w:eastAsia="宋体" w:cs="宋体"/>
          <w:color w:val="auto"/>
          <w:sz w:val="24"/>
          <w:highlight w:val="none"/>
          <w:lang w:val="en-US" w:eastAsia="zh-CN"/>
        </w:rPr>
        <w:t>/成交公告</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投标文件</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响应文件；</w:t>
      </w:r>
      <w:r>
        <w:rPr>
          <w:rFonts w:hint="eastAsia" w:ascii="宋体" w:hAnsi="宋体" w:eastAsia="宋体" w:cs="宋体"/>
          <w:color w:val="auto"/>
          <w:sz w:val="24"/>
          <w:highlight w:val="none"/>
          <w:lang w:eastAsia="zh-CN"/>
        </w:rPr>
        <w:t>招标文件</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采购文件</w:t>
      </w:r>
      <w:r>
        <w:rPr>
          <w:rFonts w:hint="eastAsia" w:ascii="宋体" w:hAnsi="宋体" w:eastAsia="宋体" w:cs="宋体"/>
          <w:color w:val="auto"/>
          <w:sz w:val="24"/>
          <w:highlight w:val="none"/>
          <w:lang w:val="en-US" w:eastAsia="zh-CN"/>
        </w:rPr>
        <w:t>/采购需求</w:t>
      </w:r>
      <w:r>
        <w:rPr>
          <w:rFonts w:hint="eastAsia" w:ascii="宋体" w:hAnsi="宋体" w:eastAsia="宋体" w:cs="宋体"/>
          <w:color w:val="auto"/>
          <w:sz w:val="24"/>
          <w:highlight w:val="none"/>
        </w:rPr>
        <w:t>；其他与本合同有关的资料</w:t>
      </w:r>
      <w:r>
        <w:rPr>
          <w:rFonts w:hint="eastAsia" w:ascii="宋体" w:hAnsi="宋体" w:eastAsia="宋体" w:cs="宋体"/>
          <w:color w:val="000000" w:themeColor="text1"/>
          <w:sz w:val="24"/>
          <w:highlight w:val="none"/>
          <w14:textFill>
            <w14:solidFill>
              <w14:schemeClr w14:val="tx1"/>
            </w14:solidFill>
          </w14:textFill>
        </w:rPr>
        <w:t>。</w:t>
      </w:r>
    </w:p>
    <w:p w14:paraId="157BF3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w:t>
      </w:r>
      <w:r>
        <w:rPr>
          <w:rFonts w:hint="eastAsia" w:ascii="宋体" w:hAnsi="宋体" w:eastAsia="宋体" w:cs="宋体"/>
          <w:color w:val="000000" w:themeColor="text1"/>
          <w:sz w:val="24"/>
          <w:highlight w:val="none"/>
          <w:lang w:val="en-US" w:eastAsia="zh-CN"/>
          <w14:textFill>
            <w14:solidFill>
              <w14:schemeClr w14:val="tx1"/>
            </w14:solidFill>
          </w14:textFill>
        </w:rPr>
        <w:t>伍</w:t>
      </w:r>
      <w:r>
        <w:rPr>
          <w:rFonts w:hint="eastAsia" w:ascii="宋体" w:hAnsi="宋体" w:eastAsia="宋体" w:cs="宋体"/>
          <w:color w:val="000000" w:themeColor="text1"/>
          <w:sz w:val="24"/>
          <w:highlight w:val="none"/>
          <w14:textFill>
            <w14:solidFill>
              <w14:schemeClr w14:val="tx1"/>
            </w14:solidFill>
          </w14:textFill>
        </w:rPr>
        <w:t>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93139A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7518CFE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85015B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2DB96A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B8CEB5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EABAE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lang w:val="en-US" w:eastAsia="zh-CN"/>
          <w14:textFill>
            <w14:solidFill>
              <w14:schemeClr w14:val="tx1"/>
            </w14:solidFill>
          </w14:textFill>
        </w:rPr>
        <w:t>2026</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6B06F021">
      <w:pPr>
        <w:spacing w:line="480" w:lineRule="exact"/>
        <w:rPr>
          <w:rFonts w:hint="eastAsia" w:ascii="黑体" w:hAnsi="黑体" w:eastAsia="黑体" w:cs="黑体"/>
          <w:sz w:val="32"/>
          <w:szCs w:val="32"/>
        </w:rPr>
      </w:pPr>
      <w:r>
        <w:rPr>
          <w:rFonts w:ascii="宋体" w:hAnsi="宋体" w:eastAsia="宋体" w:cs="宋体"/>
          <w:sz w:val="24"/>
        </w:rPr>
        <w:drawing>
          <wp:anchor distT="0" distB="0" distL="114300" distR="114300" simplePos="0" relativeHeight="251659264" behindDoc="0" locked="0" layoutInCell="1" allowOverlap="1">
            <wp:simplePos x="0" y="0"/>
            <wp:positionH relativeFrom="column">
              <wp:posOffset>38100</wp:posOffset>
            </wp:positionH>
            <wp:positionV relativeFrom="paragraph">
              <wp:posOffset>377190</wp:posOffset>
            </wp:positionV>
            <wp:extent cx="5615305" cy="7988935"/>
            <wp:effectExtent l="0" t="0" r="4445" b="12065"/>
            <wp:wrapSquare wrapText="bothSides"/>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9"/>
                    <a:stretch>
                      <a:fillRect/>
                    </a:stretch>
                  </pic:blipFill>
                  <pic:spPr>
                    <a:xfrm>
                      <a:off x="0" y="0"/>
                      <a:ext cx="5615305" cy="7988935"/>
                    </a:xfrm>
                    <a:prstGeom prst="rect">
                      <a:avLst/>
                    </a:prstGeom>
                  </pic:spPr>
                </pic:pic>
              </a:graphicData>
            </a:graphic>
          </wp:anchor>
        </w:drawing>
      </w:r>
      <w:r>
        <w:rPr>
          <w:rFonts w:hint="eastAsia" w:ascii="黑体" w:hAnsi="黑体" w:eastAsia="黑体" w:cs="黑体"/>
          <w:sz w:val="32"/>
          <w:szCs w:val="32"/>
        </w:rPr>
        <w:t>附件：</w:t>
      </w:r>
    </w:p>
    <w:p w14:paraId="227001E0">
      <w:pPr>
        <w:spacing w:line="480" w:lineRule="exact"/>
        <w:rPr>
          <w:rFonts w:hint="eastAsia" w:ascii="宋体" w:hAnsi="宋体" w:eastAsia="宋体" w:cs="宋体"/>
          <w:sz w:val="24"/>
        </w:rPr>
      </w:pPr>
    </w:p>
    <w:p w14:paraId="55002253">
      <w:pPr>
        <w:spacing w:line="480" w:lineRule="exact"/>
        <w:rPr>
          <w:rFonts w:hint="eastAsia" w:ascii="宋体" w:hAnsi="宋体" w:eastAsia="宋体" w:cs="宋体"/>
          <w:sz w:val="24"/>
        </w:rPr>
      </w:pPr>
    </w:p>
    <w:p w14:paraId="2848D38D">
      <w:pPr>
        <w:spacing w:line="480" w:lineRule="exact"/>
        <w:rPr>
          <w:rFonts w:hint="eastAsia" w:ascii="宋体" w:hAnsi="宋体" w:eastAsia="宋体" w:cs="宋体"/>
          <w:sz w:val="24"/>
        </w:rPr>
      </w:pPr>
    </w:p>
    <w:p w14:paraId="1609F11D">
      <w:pPr>
        <w:spacing w:line="480" w:lineRule="exact"/>
        <w:rPr>
          <w:rFonts w:hint="eastAsia" w:ascii="宋体" w:hAnsi="宋体" w:eastAsia="宋体" w:cs="宋体"/>
          <w:sz w:val="24"/>
        </w:rPr>
      </w:pPr>
    </w:p>
    <w:p w14:paraId="5531761F">
      <w:pPr>
        <w:spacing w:line="480" w:lineRule="exact"/>
        <w:rPr>
          <w:rFonts w:hint="eastAsia" w:ascii="宋体" w:hAnsi="宋体" w:eastAsia="宋体" w:cs="宋体"/>
          <w:sz w:val="24"/>
        </w:rPr>
      </w:pPr>
    </w:p>
    <w:p w14:paraId="1D5C0BF1">
      <w:pPr>
        <w:spacing w:line="480" w:lineRule="exact"/>
        <w:rPr>
          <w:rFonts w:hint="eastAsia" w:ascii="宋体" w:hAnsi="宋体" w:eastAsia="宋体" w:cs="宋体"/>
          <w:sz w:val="24"/>
        </w:rPr>
      </w:pPr>
    </w:p>
    <w:p w14:paraId="33EAFCC5">
      <w:pPr>
        <w:spacing w:line="480" w:lineRule="exact"/>
        <w:rPr>
          <w:rFonts w:hint="eastAsia" w:ascii="宋体" w:hAnsi="宋体" w:eastAsia="宋体" w:cs="宋体"/>
          <w:sz w:val="24"/>
        </w:rPr>
      </w:pPr>
    </w:p>
    <w:p w14:paraId="0DAE4335">
      <w:pPr>
        <w:spacing w:line="480" w:lineRule="exact"/>
        <w:rPr>
          <w:rFonts w:hint="eastAsia" w:ascii="宋体" w:hAnsi="宋体" w:eastAsia="宋体" w:cs="宋体"/>
          <w:sz w:val="24"/>
        </w:rPr>
      </w:pPr>
    </w:p>
    <w:p w14:paraId="34A2261D">
      <w:pPr>
        <w:spacing w:line="480" w:lineRule="exact"/>
        <w:rPr>
          <w:rFonts w:hint="eastAsia" w:ascii="宋体" w:hAnsi="宋体" w:eastAsia="宋体" w:cs="宋体"/>
          <w:sz w:val="24"/>
        </w:rPr>
      </w:pPr>
    </w:p>
    <w:p w14:paraId="113A1CF0">
      <w:pPr>
        <w:spacing w:line="480" w:lineRule="exact"/>
        <w:rPr>
          <w:rFonts w:hint="eastAsia" w:ascii="宋体" w:hAnsi="宋体" w:eastAsia="宋体" w:cs="宋体"/>
          <w:sz w:val="24"/>
        </w:rPr>
      </w:pPr>
    </w:p>
    <w:p w14:paraId="59E42C74">
      <w:pPr>
        <w:spacing w:line="480" w:lineRule="exact"/>
        <w:rPr>
          <w:rFonts w:hint="eastAsia" w:ascii="宋体" w:hAnsi="宋体" w:eastAsia="宋体" w:cs="宋体"/>
          <w:sz w:val="24"/>
        </w:rPr>
      </w:pPr>
    </w:p>
    <w:p w14:paraId="1D205281">
      <w:pPr>
        <w:spacing w:line="480" w:lineRule="exact"/>
        <w:rPr>
          <w:rFonts w:hint="eastAsia" w:ascii="宋体" w:hAnsi="宋体" w:eastAsia="宋体" w:cs="宋体"/>
          <w:sz w:val="24"/>
        </w:rPr>
      </w:pPr>
    </w:p>
    <w:p w14:paraId="588942DA">
      <w:pPr>
        <w:spacing w:line="480" w:lineRule="exact"/>
        <w:rPr>
          <w:rFonts w:hint="eastAsia" w:ascii="宋体" w:hAnsi="宋体" w:eastAsia="宋体" w:cs="宋体"/>
          <w:sz w:val="24"/>
        </w:rPr>
      </w:pPr>
    </w:p>
    <w:p w14:paraId="14EEB465">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2336" behindDoc="0" locked="0" layoutInCell="1" allowOverlap="1">
            <wp:simplePos x="0" y="0"/>
            <wp:positionH relativeFrom="column">
              <wp:posOffset>-116840</wp:posOffset>
            </wp:positionH>
            <wp:positionV relativeFrom="paragraph">
              <wp:posOffset>1338580</wp:posOffset>
            </wp:positionV>
            <wp:extent cx="5888990" cy="8423910"/>
            <wp:effectExtent l="0" t="0" r="16510" b="15240"/>
            <wp:wrapTopAndBottom/>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10"/>
                    <a:stretch>
                      <a:fillRect/>
                    </a:stretch>
                  </pic:blipFill>
                  <pic:spPr>
                    <a:xfrm>
                      <a:off x="0" y="0"/>
                      <a:ext cx="5888990" cy="8423910"/>
                    </a:xfrm>
                    <a:prstGeom prst="rect">
                      <a:avLst/>
                    </a:prstGeom>
                  </pic:spPr>
                </pic:pic>
              </a:graphicData>
            </a:graphic>
          </wp:anchor>
        </w:drawing>
      </w:r>
    </w:p>
    <w:p w14:paraId="58EBEBF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25853652">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67EF959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570641E6">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3360" behindDoc="0" locked="0" layoutInCell="1" allowOverlap="1">
            <wp:simplePos x="0" y="0"/>
            <wp:positionH relativeFrom="column">
              <wp:posOffset>-38100</wp:posOffset>
            </wp:positionH>
            <wp:positionV relativeFrom="paragraph">
              <wp:posOffset>224790</wp:posOffset>
            </wp:positionV>
            <wp:extent cx="5995670" cy="8456930"/>
            <wp:effectExtent l="0" t="0" r="5080" b="1270"/>
            <wp:wrapSquare wrapText="bothSides"/>
            <wp:docPr id="9" name="图片 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
                    <pic:cNvPicPr>
                      <a:picLocks noChangeAspect="1"/>
                    </pic:cNvPicPr>
                  </pic:nvPicPr>
                  <pic:blipFill>
                    <a:blip r:embed="rId11"/>
                    <a:stretch>
                      <a:fillRect/>
                    </a:stretch>
                  </pic:blipFill>
                  <pic:spPr>
                    <a:xfrm>
                      <a:off x="647700" y="1139190"/>
                      <a:ext cx="5995670" cy="8456930"/>
                    </a:xfrm>
                    <a:prstGeom prst="rect">
                      <a:avLst/>
                    </a:prstGeom>
                  </pic:spPr>
                </pic:pic>
              </a:graphicData>
            </a:graphic>
          </wp:anchor>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1312" behindDoc="0" locked="0" layoutInCell="1" allowOverlap="1">
            <wp:simplePos x="0" y="0"/>
            <wp:positionH relativeFrom="column">
              <wp:posOffset>236220</wp:posOffset>
            </wp:positionH>
            <wp:positionV relativeFrom="paragraph">
              <wp:posOffset>113030</wp:posOffset>
            </wp:positionV>
            <wp:extent cx="5976620" cy="8301355"/>
            <wp:effectExtent l="0" t="0" r="5080" b="4445"/>
            <wp:wrapSquare wrapText="bothSides"/>
            <wp:docPr id="10" name="图片 1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
                    <pic:cNvPicPr>
                      <a:picLocks noChangeAspect="1"/>
                    </pic:cNvPicPr>
                  </pic:nvPicPr>
                  <pic:blipFill>
                    <a:blip r:embed="rId12"/>
                    <a:stretch>
                      <a:fillRect/>
                    </a:stretch>
                  </pic:blipFill>
                  <pic:spPr>
                    <a:xfrm>
                      <a:off x="0" y="0"/>
                      <a:ext cx="5976620" cy="8301355"/>
                    </a:xfrm>
                    <a:prstGeom prst="rect">
                      <a:avLst/>
                    </a:prstGeom>
                  </pic:spPr>
                </pic:pic>
              </a:graphicData>
            </a:graphic>
          </wp:anchor>
        </w:drawing>
      </w:r>
    </w:p>
    <w:p w14:paraId="3C23EC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color w:val="auto"/>
          <w:sz w:val="44"/>
          <w:szCs w:val="44"/>
          <w:lang w:val="en-US" w:eastAsia="zh-CN"/>
        </w:rPr>
      </w:pPr>
      <w:bookmarkStart w:id="1" w:name="_Toc16523574"/>
      <w:r>
        <w:rPr>
          <w:rFonts w:hint="eastAsia" w:ascii="方正小标宋简体" w:hAnsi="方正小标宋简体" w:eastAsia="方正小标宋简体" w:cs="方正小标宋简体"/>
          <w:color w:val="auto"/>
          <w:sz w:val="44"/>
          <w:szCs w:val="44"/>
          <w:lang w:val="en-US" w:eastAsia="zh-CN"/>
        </w:rPr>
        <w:t>第三章</w:t>
      </w:r>
      <w:bookmarkStart w:id="2" w:name="_Toc16523573"/>
      <w:r>
        <w:rPr>
          <w:rFonts w:hint="eastAsia" w:ascii="方正小标宋简体" w:hAnsi="方正小标宋简体" w:eastAsia="方正小标宋简体" w:cs="方正小标宋简体"/>
          <w:color w:val="auto"/>
          <w:sz w:val="44"/>
          <w:szCs w:val="44"/>
          <w:lang w:val="en-US" w:eastAsia="zh-CN"/>
        </w:rPr>
        <w:t>评标方法及标准</w:t>
      </w:r>
      <w:bookmarkEnd w:id="2"/>
    </w:p>
    <w:p w14:paraId="6505C827">
      <w:pPr>
        <w:jc w:val="center"/>
        <w:rPr>
          <w:rFonts w:hint="eastAsia" w:ascii="仿宋" w:hAnsi="仿宋" w:eastAsia="仿宋" w:cs="仿宋"/>
          <w:sz w:val="24"/>
          <w:szCs w:val="24"/>
        </w:rPr>
      </w:pPr>
      <w:r>
        <w:rPr>
          <w:rFonts w:hint="eastAsia" w:ascii="仿宋" w:hAnsi="仿宋" w:eastAsia="仿宋" w:cs="仿宋"/>
          <w:sz w:val="24"/>
          <w:szCs w:val="24"/>
        </w:rPr>
        <w:t>本采购项目的权值见下表</w:t>
      </w:r>
    </w:p>
    <w:tbl>
      <w:tblPr>
        <w:tblStyle w:val="13"/>
        <w:tblW w:w="88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4705"/>
        <w:gridCol w:w="3439"/>
      </w:tblGrid>
      <w:tr w14:paraId="4FD447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exact"/>
          <w:jc w:val="center"/>
        </w:trPr>
        <w:tc>
          <w:tcPr>
            <w:tcW w:w="724" w:type="dxa"/>
            <w:tcBorders>
              <w:top w:val="double" w:color="auto" w:sz="4" w:space="0"/>
              <w:left w:val="double" w:color="auto" w:sz="4" w:space="0"/>
              <w:bottom w:val="single" w:color="auto" w:sz="6" w:space="0"/>
              <w:right w:val="single" w:color="auto" w:sz="6" w:space="0"/>
            </w:tcBorders>
            <w:noWrap w:val="0"/>
            <w:vAlign w:val="center"/>
          </w:tcPr>
          <w:p w14:paraId="7EE8710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序号</w:t>
            </w:r>
          </w:p>
        </w:tc>
        <w:tc>
          <w:tcPr>
            <w:tcW w:w="4705" w:type="dxa"/>
            <w:tcBorders>
              <w:top w:val="double" w:color="auto" w:sz="4" w:space="0"/>
              <w:left w:val="single" w:color="auto" w:sz="6" w:space="0"/>
              <w:bottom w:val="single" w:color="auto" w:sz="6" w:space="0"/>
              <w:right w:val="single" w:color="auto" w:sz="6" w:space="0"/>
            </w:tcBorders>
            <w:noWrap w:val="0"/>
            <w:vAlign w:val="center"/>
          </w:tcPr>
          <w:p w14:paraId="173B3D4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项     目</w:t>
            </w:r>
          </w:p>
        </w:tc>
        <w:tc>
          <w:tcPr>
            <w:tcW w:w="3439" w:type="dxa"/>
            <w:tcBorders>
              <w:top w:val="double" w:color="auto" w:sz="4" w:space="0"/>
              <w:left w:val="single" w:color="auto" w:sz="6" w:space="0"/>
              <w:bottom w:val="single" w:color="auto" w:sz="6" w:space="0"/>
              <w:right w:val="double" w:color="auto" w:sz="4" w:space="0"/>
            </w:tcBorders>
            <w:noWrap w:val="0"/>
            <w:vAlign w:val="center"/>
          </w:tcPr>
          <w:p w14:paraId="5A04CB7A">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权值的取值</w:t>
            </w:r>
          </w:p>
        </w:tc>
      </w:tr>
      <w:tr w14:paraId="22A72C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5BF3074D">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1</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72F9EC0B">
            <w:pPr>
              <w:jc w:val="center"/>
              <w:rPr>
                <w:rFonts w:hint="eastAsia" w:ascii="仿宋" w:hAnsi="仿宋" w:eastAsia="仿宋" w:cs="仿宋"/>
                <w:sz w:val="24"/>
                <w:szCs w:val="24"/>
                <w:lang w:val="ru-RU"/>
              </w:rPr>
            </w:pPr>
            <w:r>
              <w:rPr>
                <w:rFonts w:hint="eastAsia" w:ascii="仿宋" w:hAnsi="仿宋" w:eastAsia="仿宋" w:cs="仿宋"/>
                <w:sz w:val="24"/>
                <w:szCs w:val="24"/>
                <w:lang w:val="ru-RU" w:eastAsia="ru-RU"/>
              </w:rPr>
              <w:t>报价</w:t>
            </w:r>
            <w:r>
              <w:rPr>
                <w:rFonts w:hint="eastAsia" w:ascii="仿宋" w:hAnsi="仿宋" w:eastAsia="仿宋" w:cs="仿宋"/>
                <w:sz w:val="24"/>
                <w:szCs w:val="24"/>
                <w:lang w:val="ru-RU"/>
              </w:rPr>
              <w:t>（A1）</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7E3AA480">
            <w:pPr>
              <w:jc w:val="center"/>
              <w:rPr>
                <w:rFonts w:hint="eastAsia" w:ascii="仿宋" w:hAnsi="仿宋" w:eastAsia="仿宋" w:cs="仿宋"/>
                <w:sz w:val="24"/>
                <w:szCs w:val="24"/>
              </w:rPr>
            </w:pPr>
            <w:r>
              <w:rPr>
                <w:rFonts w:hint="eastAsia" w:ascii="仿宋" w:hAnsi="仿宋" w:eastAsia="仿宋" w:cs="仿宋"/>
                <w:sz w:val="24"/>
                <w:szCs w:val="24"/>
              </w:rPr>
              <w:t>50%</w:t>
            </w:r>
          </w:p>
        </w:tc>
      </w:tr>
      <w:tr w14:paraId="0323DC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1B7889E7">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2</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51BC837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技术</w:t>
            </w:r>
            <w:r>
              <w:rPr>
                <w:rFonts w:hint="eastAsia" w:ascii="仿宋" w:hAnsi="仿宋" w:eastAsia="仿宋" w:cs="仿宋"/>
                <w:sz w:val="24"/>
                <w:szCs w:val="24"/>
                <w:lang w:val="ru-RU"/>
              </w:rPr>
              <w:t>（A2）</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0D15E51">
            <w:pPr>
              <w:jc w:val="center"/>
              <w:rPr>
                <w:rFonts w:hint="eastAsia" w:ascii="仿宋" w:hAnsi="仿宋" w:eastAsia="仿宋" w:cs="仿宋"/>
                <w:sz w:val="24"/>
                <w:szCs w:val="24"/>
              </w:rPr>
            </w:pPr>
            <w:r>
              <w:rPr>
                <w:rFonts w:hint="eastAsia" w:ascii="仿宋" w:hAnsi="仿宋" w:eastAsia="仿宋" w:cs="仿宋"/>
                <w:sz w:val="24"/>
                <w:szCs w:val="24"/>
              </w:rPr>
              <w:t>40%</w:t>
            </w:r>
          </w:p>
        </w:tc>
      </w:tr>
      <w:tr w14:paraId="3B382F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58C16F54">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3</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118F2ACE">
            <w:pPr>
              <w:jc w:val="center"/>
              <w:rPr>
                <w:rFonts w:hint="eastAsia" w:ascii="仿宋" w:hAnsi="仿宋" w:eastAsia="仿宋" w:cs="仿宋"/>
                <w:sz w:val="24"/>
                <w:szCs w:val="24"/>
                <w:lang w:val="ru-RU"/>
              </w:rPr>
            </w:pPr>
            <w:r>
              <w:rPr>
                <w:rFonts w:hint="eastAsia" w:ascii="仿宋" w:hAnsi="仿宋" w:eastAsia="仿宋" w:cs="仿宋"/>
                <w:sz w:val="24"/>
                <w:szCs w:val="24"/>
                <w:lang w:val="ru-RU"/>
              </w:rPr>
              <w:t>商务（A3）</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EE02E85">
            <w:pPr>
              <w:jc w:val="center"/>
              <w:rPr>
                <w:rFonts w:hint="eastAsia" w:ascii="仿宋" w:hAnsi="仿宋" w:eastAsia="仿宋" w:cs="仿宋"/>
                <w:sz w:val="24"/>
                <w:szCs w:val="24"/>
              </w:rPr>
            </w:pPr>
            <w:r>
              <w:rPr>
                <w:rFonts w:hint="eastAsia" w:ascii="仿宋" w:hAnsi="仿宋" w:eastAsia="仿宋" w:cs="仿宋"/>
                <w:sz w:val="24"/>
                <w:szCs w:val="24"/>
              </w:rPr>
              <w:t>10%</w:t>
            </w:r>
          </w:p>
        </w:tc>
      </w:tr>
      <w:tr w14:paraId="170FAB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5429" w:type="dxa"/>
            <w:gridSpan w:val="2"/>
            <w:tcBorders>
              <w:top w:val="single" w:color="auto" w:sz="6" w:space="0"/>
              <w:left w:val="double" w:color="auto" w:sz="4" w:space="0"/>
              <w:bottom w:val="double" w:color="auto" w:sz="4" w:space="0"/>
              <w:right w:val="single" w:color="auto" w:sz="6" w:space="0"/>
            </w:tcBorders>
            <w:noWrap w:val="0"/>
            <w:vAlign w:val="center"/>
          </w:tcPr>
          <w:p w14:paraId="5D2BDF2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rPr>
              <w:t>合计</w:t>
            </w:r>
          </w:p>
        </w:tc>
        <w:tc>
          <w:tcPr>
            <w:tcW w:w="3439" w:type="dxa"/>
            <w:tcBorders>
              <w:top w:val="single" w:color="auto" w:sz="6" w:space="0"/>
              <w:left w:val="single" w:color="auto" w:sz="6" w:space="0"/>
              <w:bottom w:val="double" w:color="auto" w:sz="4" w:space="0"/>
              <w:right w:val="double" w:color="auto" w:sz="4" w:space="0"/>
            </w:tcBorders>
            <w:noWrap w:val="0"/>
            <w:vAlign w:val="center"/>
          </w:tcPr>
          <w:p w14:paraId="665494A7">
            <w:pPr>
              <w:jc w:val="center"/>
              <w:rPr>
                <w:rFonts w:hint="eastAsia" w:ascii="仿宋" w:hAnsi="仿宋" w:eastAsia="仿宋" w:cs="仿宋"/>
                <w:sz w:val="24"/>
                <w:szCs w:val="24"/>
              </w:rPr>
            </w:pPr>
            <w:r>
              <w:rPr>
                <w:rFonts w:hint="eastAsia" w:ascii="仿宋" w:hAnsi="仿宋" w:eastAsia="仿宋" w:cs="仿宋"/>
                <w:sz w:val="24"/>
                <w:szCs w:val="24"/>
              </w:rPr>
              <w:t>1</w:t>
            </w:r>
          </w:p>
        </w:tc>
      </w:tr>
    </w:tbl>
    <w:p w14:paraId="44721463">
      <w:pPr>
        <w:jc w:val="center"/>
        <w:rPr>
          <w:rFonts w:hint="eastAsia" w:ascii="仿宋" w:hAnsi="仿宋" w:eastAsia="仿宋" w:cs="仿宋"/>
          <w:sz w:val="24"/>
          <w:szCs w:val="24"/>
        </w:rPr>
      </w:pPr>
    </w:p>
    <w:p w14:paraId="14DB9668">
      <w:pPr>
        <w:jc w:val="center"/>
        <w:rPr>
          <w:rFonts w:hint="eastAsia" w:ascii="仿宋" w:hAnsi="仿宋" w:eastAsia="仿宋" w:cs="仿宋"/>
          <w:sz w:val="24"/>
          <w:szCs w:val="24"/>
        </w:rPr>
      </w:pPr>
    </w:p>
    <w:p w14:paraId="33DADF36">
      <w:pPr>
        <w:jc w:val="center"/>
        <w:rPr>
          <w:rFonts w:hint="eastAsia" w:ascii="仿宋" w:hAnsi="仿宋" w:eastAsia="仿宋" w:cs="仿宋"/>
          <w:sz w:val="24"/>
          <w:szCs w:val="24"/>
        </w:rPr>
      </w:pPr>
      <w:r>
        <w:rPr>
          <w:rFonts w:hint="eastAsia" w:ascii="仿宋" w:hAnsi="仿宋" w:eastAsia="仿宋" w:cs="仿宋"/>
          <w:sz w:val="24"/>
          <w:szCs w:val="24"/>
        </w:rPr>
        <w:t>附表1.1投标报价评审标准表</w:t>
      </w:r>
    </w:p>
    <w:tbl>
      <w:tblPr>
        <w:tblStyle w:val="13"/>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1463"/>
        <w:gridCol w:w="6945"/>
      </w:tblGrid>
      <w:tr w14:paraId="423DB7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1B0455E2">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463" w:type="dxa"/>
            <w:tcBorders>
              <w:top w:val="double" w:color="auto" w:sz="4" w:space="0"/>
              <w:left w:val="single" w:color="auto" w:sz="4" w:space="0"/>
              <w:bottom w:val="single" w:color="auto" w:sz="6" w:space="0"/>
              <w:right w:val="single" w:color="auto" w:sz="4" w:space="0"/>
            </w:tcBorders>
            <w:noWrap w:val="0"/>
            <w:vAlign w:val="center"/>
          </w:tcPr>
          <w:p w14:paraId="63431F5F">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945" w:type="dxa"/>
            <w:tcBorders>
              <w:top w:val="double" w:color="auto" w:sz="4" w:space="0"/>
              <w:left w:val="single" w:color="auto" w:sz="4" w:space="0"/>
              <w:bottom w:val="single" w:color="auto" w:sz="6" w:space="0"/>
              <w:right w:val="double" w:color="auto" w:sz="4" w:space="0"/>
            </w:tcBorders>
            <w:noWrap w:val="0"/>
            <w:vAlign w:val="center"/>
          </w:tcPr>
          <w:p w14:paraId="108F38D1">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7AB5E7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741B3036">
            <w:pPr>
              <w:jc w:val="center"/>
              <w:rPr>
                <w:rFonts w:hint="eastAsia" w:ascii="仿宋" w:hAnsi="仿宋" w:eastAsia="仿宋" w:cs="仿宋"/>
                <w:sz w:val="24"/>
                <w:szCs w:val="24"/>
              </w:rPr>
            </w:pPr>
            <w:r>
              <w:rPr>
                <w:rFonts w:hint="eastAsia" w:ascii="仿宋" w:hAnsi="仿宋" w:eastAsia="仿宋" w:cs="仿宋"/>
                <w:sz w:val="24"/>
                <w:szCs w:val="24"/>
              </w:rPr>
              <w:t>1</w:t>
            </w:r>
          </w:p>
        </w:tc>
        <w:tc>
          <w:tcPr>
            <w:tcW w:w="1463" w:type="dxa"/>
            <w:tcBorders>
              <w:top w:val="single" w:color="auto" w:sz="6" w:space="0"/>
              <w:left w:val="single" w:color="auto" w:sz="4" w:space="0"/>
              <w:bottom w:val="single" w:color="auto" w:sz="6" w:space="0"/>
              <w:right w:val="single" w:color="auto" w:sz="4" w:space="0"/>
            </w:tcBorders>
            <w:noWrap w:val="0"/>
            <w:vAlign w:val="center"/>
          </w:tcPr>
          <w:p w14:paraId="30BC638F">
            <w:pPr>
              <w:jc w:val="center"/>
              <w:rPr>
                <w:rFonts w:hint="eastAsia" w:ascii="仿宋" w:hAnsi="仿宋" w:eastAsia="仿宋" w:cs="仿宋"/>
                <w:sz w:val="24"/>
                <w:szCs w:val="24"/>
              </w:rPr>
            </w:pPr>
            <w:r>
              <w:rPr>
                <w:rFonts w:hint="eastAsia" w:ascii="仿宋" w:hAnsi="仿宋" w:eastAsia="仿宋" w:cs="仿宋"/>
                <w:sz w:val="24"/>
                <w:szCs w:val="24"/>
              </w:rPr>
              <w:t>价格评价项</w:t>
            </w:r>
          </w:p>
          <w:p w14:paraId="16E77178">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945" w:type="dxa"/>
            <w:tcBorders>
              <w:top w:val="single" w:color="auto" w:sz="6" w:space="0"/>
              <w:left w:val="single" w:color="auto" w:sz="4" w:space="0"/>
              <w:bottom w:val="single" w:color="auto" w:sz="6" w:space="0"/>
              <w:right w:val="double" w:color="auto" w:sz="4" w:space="0"/>
            </w:tcBorders>
            <w:noWrap w:val="0"/>
            <w:vAlign w:val="center"/>
          </w:tcPr>
          <w:p w14:paraId="277AAA12">
            <w:pPr>
              <w:jc w:val="left"/>
              <w:rPr>
                <w:rFonts w:hint="eastAsia" w:ascii="仿宋" w:hAnsi="仿宋" w:eastAsia="仿宋" w:cs="仿宋"/>
                <w:sz w:val="24"/>
                <w:szCs w:val="24"/>
              </w:rPr>
            </w:pPr>
            <w:r>
              <w:rPr>
                <w:rFonts w:hint="eastAsia" w:ascii="仿宋" w:hAnsi="仿宋" w:eastAsia="仿宋" w:cs="仿宋"/>
                <w:sz w:val="24"/>
                <w:szCs w:val="24"/>
              </w:rPr>
              <w:t>1、满足招标文件要求且投标报价中最低的投标报价为评标基准价其价格分为满分；其他投标人的价格分统一按照以下公式计算：</w:t>
            </w:r>
          </w:p>
          <w:p w14:paraId="382993C6">
            <w:pPr>
              <w:jc w:val="left"/>
              <w:rPr>
                <w:rFonts w:hint="eastAsia" w:ascii="仿宋" w:hAnsi="仿宋" w:eastAsia="仿宋" w:cs="仿宋"/>
                <w:sz w:val="24"/>
                <w:szCs w:val="24"/>
              </w:rPr>
            </w:pPr>
            <w:r>
              <w:rPr>
                <w:rFonts w:hint="eastAsia" w:ascii="仿宋" w:hAnsi="仿宋" w:eastAsia="仿宋" w:cs="仿宋"/>
                <w:sz w:val="24"/>
                <w:szCs w:val="24"/>
              </w:rPr>
              <w:t>投标报价得分=（评标基准价/投标报价）×价格权值×100</w:t>
            </w:r>
          </w:p>
          <w:p w14:paraId="6E82FE21">
            <w:pPr>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B0BA615">
            <w:pPr>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、最终投标价以人民币元为单位，计算保留至小数点后2位（百分比亦然），小数点后第3位采取4舍5入</w:t>
            </w:r>
          </w:p>
        </w:tc>
      </w:tr>
    </w:tbl>
    <w:p w14:paraId="29D6D6CC">
      <w:pPr>
        <w:jc w:val="center"/>
        <w:rPr>
          <w:rFonts w:hint="eastAsia" w:ascii="仿宋" w:hAnsi="仿宋" w:eastAsia="仿宋" w:cs="仿宋"/>
          <w:sz w:val="24"/>
          <w:szCs w:val="24"/>
        </w:rPr>
      </w:pPr>
    </w:p>
    <w:p w14:paraId="7EAB5543">
      <w:pPr>
        <w:jc w:val="center"/>
        <w:rPr>
          <w:rFonts w:hint="eastAsia" w:ascii="仿宋" w:hAnsi="仿宋" w:eastAsia="仿宋" w:cs="仿宋"/>
          <w:sz w:val="24"/>
          <w:szCs w:val="24"/>
        </w:rPr>
      </w:pPr>
    </w:p>
    <w:p w14:paraId="5DE4AB9C">
      <w:pPr>
        <w:jc w:val="center"/>
        <w:rPr>
          <w:rFonts w:hint="eastAsia" w:ascii="仿宋" w:hAnsi="仿宋" w:eastAsia="仿宋" w:cs="仿宋"/>
          <w:sz w:val="24"/>
          <w:szCs w:val="24"/>
        </w:rPr>
      </w:pPr>
    </w:p>
    <w:p w14:paraId="03133162">
      <w:pPr>
        <w:jc w:val="center"/>
        <w:rPr>
          <w:rFonts w:hint="eastAsia" w:ascii="仿宋" w:hAnsi="仿宋" w:eastAsia="仿宋" w:cs="仿宋"/>
          <w:sz w:val="24"/>
          <w:szCs w:val="24"/>
        </w:rPr>
      </w:pPr>
    </w:p>
    <w:p w14:paraId="1554B452">
      <w:pPr>
        <w:jc w:val="center"/>
        <w:rPr>
          <w:rFonts w:hint="eastAsia" w:ascii="仿宋" w:hAnsi="仿宋" w:eastAsia="仿宋" w:cs="仿宋"/>
          <w:sz w:val="24"/>
          <w:szCs w:val="24"/>
        </w:rPr>
      </w:pPr>
      <w:r>
        <w:rPr>
          <w:rFonts w:hint="eastAsia" w:ascii="仿宋" w:hAnsi="仿宋" w:eastAsia="仿宋" w:cs="仿宋"/>
          <w:sz w:val="24"/>
          <w:szCs w:val="24"/>
        </w:rPr>
        <w:br w:type="page"/>
      </w:r>
    </w:p>
    <w:p w14:paraId="5F766B0E">
      <w:pPr>
        <w:jc w:val="center"/>
        <w:rPr>
          <w:rFonts w:hint="eastAsia" w:ascii="仿宋" w:hAnsi="仿宋" w:eastAsia="仿宋" w:cs="仿宋"/>
          <w:sz w:val="24"/>
          <w:szCs w:val="24"/>
        </w:rPr>
      </w:pPr>
      <w:r>
        <w:rPr>
          <w:rFonts w:hint="eastAsia" w:ascii="仿宋" w:hAnsi="仿宋" w:eastAsia="仿宋" w:cs="仿宋"/>
          <w:sz w:val="24"/>
          <w:szCs w:val="24"/>
        </w:rPr>
        <w:t>附表1.2技术部分评审标准表</w:t>
      </w:r>
    </w:p>
    <w:tbl>
      <w:tblPr>
        <w:tblStyle w:val="13"/>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1643"/>
        <w:gridCol w:w="763"/>
        <w:gridCol w:w="641"/>
        <w:gridCol w:w="5390"/>
      </w:tblGrid>
      <w:tr w14:paraId="68C4F3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noWrap w:val="0"/>
            <w:vAlign w:val="center"/>
          </w:tcPr>
          <w:p w14:paraId="02784703">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643" w:type="dxa"/>
            <w:tcBorders>
              <w:top w:val="double" w:color="auto" w:sz="4" w:space="0"/>
              <w:left w:val="single" w:color="auto" w:sz="4" w:space="0"/>
              <w:bottom w:val="single" w:color="auto" w:sz="6" w:space="0"/>
              <w:right w:val="single" w:color="auto" w:sz="4" w:space="0"/>
            </w:tcBorders>
            <w:noWrap w:val="0"/>
            <w:vAlign w:val="center"/>
          </w:tcPr>
          <w:p w14:paraId="2FEA214F">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794" w:type="dxa"/>
            <w:gridSpan w:val="3"/>
            <w:tcBorders>
              <w:top w:val="double" w:color="auto" w:sz="4" w:space="0"/>
              <w:left w:val="single" w:color="auto" w:sz="4" w:space="0"/>
              <w:bottom w:val="single" w:color="auto" w:sz="6" w:space="0"/>
              <w:right w:val="double" w:color="auto" w:sz="4" w:space="0"/>
            </w:tcBorders>
            <w:noWrap w:val="0"/>
            <w:vAlign w:val="center"/>
          </w:tcPr>
          <w:p w14:paraId="25D71E13">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796E01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noWrap w:val="0"/>
            <w:vAlign w:val="center"/>
          </w:tcPr>
          <w:p w14:paraId="67B4B751">
            <w:pPr>
              <w:jc w:val="center"/>
              <w:rPr>
                <w:rFonts w:hint="eastAsia" w:ascii="仿宋" w:hAnsi="仿宋" w:eastAsia="仿宋" w:cs="仿宋"/>
                <w:sz w:val="24"/>
                <w:szCs w:val="24"/>
              </w:rPr>
            </w:pPr>
            <w:r>
              <w:rPr>
                <w:rFonts w:hint="eastAsia" w:ascii="仿宋" w:hAnsi="仿宋" w:eastAsia="仿宋" w:cs="仿宋"/>
                <w:sz w:val="24"/>
                <w:szCs w:val="24"/>
              </w:rPr>
              <w:t>1</w:t>
            </w:r>
          </w:p>
        </w:tc>
        <w:tc>
          <w:tcPr>
            <w:tcW w:w="1643" w:type="dxa"/>
            <w:tcBorders>
              <w:top w:val="single" w:color="auto" w:sz="6" w:space="0"/>
              <w:left w:val="single" w:color="auto" w:sz="4" w:space="0"/>
              <w:bottom w:val="single" w:color="auto" w:sz="6" w:space="0"/>
              <w:right w:val="single" w:color="auto" w:sz="6" w:space="0"/>
            </w:tcBorders>
            <w:noWrap w:val="0"/>
            <w:vAlign w:val="center"/>
          </w:tcPr>
          <w:p w14:paraId="12DB6FE3">
            <w:pPr>
              <w:jc w:val="center"/>
              <w:rPr>
                <w:rFonts w:hint="eastAsia" w:ascii="仿宋" w:hAnsi="仿宋" w:eastAsia="仿宋" w:cs="仿宋"/>
                <w:sz w:val="24"/>
                <w:szCs w:val="24"/>
              </w:rPr>
            </w:pPr>
            <w:r>
              <w:rPr>
                <w:rFonts w:hint="eastAsia" w:ascii="仿宋" w:hAnsi="仿宋" w:eastAsia="仿宋" w:cs="仿宋"/>
                <w:sz w:val="24"/>
                <w:szCs w:val="24"/>
              </w:rPr>
              <w:t>技术评价项</w:t>
            </w:r>
          </w:p>
          <w:p w14:paraId="305BF3AF">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763" w:type="dxa"/>
            <w:tcBorders>
              <w:top w:val="single" w:color="auto" w:sz="6" w:space="0"/>
              <w:left w:val="single" w:color="auto" w:sz="6" w:space="0"/>
              <w:bottom w:val="single" w:color="auto" w:sz="6" w:space="0"/>
              <w:right w:val="single" w:color="auto" w:sz="4" w:space="0"/>
            </w:tcBorders>
            <w:noWrap w:val="0"/>
            <w:vAlign w:val="center"/>
          </w:tcPr>
          <w:p w14:paraId="20DC8CC7">
            <w:pPr>
              <w:jc w:val="center"/>
              <w:rPr>
                <w:rFonts w:hint="eastAsia" w:ascii="仿宋" w:hAnsi="仿宋" w:eastAsia="仿宋" w:cs="仿宋"/>
                <w:sz w:val="24"/>
                <w:szCs w:val="24"/>
              </w:rPr>
            </w:pPr>
            <w:r>
              <w:rPr>
                <w:rFonts w:hint="eastAsia" w:ascii="仿宋" w:hAnsi="仿宋" w:eastAsia="仿宋" w:cs="仿宋"/>
                <w:sz w:val="24"/>
                <w:szCs w:val="24"/>
              </w:rPr>
              <w:t>技术参数</w:t>
            </w:r>
          </w:p>
        </w:tc>
        <w:tc>
          <w:tcPr>
            <w:tcW w:w="641" w:type="dxa"/>
            <w:tcBorders>
              <w:top w:val="single" w:color="auto" w:sz="6" w:space="0"/>
              <w:left w:val="single" w:color="auto" w:sz="4" w:space="0"/>
              <w:bottom w:val="single" w:color="auto" w:sz="6" w:space="0"/>
              <w:right w:val="single" w:color="auto" w:sz="6" w:space="0"/>
            </w:tcBorders>
            <w:noWrap w:val="0"/>
            <w:vAlign w:val="center"/>
          </w:tcPr>
          <w:p w14:paraId="769012A3">
            <w:pPr>
              <w:jc w:val="center"/>
              <w:rPr>
                <w:rFonts w:hint="eastAsia" w:ascii="仿宋" w:hAnsi="仿宋" w:eastAsia="仿宋" w:cs="仿宋"/>
                <w:sz w:val="24"/>
                <w:szCs w:val="24"/>
              </w:rPr>
            </w:pPr>
            <w:r>
              <w:rPr>
                <w:rFonts w:hint="eastAsia" w:ascii="仿宋" w:hAnsi="仿宋" w:eastAsia="仿宋" w:cs="仿宋"/>
                <w:sz w:val="24"/>
                <w:szCs w:val="24"/>
              </w:rPr>
              <w:t>100</w:t>
            </w:r>
          </w:p>
        </w:tc>
        <w:tc>
          <w:tcPr>
            <w:tcW w:w="5390" w:type="dxa"/>
            <w:tcBorders>
              <w:top w:val="single" w:color="auto" w:sz="6" w:space="0"/>
              <w:left w:val="single" w:color="auto" w:sz="6" w:space="0"/>
              <w:bottom w:val="single" w:color="auto" w:sz="6" w:space="0"/>
              <w:right w:val="double" w:color="auto" w:sz="4" w:space="0"/>
            </w:tcBorders>
            <w:noWrap w:val="0"/>
            <w:vAlign w:val="center"/>
          </w:tcPr>
          <w:p w14:paraId="40B9B3AA">
            <w:pPr>
              <w:jc w:val="left"/>
              <w:rPr>
                <w:rFonts w:hint="eastAsia" w:ascii="仿宋" w:hAnsi="仿宋" w:eastAsia="仿宋" w:cs="仿宋"/>
                <w:sz w:val="24"/>
                <w:szCs w:val="24"/>
              </w:rPr>
            </w:pPr>
            <w:r>
              <w:rPr>
                <w:rFonts w:hint="eastAsia" w:ascii="仿宋" w:hAnsi="仿宋" w:eastAsia="仿宋" w:cs="仿宋"/>
                <w:sz w:val="24"/>
                <w:szCs w:val="24"/>
              </w:rPr>
              <w:t>投标文件无技术条款响应/偏离表的本项计0分；</w:t>
            </w:r>
          </w:p>
          <w:p w14:paraId="049C97AB">
            <w:pPr>
              <w:jc w:val="left"/>
              <w:rPr>
                <w:rFonts w:hint="eastAsia" w:ascii="仿宋" w:hAnsi="仿宋" w:eastAsia="仿宋" w:cs="仿宋"/>
                <w:sz w:val="24"/>
                <w:szCs w:val="24"/>
              </w:rPr>
            </w:pPr>
            <w:r>
              <w:rPr>
                <w:rFonts w:hint="eastAsia" w:ascii="仿宋" w:hAnsi="仿宋" w:eastAsia="仿宋" w:cs="仿宋"/>
                <w:sz w:val="24"/>
                <w:szCs w:val="24"/>
              </w:rPr>
              <w:t>1、技术参数满足招标文件要求无负偏离的本项计100分；</w:t>
            </w:r>
          </w:p>
          <w:p w14:paraId="52A2D4D8">
            <w:pPr>
              <w:jc w:val="left"/>
              <w:rPr>
                <w:rFonts w:hint="eastAsia" w:ascii="仿宋" w:hAnsi="仿宋" w:eastAsia="仿宋" w:cs="仿宋"/>
                <w:sz w:val="24"/>
                <w:szCs w:val="24"/>
              </w:rPr>
            </w:pPr>
            <w:r>
              <w:rPr>
                <w:rFonts w:hint="eastAsia" w:ascii="仿宋" w:hAnsi="仿宋" w:eastAsia="仿宋" w:cs="仿宋"/>
                <w:sz w:val="24"/>
                <w:szCs w:val="24"/>
              </w:rPr>
              <w:t>2、标注“▲”的参数为重要参数，每一项负偏离或缺漏扣10分；</w:t>
            </w:r>
          </w:p>
          <w:p w14:paraId="0CD79A7D">
            <w:pPr>
              <w:jc w:val="left"/>
              <w:rPr>
                <w:rFonts w:hint="eastAsia" w:ascii="仿宋" w:hAnsi="仿宋" w:eastAsia="仿宋" w:cs="仿宋"/>
                <w:sz w:val="24"/>
                <w:szCs w:val="24"/>
              </w:rPr>
            </w:pPr>
            <w:r>
              <w:rPr>
                <w:rFonts w:hint="eastAsia" w:ascii="仿宋" w:hAnsi="仿宋" w:eastAsia="仿宋" w:cs="仿宋"/>
                <w:sz w:val="24"/>
                <w:szCs w:val="24"/>
              </w:rPr>
              <w:t>3、一般技术参数（即非“★”非“▲”号参数）存在负偏离，每条负偏离扣6分。</w:t>
            </w:r>
          </w:p>
          <w:p w14:paraId="7055BCD9">
            <w:pPr>
              <w:jc w:val="left"/>
              <w:rPr>
                <w:rFonts w:hint="eastAsia" w:ascii="仿宋" w:hAnsi="仿宋" w:eastAsia="仿宋" w:cs="仿宋"/>
                <w:sz w:val="24"/>
                <w:szCs w:val="24"/>
              </w:rPr>
            </w:pPr>
            <w:r>
              <w:rPr>
                <w:rFonts w:hint="eastAsia" w:ascii="仿宋" w:hAnsi="仿宋" w:eastAsia="仿宋" w:cs="仿宋"/>
                <w:sz w:val="24"/>
                <w:szCs w:val="24"/>
              </w:rPr>
              <w:t>（注：标注“▲”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p>
        </w:tc>
      </w:tr>
    </w:tbl>
    <w:p w14:paraId="523BA3D2">
      <w:pPr>
        <w:jc w:val="center"/>
        <w:rPr>
          <w:rFonts w:hint="eastAsia" w:ascii="仿宋" w:hAnsi="仿宋" w:eastAsia="仿宋" w:cs="仿宋"/>
          <w:sz w:val="24"/>
          <w:szCs w:val="24"/>
        </w:rPr>
      </w:pPr>
    </w:p>
    <w:p w14:paraId="44449688">
      <w:pPr>
        <w:jc w:val="center"/>
        <w:rPr>
          <w:rFonts w:hint="eastAsia" w:ascii="仿宋" w:hAnsi="仿宋" w:eastAsia="仿宋" w:cs="仿宋"/>
          <w:sz w:val="24"/>
          <w:szCs w:val="24"/>
        </w:rPr>
      </w:pPr>
      <w:r>
        <w:rPr>
          <w:rFonts w:hint="eastAsia" w:ascii="仿宋" w:hAnsi="仿宋" w:eastAsia="仿宋" w:cs="仿宋"/>
          <w:sz w:val="24"/>
          <w:szCs w:val="24"/>
        </w:rPr>
        <w:br w:type="page"/>
      </w:r>
      <w:r>
        <w:rPr>
          <w:rFonts w:hint="eastAsia" w:ascii="仿宋" w:hAnsi="仿宋" w:eastAsia="仿宋" w:cs="仿宋"/>
          <w:sz w:val="24"/>
          <w:szCs w:val="24"/>
        </w:rPr>
        <w:t>附表1.3商务部分评审标准表</w:t>
      </w:r>
    </w:p>
    <w:tbl>
      <w:tblPr>
        <w:tblStyle w:val="13"/>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473"/>
        <w:gridCol w:w="1486"/>
        <w:gridCol w:w="682"/>
        <w:gridCol w:w="4841"/>
      </w:tblGrid>
      <w:tr w14:paraId="2AFA902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3" w:type="dxa"/>
            <w:tcBorders>
              <w:tl2br w:val="nil"/>
              <w:tr2bl w:val="nil"/>
            </w:tcBorders>
            <w:noWrap w:val="0"/>
            <w:vAlign w:val="center"/>
          </w:tcPr>
          <w:p w14:paraId="4FAA5EC1">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473" w:type="dxa"/>
            <w:tcBorders>
              <w:tl2br w:val="nil"/>
              <w:tr2bl w:val="nil"/>
            </w:tcBorders>
            <w:noWrap w:val="0"/>
            <w:vAlign w:val="center"/>
          </w:tcPr>
          <w:p w14:paraId="0113CA81">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7009" w:type="dxa"/>
            <w:gridSpan w:val="3"/>
            <w:tcBorders>
              <w:tl2br w:val="nil"/>
              <w:tr2bl w:val="nil"/>
            </w:tcBorders>
            <w:noWrap w:val="0"/>
            <w:vAlign w:val="center"/>
          </w:tcPr>
          <w:p w14:paraId="7286AA18">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38E5C20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restart"/>
            <w:tcBorders>
              <w:tl2br w:val="nil"/>
              <w:tr2bl w:val="nil"/>
            </w:tcBorders>
            <w:noWrap w:val="0"/>
            <w:vAlign w:val="center"/>
          </w:tcPr>
          <w:p w14:paraId="1F869E5F">
            <w:pPr>
              <w:jc w:val="center"/>
              <w:rPr>
                <w:rFonts w:hint="eastAsia" w:ascii="仿宋" w:hAnsi="仿宋" w:eastAsia="仿宋" w:cs="仿宋"/>
                <w:sz w:val="24"/>
                <w:szCs w:val="24"/>
              </w:rPr>
            </w:pPr>
            <w:r>
              <w:rPr>
                <w:rFonts w:hint="eastAsia" w:ascii="仿宋" w:hAnsi="仿宋" w:eastAsia="仿宋" w:cs="仿宋"/>
                <w:sz w:val="24"/>
                <w:szCs w:val="24"/>
              </w:rPr>
              <w:t>1</w:t>
            </w:r>
          </w:p>
        </w:tc>
        <w:tc>
          <w:tcPr>
            <w:tcW w:w="1473" w:type="dxa"/>
            <w:vMerge w:val="restart"/>
            <w:tcBorders>
              <w:tl2br w:val="nil"/>
              <w:tr2bl w:val="nil"/>
            </w:tcBorders>
            <w:noWrap w:val="0"/>
            <w:vAlign w:val="center"/>
          </w:tcPr>
          <w:p w14:paraId="05A61FC6">
            <w:pPr>
              <w:jc w:val="center"/>
              <w:rPr>
                <w:rFonts w:hint="eastAsia" w:ascii="仿宋" w:hAnsi="仿宋" w:eastAsia="仿宋" w:cs="仿宋"/>
                <w:sz w:val="24"/>
                <w:szCs w:val="24"/>
              </w:rPr>
            </w:pPr>
            <w:r>
              <w:rPr>
                <w:rFonts w:hint="eastAsia" w:ascii="仿宋" w:hAnsi="仿宋" w:eastAsia="仿宋" w:cs="仿宋"/>
                <w:sz w:val="24"/>
                <w:szCs w:val="24"/>
              </w:rPr>
              <w:t>商务评价项</w:t>
            </w:r>
          </w:p>
          <w:p w14:paraId="36C83338">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1486" w:type="dxa"/>
            <w:tcBorders>
              <w:tl2br w:val="nil"/>
              <w:tr2bl w:val="nil"/>
            </w:tcBorders>
            <w:noWrap w:val="0"/>
            <w:vAlign w:val="center"/>
          </w:tcPr>
          <w:p w14:paraId="43F9E75B">
            <w:pPr>
              <w:jc w:val="center"/>
              <w:rPr>
                <w:rFonts w:hint="eastAsia" w:ascii="仿宋" w:hAnsi="仿宋" w:eastAsia="仿宋" w:cs="仿宋"/>
                <w:sz w:val="24"/>
                <w:szCs w:val="24"/>
              </w:rPr>
            </w:pPr>
            <w:r>
              <w:rPr>
                <w:rFonts w:hint="eastAsia" w:ascii="仿宋" w:hAnsi="仿宋" w:eastAsia="仿宋" w:cs="仿宋"/>
                <w:sz w:val="24"/>
                <w:szCs w:val="24"/>
              </w:rPr>
              <w:t>售后服务</w:t>
            </w:r>
          </w:p>
        </w:tc>
        <w:tc>
          <w:tcPr>
            <w:tcW w:w="682" w:type="dxa"/>
            <w:tcBorders>
              <w:tl2br w:val="nil"/>
              <w:tr2bl w:val="nil"/>
            </w:tcBorders>
            <w:noWrap w:val="0"/>
            <w:vAlign w:val="center"/>
          </w:tcPr>
          <w:p w14:paraId="4605040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w:t>
            </w:r>
          </w:p>
        </w:tc>
        <w:tc>
          <w:tcPr>
            <w:tcW w:w="4841" w:type="dxa"/>
            <w:tcBorders>
              <w:tl2br w:val="nil"/>
              <w:tr2bl w:val="nil"/>
            </w:tcBorders>
            <w:noWrap w:val="0"/>
            <w:vAlign w:val="center"/>
          </w:tcPr>
          <w:p w14:paraId="4C14F0A6">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5A737568">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51E3BA4F">
            <w:pPr>
              <w:jc w:val="left"/>
              <w:rPr>
                <w:rFonts w:hint="eastAsia" w:ascii="仿宋" w:hAnsi="仿宋" w:eastAsia="仿宋" w:cs="仿宋"/>
                <w:color w:val="auto"/>
                <w:sz w:val="24"/>
                <w:szCs w:val="24"/>
              </w:rPr>
            </w:pPr>
            <w:r>
              <w:rPr>
                <w:rFonts w:hint="eastAsia" w:ascii="仿宋" w:hAnsi="仿宋" w:eastAsia="仿宋" w:cs="仿宋"/>
                <w:color w:val="auto"/>
                <w:sz w:val="24"/>
                <w:szCs w:val="24"/>
              </w:rPr>
              <w:t>2、质保期在招标要求基础上再增加1年的加10分，增加2年以上的加20分，最高可加20分。</w:t>
            </w:r>
          </w:p>
        </w:tc>
      </w:tr>
      <w:tr w14:paraId="26EED3B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38305688">
            <w:pPr>
              <w:jc w:val="center"/>
              <w:rPr>
                <w:rFonts w:hint="eastAsia" w:ascii="仿宋" w:hAnsi="仿宋" w:eastAsia="仿宋" w:cs="仿宋"/>
                <w:sz w:val="24"/>
                <w:szCs w:val="24"/>
              </w:rPr>
            </w:pPr>
          </w:p>
        </w:tc>
        <w:tc>
          <w:tcPr>
            <w:tcW w:w="1473" w:type="dxa"/>
            <w:vMerge w:val="continue"/>
            <w:tcBorders>
              <w:tl2br w:val="nil"/>
              <w:tr2bl w:val="nil"/>
            </w:tcBorders>
            <w:noWrap w:val="0"/>
            <w:vAlign w:val="center"/>
          </w:tcPr>
          <w:p w14:paraId="2C8BFC02">
            <w:pPr>
              <w:jc w:val="center"/>
              <w:rPr>
                <w:rFonts w:hint="eastAsia" w:ascii="仿宋" w:hAnsi="仿宋" w:eastAsia="仿宋" w:cs="仿宋"/>
                <w:sz w:val="24"/>
                <w:szCs w:val="24"/>
              </w:rPr>
            </w:pPr>
          </w:p>
        </w:tc>
        <w:tc>
          <w:tcPr>
            <w:tcW w:w="1486" w:type="dxa"/>
            <w:tcBorders>
              <w:tl2br w:val="nil"/>
              <w:tr2bl w:val="nil"/>
            </w:tcBorders>
            <w:noWrap w:val="0"/>
            <w:vAlign w:val="center"/>
          </w:tcPr>
          <w:p w14:paraId="1EECC22E">
            <w:pPr>
              <w:jc w:val="center"/>
              <w:rPr>
                <w:rFonts w:hint="eastAsia" w:ascii="仿宋" w:hAnsi="仿宋" w:eastAsia="仿宋" w:cs="仿宋"/>
                <w:sz w:val="24"/>
                <w:szCs w:val="24"/>
              </w:rPr>
            </w:pPr>
            <w:r>
              <w:rPr>
                <w:rFonts w:hint="eastAsia" w:ascii="仿宋" w:hAnsi="仿宋" w:eastAsia="仿宋" w:cs="仿宋"/>
                <w:sz w:val="24"/>
                <w:szCs w:val="24"/>
              </w:rPr>
              <w:t>培训方案</w:t>
            </w:r>
          </w:p>
        </w:tc>
        <w:tc>
          <w:tcPr>
            <w:tcW w:w="682" w:type="dxa"/>
            <w:tcBorders>
              <w:tl2br w:val="nil"/>
              <w:tr2bl w:val="nil"/>
            </w:tcBorders>
            <w:noWrap w:val="0"/>
            <w:vAlign w:val="center"/>
          </w:tcPr>
          <w:p w14:paraId="4BF791B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4841" w:type="dxa"/>
            <w:tcBorders>
              <w:tl2br w:val="nil"/>
              <w:tr2bl w:val="nil"/>
            </w:tcBorders>
            <w:noWrap w:val="0"/>
            <w:vAlign w:val="center"/>
          </w:tcPr>
          <w:p w14:paraId="1A280959">
            <w:pPr>
              <w:jc w:val="left"/>
              <w:rPr>
                <w:rFonts w:hint="eastAsia" w:ascii="仿宋" w:hAnsi="仿宋" w:eastAsia="仿宋" w:cs="仿宋"/>
                <w:color w:val="auto"/>
                <w:sz w:val="24"/>
                <w:szCs w:val="24"/>
              </w:rPr>
            </w:pPr>
            <w:r>
              <w:rPr>
                <w:rFonts w:hint="eastAsia" w:ascii="仿宋" w:hAnsi="仿宋" w:eastAsia="仿宋" w:cs="仿宋"/>
                <w:color w:val="auto"/>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4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④</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t>培训</w:t>
            </w:r>
            <w:r>
              <w:rPr>
                <w:rFonts w:hint="eastAsia" w:ascii="仿宋" w:hAnsi="仿宋" w:eastAsia="仿宋" w:cs="仿宋"/>
                <w:color w:val="auto"/>
                <w:sz w:val="24"/>
                <w:szCs w:val="24"/>
                <w:lang w:eastAsia="zh-CN"/>
              </w:rPr>
              <w:t>计划安排</w:t>
            </w:r>
            <w:r>
              <w:rPr>
                <w:rFonts w:hint="eastAsia" w:ascii="仿宋" w:hAnsi="仿宋" w:eastAsia="仿宋" w:cs="仿宋"/>
                <w:color w:val="auto"/>
                <w:sz w:val="24"/>
                <w:szCs w:val="24"/>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5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⑤</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lang w:eastAsia="zh-CN"/>
              </w:rPr>
              <w:t>培训效果</w:t>
            </w:r>
            <w:r>
              <w:rPr>
                <w:rFonts w:hint="eastAsia" w:ascii="仿宋" w:hAnsi="仿宋" w:eastAsia="仿宋" w:cs="仿宋"/>
                <w:color w:val="auto"/>
                <w:sz w:val="24"/>
                <w:szCs w:val="24"/>
              </w:rPr>
              <w:t>等。</w:t>
            </w:r>
          </w:p>
          <w:p w14:paraId="2C91FE55">
            <w:pPr>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432DEB2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44D8C28A">
            <w:pPr>
              <w:jc w:val="center"/>
              <w:rPr>
                <w:rFonts w:hint="eastAsia" w:ascii="仿宋" w:hAnsi="仿宋" w:eastAsia="仿宋" w:cs="仿宋"/>
                <w:sz w:val="24"/>
                <w:szCs w:val="24"/>
              </w:rPr>
            </w:pPr>
          </w:p>
        </w:tc>
        <w:tc>
          <w:tcPr>
            <w:tcW w:w="1473" w:type="dxa"/>
            <w:vMerge w:val="continue"/>
            <w:tcBorders>
              <w:tl2br w:val="nil"/>
              <w:tr2bl w:val="nil"/>
            </w:tcBorders>
            <w:noWrap w:val="0"/>
            <w:vAlign w:val="center"/>
          </w:tcPr>
          <w:p w14:paraId="4E96D9C5">
            <w:pPr>
              <w:jc w:val="center"/>
              <w:rPr>
                <w:rFonts w:hint="eastAsia" w:ascii="仿宋" w:hAnsi="仿宋" w:eastAsia="仿宋" w:cs="仿宋"/>
                <w:sz w:val="24"/>
                <w:szCs w:val="24"/>
              </w:rPr>
            </w:pPr>
          </w:p>
        </w:tc>
        <w:tc>
          <w:tcPr>
            <w:tcW w:w="1486" w:type="dxa"/>
            <w:tcBorders>
              <w:tl2br w:val="nil"/>
              <w:tr2bl w:val="nil"/>
            </w:tcBorders>
            <w:noWrap w:val="0"/>
            <w:vAlign w:val="center"/>
          </w:tcPr>
          <w:p w14:paraId="40DDE5FA">
            <w:pPr>
              <w:jc w:val="center"/>
              <w:rPr>
                <w:rFonts w:hint="eastAsia" w:ascii="仿宋" w:hAnsi="仿宋" w:eastAsia="仿宋" w:cs="仿宋"/>
                <w:sz w:val="24"/>
                <w:szCs w:val="24"/>
              </w:rPr>
            </w:pPr>
            <w:r>
              <w:rPr>
                <w:rFonts w:hint="eastAsia" w:ascii="仿宋" w:hAnsi="仿宋" w:eastAsia="仿宋" w:cs="仿宋"/>
                <w:sz w:val="24"/>
                <w:szCs w:val="24"/>
              </w:rPr>
              <w:t>类似业绩</w:t>
            </w:r>
          </w:p>
        </w:tc>
        <w:tc>
          <w:tcPr>
            <w:tcW w:w="682" w:type="dxa"/>
            <w:tcBorders>
              <w:tl2br w:val="nil"/>
              <w:tr2bl w:val="nil"/>
            </w:tcBorders>
            <w:noWrap w:val="0"/>
            <w:vAlign w:val="center"/>
          </w:tcPr>
          <w:p w14:paraId="505C34E4">
            <w:pPr>
              <w:jc w:val="center"/>
              <w:rPr>
                <w:rFonts w:hint="eastAsia" w:ascii="仿宋" w:hAnsi="仿宋" w:eastAsia="仿宋" w:cs="仿宋"/>
                <w:sz w:val="24"/>
                <w:szCs w:val="24"/>
              </w:rPr>
            </w:pPr>
            <w:r>
              <w:rPr>
                <w:rFonts w:hint="eastAsia" w:ascii="仿宋" w:hAnsi="仿宋" w:eastAsia="仿宋" w:cs="仿宋"/>
                <w:sz w:val="24"/>
                <w:szCs w:val="24"/>
              </w:rPr>
              <w:t>30</w:t>
            </w:r>
          </w:p>
        </w:tc>
        <w:tc>
          <w:tcPr>
            <w:tcW w:w="4841" w:type="dxa"/>
            <w:tcBorders>
              <w:tl2br w:val="nil"/>
              <w:tr2bl w:val="nil"/>
            </w:tcBorders>
            <w:noWrap w:val="0"/>
            <w:vAlign w:val="center"/>
          </w:tcPr>
          <w:p w14:paraId="6C0D023C">
            <w:pPr>
              <w:jc w:val="left"/>
              <w:rPr>
                <w:rFonts w:hint="eastAsia" w:ascii="仿宋" w:hAnsi="仿宋" w:eastAsia="仿宋" w:cs="仿宋"/>
                <w:color w:val="auto"/>
                <w:sz w:val="24"/>
                <w:szCs w:val="24"/>
              </w:rPr>
            </w:pPr>
            <w:r>
              <w:rPr>
                <w:rFonts w:hint="eastAsia" w:ascii="仿宋" w:hAnsi="仿宋" w:eastAsia="仿宋" w:cs="仿宋"/>
                <w:color w:val="auto"/>
                <w:sz w:val="24"/>
                <w:szCs w:val="24"/>
              </w:rPr>
              <w:t>提供近两年以来同型号设备销售业绩证明材料（证明材料可以是中标通知书或中标公示截图或合同相关页面，且证明材料要体现中标设备的型号），每提供一份计1</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分，计满30分为止，未按要求提供不得分。</w:t>
            </w:r>
          </w:p>
        </w:tc>
      </w:tr>
    </w:tbl>
    <w:p w14:paraId="39124244">
      <w:pPr>
        <w:jc w:val="center"/>
        <w:rPr>
          <w:rFonts w:hint="eastAsia" w:ascii="仿宋" w:hAnsi="仿宋" w:eastAsia="仿宋" w:cs="仿宋"/>
          <w:sz w:val="24"/>
          <w:szCs w:val="24"/>
        </w:rPr>
      </w:pPr>
    </w:p>
    <w:p w14:paraId="4092A6A2">
      <w:pPr>
        <w:pStyle w:val="2"/>
        <w:numPr>
          <w:ilvl w:val="0"/>
          <w:numId w:val="0"/>
        </w:numPr>
        <w:spacing w:line="240" w:lineRule="auto"/>
        <w:ind w:left="2940" w:leftChars="0"/>
        <w:jc w:val="both"/>
        <w:rPr>
          <w:rFonts w:hint="eastAsia" w:ascii="宋体" w:hAnsi="宋体" w:cs="宋体"/>
          <w:color w:val="auto"/>
          <w:sz w:val="30"/>
          <w:szCs w:val="30"/>
        </w:rPr>
      </w:pPr>
      <w:r>
        <w:rPr>
          <w:rFonts w:hint="eastAsia" w:ascii="宋体" w:hAnsi="宋体" w:cs="宋体"/>
          <w:color w:val="auto"/>
          <w:sz w:val="30"/>
          <w:szCs w:val="30"/>
          <w:lang w:val="en-US" w:eastAsia="zh-CN"/>
        </w:rPr>
        <w:t xml:space="preserve">第四章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left"/>
        <w:rPr>
          <w:rFonts w:hint="eastAsia" w:eastAsia="宋体"/>
          <w:b/>
          <w:color w:val="auto"/>
          <w:sz w:val="24"/>
          <w:lang w:eastAsia="zh-CN"/>
        </w:rPr>
      </w:pPr>
      <w:r>
        <w:rPr>
          <w:rFonts w:hint="eastAsia"/>
          <w:b/>
          <w:color w:val="auto"/>
          <w:sz w:val="24"/>
          <w:lang w:val="en-US" w:eastAsia="zh-CN"/>
        </w:rPr>
        <w:t xml:space="preserve">           </w:t>
      </w:r>
      <w:r>
        <w:rPr>
          <w:rFonts w:hint="eastAsia"/>
          <w:b/>
          <w:color w:val="auto"/>
          <w:sz w:val="24"/>
          <w:lang w:eastAsia="zh-CN"/>
        </w:rPr>
        <w:t>注：此项内容需包含投标商品和配套专用耗材名称、数量、品牌、型号、单价、总价、等信息</w:t>
      </w:r>
    </w:p>
    <w:p w14:paraId="6EE9D265">
      <w:pPr>
        <w:pStyle w:val="19"/>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8"/>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w:t>
      </w:r>
      <w:r>
        <w:rPr>
          <w:rFonts w:hint="eastAsia" w:ascii="宋体" w:hAnsi="宋体" w:cs="Times New Roman"/>
          <w:b w:val="0"/>
          <w:bCs w:val="0"/>
          <w:color w:val="auto"/>
          <w:kern w:val="2"/>
          <w:sz w:val="24"/>
          <w:szCs w:val="24"/>
          <w:lang w:val="en-US" w:eastAsia="zh-CN" w:bidi="ar-SA"/>
        </w:rPr>
        <w:t xml:space="preserve">    </w:t>
      </w:r>
      <w:r>
        <w:rPr>
          <w:rFonts w:hint="eastAsia" w:ascii="宋体" w:hAnsi="宋体" w:eastAsia="宋体" w:cs="Times New Roman"/>
          <w:b w:val="0"/>
          <w:bCs w:val="0"/>
          <w:color w:val="auto"/>
          <w:kern w:val="2"/>
          <w:sz w:val="24"/>
          <w:szCs w:val="24"/>
          <w:lang w:val="en-US" w:eastAsia="zh-CN" w:bidi="ar-SA"/>
        </w:rPr>
        <w:t xml:space="preserve">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1C1C7AD1">
      <w:pPr>
        <w:pStyle w:val="2"/>
        <w:numPr>
          <w:ilvl w:val="0"/>
          <w:numId w:val="0"/>
        </w:numPr>
        <w:spacing w:line="240" w:lineRule="auto"/>
        <w:ind w:left="2940" w:leftChars="0"/>
        <w:jc w:val="both"/>
        <w:rPr>
          <w:rFonts w:hint="eastAsia" w:ascii="宋体" w:hAnsi="宋体" w:cs="宋体"/>
          <w:color w:val="auto"/>
          <w:sz w:val="30"/>
          <w:szCs w:val="30"/>
        </w:rPr>
      </w:pPr>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41F48F73">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134583E1">
      <w:pPr>
        <w:rPr>
          <w:rFonts w:hint="eastAsia" w:ascii="宋体" w:hAnsi="宋体" w:cs="宋体"/>
          <w:color w:val="auto"/>
        </w:rPr>
      </w:pPr>
    </w:p>
    <w:p w14:paraId="0C36B7E3">
      <w:pPr>
        <w:rPr>
          <w:rFonts w:hint="eastAsia"/>
          <w:color w:val="auto"/>
        </w:rPr>
      </w:pPr>
    </w:p>
    <w:p w14:paraId="642A6E11">
      <w:pPr>
        <w:jc w:val="center"/>
        <w:rPr>
          <w:b/>
          <w:color w:val="auto"/>
          <w:sz w:val="24"/>
        </w:rPr>
      </w:pPr>
      <w:r>
        <w:rPr>
          <w:b/>
          <w:color w:val="auto"/>
          <w:sz w:val="28"/>
          <w:szCs w:val="28"/>
        </w:rPr>
        <w:t>第一部分、开标一览表</w:t>
      </w:r>
    </w:p>
    <w:p w14:paraId="31CF1AE0">
      <w:pPr>
        <w:jc w:val="center"/>
        <w:rPr>
          <w:b/>
          <w:color w:val="auto"/>
          <w:sz w:val="24"/>
        </w:rPr>
      </w:pPr>
    </w:p>
    <w:p w14:paraId="6D74B725">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5F8096E0">
      <w:pPr>
        <w:pStyle w:val="19"/>
        <w:rPr>
          <w:color w:val="auto"/>
        </w:rPr>
      </w:pPr>
    </w:p>
    <w:p w14:paraId="3009323F">
      <w:pPr>
        <w:adjustRightInd w:val="0"/>
        <w:snapToGrid w:val="0"/>
        <w:spacing w:line="360" w:lineRule="auto"/>
        <w:jc w:val="center"/>
        <w:rPr>
          <w:rFonts w:hint="eastAsia" w:ascii="宋体" w:hAnsi="宋体" w:cs="宋体"/>
          <w:b/>
          <w:color w:val="auto"/>
          <w:sz w:val="28"/>
          <w:szCs w:val="28"/>
        </w:rPr>
      </w:pPr>
    </w:p>
    <w:p w14:paraId="60B9049D">
      <w:pPr>
        <w:adjustRightInd w:val="0"/>
        <w:snapToGrid w:val="0"/>
        <w:spacing w:line="360" w:lineRule="auto"/>
        <w:jc w:val="center"/>
        <w:rPr>
          <w:rFonts w:hint="eastAsia" w:ascii="宋体" w:hAnsi="宋体" w:cs="宋体"/>
          <w:b/>
          <w:color w:val="auto"/>
          <w:sz w:val="28"/>
          <w:szCs w:val="28"/>
        </w:rPr>
      </w:pPr>
    </w:p>
    <w:p w14:paraId="47A9E7E6">
      <w:pPr>
        <w:adjustRightInd w:val="0"/>
        <w:snapToGrid w:val="0"/>
        <w:spacing w:line="360" w:lineRule="auto"/>
        <w:jc w:val="center"/>
        <w:rPr>
          <w:rFonts w:hint="eastAsia" w:ascii="宋体" w:hAnsi="宋体" w:cs="宋体"/>
          <w:b/>
          <w:color w:val="auto"/>
          <w:sz w:val="28"/>
          <w:szCs w:val="28"/>
        </w:rPr>
      </w:pPr>
    </w:p>
    <w:p w14:paraId="0B851203">
      <w:pPr>
        <w:adjustRightInd w:val="0"/>
        <w:snapToGrid w:val="0"/>
        <w:spacing w:line="360" w:lineRule="auto"/>
        <w:jc w:val="center"/>
        <w:rPr>
          <w:rFonts w:hint="eastAsia" w:ascii="宋体" w:hAnsi="宋体" w:cs="宋体"/>
          <w:b/>
          <w:color w:val="auto"/>
          <w:sz w:val="28"/>
          <w:szCs w:val="28"/>
        </w:rPr>
      </w:pPr>
    </w:p>
    <w:p w14:paraId="5B522B1B">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6BE0168">
      <w:pPr>
        <w:pStyle w:val="18"/>
        <w:rPr>
          <w:rFonts w:hint="eastAsia"/>
          <w:lang w:eastAsia="zh-CN"/>
        </w:rPr>
      </w:pPr>
    </w:p>
    <w:p w14:paraId="1C4CE19E">
      <w:pPr>
        <w:adjustRightInd w:val="0"/>
        <w:snapToGrid w:val="0"/>
        <w:spacing w:line="360" w:lineRule="auto"/>
        <w:jc w:val="center"/>
        <w:rPr>
          <w:rFonts w:hint="eastAsia" w:ascii="宋体" w:hAnsi="宋体" w:cs="宋体"/>
          <w:b/>
          <w:color w:val="auto"/>
          <w:sz w:val="24"/>
          <w:szCs w:val="20"/>
        </w:rPr>
      </w:pPr>
    </w:p>
    <w:p w14:paraId="5F76F163">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CD8A2E9">
      <w:pPr>
        <w:adjustRightInd w:val="0"/>
        <w:snapToGrid w:val="0"/>
        <w:spacing w:line="360" w:lineRule="auto"/>
        <w:rPr>
          <w:rFonts w:hint="eastAsia" w:ascii="宋体" w:hAnsi="宋体" w:cs="宋体"/>
          <w:b/>
          <w:color w:val="auto"/>
          <w:sz w:val="28"/>
          <w:szCs w:val="28"/>
        </w:rPr>
      </w:pPr>
    </w:p>
    <w:p w14:paraId="57FDFFD6">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5DC957A3">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8EF331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29B331CC">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387948B">
      <w:pPr>
        <w:adjustRightInd w:val="0"/>
        <w:snapToGrid w:val="0"/>
        <w:spacing w:line="360" w:lineRule="auto"/>
        <w:ind w:firstLine="480" w:firstLineChars="200"/>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FD0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5E52C6EF">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346FCCD3">
      <w:pPr>
        <w:adjustRightInd w:val="0"/>
        <w:snapToGrid w:val="0"/>
        <w:spacing w:line="360" w:lineRule="auto"/>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7CB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44E9FC1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61ED57AA">
      <w:pPr>
        <w:adjustRightInd w:val="0"/>
        <w:snapToGrid w:val="0"/>
        <w:spacing w:line="360" w:lineRule="auto"/>
        <w:rPr>
          <w:rFonts w:hint="eastAsia" w:ascii="宋体" w:hAnsi="宋体" w:cs="宋体"/>
          <w:color w:val="auto"/>
          <w:sz w:val="24"/>
        </w:rPr>
      </w:pPr>
    </w:p>
    <w:p w14:paraId="73683F9B">
      <w:pPr>
        <w:adjustRightInd w:val="0"/>
        <w:snapToGrid w:val="0"/>
        <w:spacing w:line="360" w:lineRule="auto"/>
        <w:rPr>
          <w:rFonts w:hint="eastAsia" w:ascii="宋体" w:hAnsi="宋体" w:cs="宋体"/>
          <w:color w:val="auto"/>
          <w:sz w:val="24"/>
        </w:rPr>
      </w:pPr>
    </w:p>
    <w:p w14:paraId="74E54024">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1F56670">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83F8CB4">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24EF6AB7">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E41FF70">
      <w:pPr>
        <w:adjustRightInd w:val="0"/>
        <w:snapToGrid w:val="0"/>
        <w:spacing w:line="360" w:lineRule="auto"/>
        <w:rPr>
          <w:rFonts w:hint="eastAsia" w:ascii="宋体" w:hAnsi="宋体" w:cs="宋体"/>
          <w:b/>
          <w:color w:val="auto"/>
          <w:sz w:val="28"/>
          <w:szCs w:val="28"/>
        </w:rPr>
      </w:pPr>
    </w:p>
    <w:p w14:paraId="0F5DBA54">
      <w:pPr>
        <w:rPr>
          <w:rFonts w:hint="eastAsia" w:ascii="宋体" w:hAnsi="宋体" w:cs="宋体"/>
          <w:b/>
          <w:color w:val="auto"/>
          <w:sz w:val="24"/>
          <w:szCs w:val="20"/>
        </w:rPr>
      </w:pPr>
      <w:r>
        <w:rPr>
          <w:rFonts w:hint="eastAsia" w:ascii="宋体" w:hAnsi="宋体" w:cs="宋体"/>
          <w:b/>
          <w:color w:val="auto"/>
          <w:sz w:val="24"/>
          <w:szCs w:val="20"/>
        </w:rPr>
        <w:br w:type="page"/>
      </w:r>
    </w:p>
    <w:p w14:paraId="2A1D0F17">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09B775A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DD6DC69">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0DB7BF5D">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153678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98527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218121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265A087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2E36ED8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E4EEB9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0226D39D">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35752034">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60EB9185">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024C14A9">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0ADBE667">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64DDD70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55D549B2">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2C3DEF84">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6F3D623">
      <w:pPr>
        <w:adjustRightInd w:val="0"/>
        <w:snapToGrid w:val="0"/>
        <w:spacing w:line="360" w:lineRule="auto"/>
        <w:jc w:val="center"/>
        <w:rPr>
          <w:rFonts w:hint="eastAsia" w:ascii="宋体" w:hAnsi="宋体" w:cs="宋体"/>
          <w:b/>
          <w:color w:val="auto"/>
          <w:sz w:val="24"/>
          <w:szCs w:val="20"/>
        </w:rPr>
      </w:pPr>
    </w:p>
    <w:p w14:paraId="40F1283F">
      <w:pPr>
        <w:adjustRightInd w:val="0"/>
        <w:snapToGrid w:val="0"/>
        <w:spacing w:line="360" w:lineRule="auto"/>
        <w:rPr>
          <w:rFonts w:hint="eastAsia" w:ascii="宋体" w:hAnsi="宋体" w:cs="宋体"/>
          <w:b/>
          <w:color w:val="auto"/>
          <w:sz w:val="24"/>
          <w:szCs w:val="20"/>
        </w:rPr>
      </w:pPr>
    </w:p>
    <w:p w14:paraId="5128EA67">
      <w:pPr>
        <w:adjustRightInd w:val="0"/>
        <w:snapToGrid w:val="0"/>
        <w:spacing w:line="360" w:lineRule="auto"/>
        <w:rPr>
          <w:rFonts w:hint="eastAsia" w:ascii="宋体" w:hAnsi="宋体" w:cs="宋体"/>
          <w:b/>
          <w:color w:val="auto"/>
          <w:sz w:val="24"/>
          <w:szCs w:val="20"/>
        </w:rPr>
      </w:pPr>
    </w:p>
    <w:p w14:paraId="27E5A231">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78E56FA9">
      <w:pPr>
        <w:adjustRightInd w:val="0"/>
        <w:snapToGrid w:val="0"/>
        <w:spacing w:line="360" w:lineRule="auto"/>
        <w:jc w:val="center"/>
        <w:rPr>
          <w:rFonts w:hint="eastAsia" w:ascii="宋体" w:hAnsi="宋体" w:cs="宋体"/>
          <w:b/>
          <w:color w:val="auto"/>
          <w:sz w:val="24"/>
          <w:szCs w:val="20"/>
        </w:rPr>
      </w:pPr>
    </w:p>
    <w:p w14:paraId="675A77B9">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3EFCC07C">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8028048">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9A5AFCB">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8865E0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D7A1C86">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48FD500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6D76AF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6755BE39">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2DEE6198">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663AA6F9">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15BE5D0A">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CEF50E">
      <w:pPr>
        <w:jc w:val="left"/>
        <w:rPr>
          <w:rFonts w:hint="eastAsia" w:ascii="宋体" w:hAnsi="宋体" w:eastAsia="宋体" w:cs="Times New Roman"/>
          <w:b w:val="0"/>
          <w:bCs w:val="0"/>
          <w:color w:val="auto"/>
          <w:kern w:val="2"/>
          <w:sz w:val="24"/>
          <w:szCs w:val="24"/>
          <w:lang w:val="en-US" w:eastAsia="zh-CN" w:bidi="ar-SA"/>
        </w:rPr>
      </w:pPr>
    </w:p>
    <w:p w14:paraId="30756FE5">
      <w:pPr>
        <w:jc w:val="left"/>
        <w:rPr>
          <w:rFonts w:hint="eastAsia" w:ascii="宋体" w:hAnsi="宋体" w:eastAsia="宋体" w:cs="Times New Roman"/>
          <w:b w:val="0"/>
          <w:bCs w:val="0"/>
          <w:color w:val="auto"/>
          <w:kern w:val="2"/>
          <w:sz w:val="24"/>
          <w:szCs w:val="24"/>
          <w:lang w:val="en-US" w:eastAsia="zh-CN" w:bidi="ar-SA"/>
        </w:rPr>
      </w:pPr>
    </w:p>
    <w:p w14:paraId="15990E6D">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097D7B90">
      <w:pPr>
        <w:jc w:val="center"/>
        <w:rPr>
          <w:rFonts w:hint="eastAsia" w:ascii="宋体" w:hAnsi="宋体" w:cs="宋体"/>
          <w:b/>
          <w:color w:val="auto"/>
          <w:sz w:val="24"/>
        </w:rPr>
        <w:sectPr>
          <w:headerReference r:id="rId5" w:type="default"/>
          <w:footerReference r:id="rId6" w:type="default"/>
          <w:pgSz w:w="11906" w:h="16838"/>
          <w:pgMar w:top="1440" w:right="1080" w:bottom="1440" w:left="1080" w:header="567" w:footer="283" w:gutter="0"/>
          <w:pgNumType w:fmt="decimal" w:start="1"/>
          <w:cols w:space="720" w:num="1"/>
          <w:docGrid w:linePitch="312" w:charSpace="0"/>
        </w:sectPr>
      </w:pPr>
    </w:p>
    <w:p w14:paraId="2D0C4DC7">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86424819"/>
      <w:bookmarkStart w:id="4" w:name="_Toc476514128"/>
    </w:p>
    <w:p w14:paraId="62A84631">
      <w:pPr>
        <w:pStyle w:val="18"/>
        <w:rPr>
          <w:rFonts w:hint="eastAsia"/>
          <w:lang w:eastAsia="zh-CN"/>
        </w:rPr>
      </w:pPr>
    </w:p>
    <w:p w14:paraId="7C3A650F">
      <w:pPr>
        <w:spacing w:before="120" w:beforeLines="50" w:after="120" w:afterLines="50" w:line="276" w:lineRule="auto"/>
        <w:jc w:val="center"/>
        <w:rPr>
          <w:b/>
          <w:color w:val="auto"/>
          <w:sz w:val="24"/>
        </w:rPr>
      </w:pPr>
      <w:r>
        <w:rPr>
          <w:b/>
          <w:color w:val="auto"/>
          <w:sz w:val="24"/>
        </w:rPr>
        <w:t>采购需求响应/偏离表</w:t>
      </w:r>
    </w:p>
    <w:p w14:paraId="08E5B6D6">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37E6D2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35B2D26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2E39D26F">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08D2C1B3">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515E670">
            <w:pPr>
              <w:adjustRightInd w:val="0"/>
              <w:snapToGrid w:val="0"/>
              <w:spacing w:before="50" w:line="360" w:lineRule="auto"/>
              <w:jc w:val="center"/>
              <w:rPr>
                <w:color w:val="auto"/>
              </w:rPr>
            </w:pPr>
            <w:r>
              <w:rPr>
                <w:color w:val="auto"/>
              </w:rPr>
              <w:t>投标文件应答</w:t>
            </w:r>
          </w:p>
        </w:tc>
        <w:tc>
          <w:tcPr>
            <w:tcW w:w="1513" w:type="dxa"/>
            <w:noWrap w:val="0"/>
            <w:vAlign w:val="center"/>
          </w:tcPr>
          <w:p w14:paraId="5FDFAC2D">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452B13AE">
            <w:pPr>
              <w:adjustRightInd w:val="0"/>
              <w:snapToGrid w:val="0"/>
              <w:spacing w:before="50" w:line="360" w:lineRule="auto"/>
              <w:ind w:left="-88" w:leftChars="-42"/>
              <w:jc w:val="center"/>
              <w:rPr>
                <w:color w:val="auto"/>
                <w:szCs w:val="21"/>
              </w:rPr>
            </w:pPr>
            <w:r>
              <w:rPr>
                <w:color w:val="auto"/>
                <w:szCs w:val="21"/>
              </w:rPr>
              <w:t>偏离说明</w:t>
            </w:r>
          </w:p>
        </w:tc>
      </w:tr>
      <w:tr w14:paraId="36F3D4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29A584E">
            <w:pPr>
              <w:adjustRightInd w:val="0"/>
              <w:snapToGrid w:val="0"/>
              <w:spacing w:before="50" w:line="360" w:lineRule="auto"/>
              <w:ind w:left="-88" w:leftChars="-42"/>
              <w:jc w:val="center"/>
              <w:rPr>
                <w:color w:val="auto"/>
                <w:szCs w:val="21"/>
              </w:rPr>
            </w:pPr>
          </w:p>
        </w:tc>
        <w:tc>
          <w:tcPr>
            <w:tcW w:w="1877" w:type="dxa"/>
            <w:noWrap w:val="0"/>
            <w:vAlign w:val="center"/>
          </w:tcPr>
          <w:p w14:paraId="04FA1F79">
            <w:pPr>
              <w:adjustRightInd w:val="0"/>
              <w:snapToGrid w:val="0"/>
              <w:spacing w:before="50" w:line="360" w:lineRule="auto"/>
              <w:ind w:left="-88" w:leftChars="-42"/>
              <w:jc w:val="center"/>
              <w:rPr>
                <w:color w:val="auto"/>
                <w:szCs w:val="21"/>
              </w:rPr>
            </w:pPr>
          </w:p>
        </w:tc>
        <w:tc>
          <w:tcPr>
            <w:tcW w:w="1671" w:type="dxa"/>
            <w:noWrap w:val="0"/>
            <w:vAlign w:val="center"/>
          </w:tcPr>
          <w:p w14:paraId="111429EA">
            <w:pPr>
              <w:adjustRightInd w:val="0"/>
              <w:snapToGrid w:val="0"/>
              <w:spacing w:before="50" w:line="360" w:lineRule="auto"/>
              <w:ind w:left="-88" w:leftChars="-42"/>
              <w:jc w:val="center"/>
              <w:rPr>
                <w:color w:val="auto"/>
                <w:szCs w:val="21"/>
              </w:rPr>
            </w:pPr>
          </w:p>
        </w:tc>
        <w:tc>
          <w:tcPr>
            <w:tcW w:w="1608" w:type="dxa"/>
            <w:noWrap w:val="0"/>
            <w:vAlign w:val="center"/>
          </w:tcPr>
          <w:p w14:paraId="3F5C712D">
            <w:pPr>
              <w:adjustRightInd w:val="0"/>
              <w:snapToGrid w:val="0"/>
              <w:spacing w:before="50" w:line="360" w:lineRule="auto"/>
              <w:ind w:left="-88" w:leftChars="-42"/>
              <w:jc w:val="center"/>
              <w:rPr>
                <w:color w:val="auto"/>
                <w:szCs w:val="21"/>
              </w:rPr>
            </w:pPr>
          </w:p>
        </w:tc>
        <w:tc>
          <w:tcPr>
            <w:tcW w:w="1513" w:type="dxa"/>
            <w:noWrap w:val="0"/>
            <w:vAlign w:val="center"/>
          </w:tcPr>
          <w:p w14:paraId="1FD267E1">
            <w:pPr>
              <w:adjustRightInd w:val="0"/>
              <w:snapToGrid w:val="0"/>
              <w:spacing w:before="50" w:line="360" w:lineRule="auto"/>
              <w:ind w:left="-88" w:leftChars="-42"/>
              <w:jc w:val="center"/>
              <w:rPr>
                <w:color w:val="auto"/>
                <w:szCs w:val="21"/>
              </w:rPr>
            </w:pPr>
          </w:p>
        </w:tc>
        <w:tc>
          <w:tcPr>
            <w:tcW w:w="1061" w:type="dxa"/>
            <w:noWrap w:val="0"/>
            <w:vAlign w:val="center"/>
          </w:tcPr>
          <w:p w14:paraId="1B0463B5">
            <w:pPr>
              <w:adjustRightInd w:val="0"/>
              <w:snapToGrid w:val="0"/>
              <w:spacing w:before="50" w:line="360" w:lineRule="auto"/>
              <w:ind w:left="-88" w:leftChars="-42"/>
              <w:jc w:val="center"/>
              <w:rPr>
                <w:color w:val="auto"/>
                <w:szCs w:val="21"/>
              </w:rPr>
            </w:pPr>
          </w:p>
        </w:tc>
      </w:tr>
      <w:tr w14:paraId="3C6C57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DE623C7">
            <w:pPr>
              <w:adjustRightInd w:val="0"/>
              <w:snapToGrid w:val="0"/>
              <w:spacing w:before="50" w:line="360" w:lineRule="auto"/>
              <w:ind w:left="-88" w:leftChars="-42"/>
              <w:jc w:val="center"/>
              <w:rPr>
                <w:color w:val="auto"/>
                <w:szCs w:val="21"/>
              </w:rPr>
            </w:pPr>
          </w:p>
        </w:tc>
        <w:tc>
          <w:tcPr>
            <w:tcW w:w="1877" w:type="dxa"/>
            <w:noWrap w:val="0"/>
            <w:vAlign w:val="center"/>
          </w:tcPr>
          <w:p w14:paraId="0139CDB7">
            <w:pPr>
              <w:adjustRightInd w:val="0"/>
              <w:snapToGrid w:val="0"/>
              <w:spacing w:before="50" w:line="360" w:lineRule="auto"/>
              <w:ind w:left="-88" w:leftChars="-42"/>
              <w:jc w:val="center"/>
              <w:rPr>
                <w:color w:val="auto"/>
                <w:szCs w:val="21"/>
              </w:rPr>
            </w:pPr>
          </w:p>
        </w:tc>
        <w:tc>
          <w:tcPr>
            <w:tcW w:w="1671" w:type="dxa"/>
            <w:noWrap w:val="0"/>
            <w:vAlign w:val="center"/>
          </w:tcPr>
          <w:p w14:paraId="74FA9D80">
            <w:pPr>
              <w:adjustRightInd w:val="0"/>
              <w:snapToGrid w:val="0"/>
              <w:spacing w:before="50" w:line="360" w:lineRule="auto"/>
              <w:ind w:left="-88" w:leftChars="-42"/>
              <w:jc w:val="center"/>
              <w:rPr>
                <w:color w:val="auto"/>
                <w:szCs w:val="21"/>
              </w:rPr>
            </w:pPr>
          </w:p>
        </w:tc>
        <w:tc>
          <w:tcPr>
            <w:tcW w:w="1608" w:type="dxa"/>
            <w:noWrap w:val="0"/>
            <w:vAlign w:val="center"/>
          </w:tcPr>
          <w:p w14:paraId="4DF49294">
            <w:pPr>
              <w:adjustRightInd w:val="0"/>
              <w:snapToGrid w:val="0"/>
              <w:spacing w:before="50" w:line="360" w:lineRule="auto"/>
              <w:ind w:left="-88" w:leftChars="-42"/>
              <w:jc w:val="center"/>
              <w:rPr>
                <w:color w:val="auto"/>
                <w:szCs w:val="21"/>
              </w:rPr>
            </w:pPr>
          </w:p>
        </w:tc>
        <w:tc>
          <w:tcPr>
            <w:tcW w:w="1513" w:type="dxa"/>
            <w:noWrap w:val="0"/>
            <w:vAlign w:val="center"/>
          </w:tcPr>
          <w:p w14:paraId="72CDE795">
            <w:pPr>
              <w:adjustRightInd w:val="0"/>
              <w:snapToGrid w:val="0"/>
              <w:spacing w:before="50" w:line="360" w:lineRule="auto"/>
              <w:ind w:left="-88" w:leftChars="-42"/>
              <w:jc w:val="center"/>
              <w:rPr>
                <w:color w:val="auto"/>
                <w:szCs w:val="21"/>
              </w:rPr>
            </w:pPr>
          </w:p>
        </w:tc>
        <w:tc>
          <w:tcPr>
            <w:tcW w:w="1061" w:type="dxa"/>
            <w:noWrap w:val="0"/>
            <w:vAlign w:val="center"/>
          </w:tcPr>
          <w:p w14:paraId="35D7F53B">
            <w:pPr>
              <w:adjustRightInd w:val="0"/>
              <w:snapToGrid w:val="0"/>
              <w:spacing w:before="50" w:line="360" w:lineRule="auto"/>
              <w:ind w:left="-88" w:leftChars="-42"/>
              <w:jc w:val="center"/>
              <w:rPr>
                <w:color w:val="auto"/>
                <w:szCs w:val="21"/>
              </w:rPr>
            </w:pPr>
          </w:p>
        </w:tc>
      </w:tr>
      <w:tr w14:paraId="6DCDBC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C5504F">
            <w:pPr>
              <w:adjustRightInd w:val="0"/>
              <w:snapToGrid w:val="0"/>
              <w:spacing w:before="50" w:line="360" w:lineRule="auto"/>
              <w:ind w:left="-88" w:leftChars="-42"/>
              <w:jc w:val="center"/>
              <w:rPr>
                <w:color w:val="auto"/>
                <w:szCs w:val="21"/>
              </w:rPr>
            </w:pPr>
          </w:p>
        </w:tc>
        <w:tc>
          <w:tcPr>
            <w:tcW w:w="1877" w:type="dxa"/>
            <w:noWrap w:val="0"/>
            <w:vAlign w:val="center"/>
          </w:tcPr>
          <w:p w14:paraId="3FC5B1D9">
            <w:pPr>
              <w:adjustRightInd w:val="0"/>
              <w:snapToGrid w:val="0"/>
              <w:spacing w:before="50" w:line="360" w:lineRule="auto"/>
              <w:ind w:left="-88" w:leftChars="-42"/>
              <w:jc w:val="center"/>
              <w:rPr>
                <w:color w:val="auto"/>
                <w:szCs w:val="21"/>
              </w:rPr>
            </w:pPr>
          </w:p>
        </w:tc>
        <w:tc>
          <w:tcPr>
            <w:tcW w:w="1671" w:type="dxa"/>
            <w:noWrap w:val="0"/>
            <w:vAlign w:val="center"/>
          </w:tcPr>
          <w:p w14:paraId="6B2107E1">
            <w:pPr>
              <w:adjustRightInd w:val="0"/>
              <w:snapToGrid w:val="0"/>
              <w:spacing w:before="50" w:line="360" w:lineRule="auto"/>
              <w:ind w:left="-88" w:leftChars="-42"/>
              <w:jc w:val="center"/>
              <w:rPr>
                <w:color w:val="auto"/>
                <w:szCs w:val="21"/>
              </w:rPr>
            </w:pPr>
          </w:p>
        </w:tc>
        <w:tc>
          <w:tcPr>
            <w:tcW w:w="1608" w:type="dxa"/>
            <w:noWrap w:val="0"/>
            <w:vAlign w:val="center"/>
          </w:tcPr>
          <w:p w14:paraId="50438157">
            <w:pPr>
              <w:adjustRightInd w:val="0"/>
              <w:snapToGrid w:val="0"/>
              <w:spacing w:before="50" w:line="360" w:lineRule="auto"/>
              <w:ind w:left="-88" w:leftChars="-42"/>
              <w:jc w:val="center"/>
              <w:rPr>
                <w:color w:val="auto"/>
                <w:szCs w:val="21"/>
              </w:rPr>
            </w:pPr>
          </w:p>
        </w:tc>
        <w:tc>
          <w:tcPr>
            <w:tcW w:w="1513" w:type="dxa"/>
            <w:noWrap w:val="0"/>
            <w:vAlign w:val="center"/>
          </w:tcPr>
          <w:p w14:paraId="2617429B">
            <w:pPr>
              <w:adjustRightInd w:val="0"/>
              <w:snapToGrid w:val="0"/>
              <w:spacing w:before="50" w:line="360" w:lineRule="auto"/>
              <w:ind w:left="-88" w:leftChars="-42"/>
              <w:jc w:val="center"/>
              <w:rPr>
                <w:color w:val="auto"/>
                <w:szCs w:val="21"/>
              </w:rPr>
            </w:pPr>
          </w:p>
        </w:tc>
        <w:tc>
          <w:tcPr>
            <w:tcW w:w="1061" w:type="dxa"/>
            <w:noWrap w:val="0"/>
            <w:vAlign w:val="center"/>
          </w:tcPr>
          <w:p w14:paraId="469BAD0E">
            <w:pPr>
              <w:adjustRightInd w:val="0"/>
              <w:snapToGrid w:val="0"/>
              <w:spacing w:before="50" w:line="360" w:lineRule="auto"/>
              <w:ind w:left="-88" w:leftChars="-42"/>
              <w:jc w:val="center"/>
              <w:rPr>
                <w:color w:val="auto"/>
                <w:szCs w:val="21"/>
              </w:rPr>
            </w:pPr>
          </w:p>
        </w:tc>
      </w:tr>
      <w:tr w14:paraId="466746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497E606C">
            <w:pPr>
              <w:rPr>
                <w:b/>
                <w:color w:val="auto"/>
              </w:rPr>
            </w:pPr>
          </w:p>
        </w:tc>
      </w:tr>
    </w:tbl>
    <w:p w14:paraId="40556A6B">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48C94C08">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7C43CBC0">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075DFE47">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本项目为综合评分法，所有参数必须在响应表中逐条应答。</w:t>
      </w:r>
    </w:p>
    <w:p w14:paraId="0DA40BA3">
      <w:pPr>
        <w:pStyle w:val="19"/>
        <w:rPr>
          <w:color w:val="auto"/>
        </w:rPr>
      </w:pPr>
    </w:p>
    <w:p w14:paraId="0EFEE20B">
      <w:pPr>
        <w:pStyle w:val="18"/>
        <w:rPr>
          <w:rFonts w:hint="eastAsia"/>
          <w:lang w:eastAsia="zh-CN"/>
        </w:rPr>
      </w:pPr>
    </w:p>
    <w:p w14:paraId="2CB8A4F5"/>
    <w:p w14:paraId="58D1B8B1">
      <w:pPr>
        <w:pStyle w:val="19"/>
        <w:rPr>
          <w:color w:val="auto"/>
        </w:rPr>
      </w:pPr>
    </w:p>
    <w:p w14:paraId="43E00E01">
      <w:pPr>
        <w:pStyle w:val="18"/>
        <w:rPr>
          <w:rFonts w:hint="eastAsia"/>
          <w:lang w:eastAsia="zh-CN"/>
        </w:rPr>
      </w:pPr>
    </w:p>
    <w:p w14:paraId="53FA0AAC"/>
    <w:p w14:paraId="36507233"/>
    <w:p w14:paraId="5AA899CA"/>
    <w:p w14:paraId="2936BFC4"/>
    <w:p w14:paraId="740A0EF9"/>
    <w:p w14:paraId="57A7D16B"/>
    <w:p w14:paraId="003C5A4F"/>
    <w:sectPr>
      <w:footerReference r:id="rId7"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9"/>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9"/>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59C88">
    <w:pPr>
      <w:pStyle w:val="9"/>
      <w:rPr>
        <w:rFonts w:hint="eastAsia" w:ascii="仿宋_GB2312" w:eastAsia="仿宋_GB2312"/>
        <w:bCs/>
        <w:u w:val="single"/>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D20831">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7D20831">
                    <w:pPr>
                      <w:pStyle w:val="9"/>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1A9478CC">
    <w:pPr>
      <w:adjustRightInd w:val="0"/>
      <w:snapToGrid w:val="0"/>
      <w:spacing w:line="260" w:lineRule="atLeast"/>
      <w:rPr>
        <w:rFonts w:hint="eastAsia"/>
        <w:kern w:val="0"/>
        <w:sz w:val="18"/>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9"/>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9"/>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10"/>
      <w:ind w:left="8280" w:hanging="8280" w:hangingChars="4600"/>
      <w:jc w:val="both"/>
      <w:rPr>
        <w:rFonts w:hint="eastAsia"/>
      </w:rPr>
    </w:pP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64788">
    <w:pPr>
      <w:pStyle w:val="10"/>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CA7D5639"/>
    <w:multiLevelType w:val="singleLevel"/>
    <w:tmpl w:val="CA7D5639"/>
    <w:lvl w:ilvl="0" w:tentative="0">
      <w:start w:val="7"/>
      <w:numFmt w:val="decimal"/>
      <w:lvlText w:val="%1"/>
      <w:lvlJc w:val="left"/>
    </w:lvl>
  </w:abstractNum>
  <w:abstractNum w:abstractNumId="2">
    <w:nsid w:val="EB67FE42"/>
    <w:multiLevelType w:val="singleLevel"/>
    <w:tmpl w:val="EB67FE42"/>
    <w:lvl w:ilvl="0" w:tentative="0">
      <w:start w:val="1"/>
      <w:numFmt w:val="decimal"/>
      <w:suff w:val="nothing"/>
      <w:lvlText w:val="%1、"/>
      <w:lvlJc w:val="left"/>
    </w:lvl>
  </w:abstractNum>
  <w:abstractNum w:abstractNumId="3">
    <w:nsid w:val="7D7148E5"/>
    <w:multiLevelType w:val="singleLevel"/>
    <w:tmpl w:val="7D7148E5"/>
    <w:lvl w:ilvl="0" w:tentative="0">
      <w:start w:val="1"/>
      <w:numFmt w:val="decimal"/>
      <w:lvlText w:val="%1"/>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86F75C9"/>
    <w:rsid w:val="09C0303A"/>
    <w:rsid w:val="0A3F4F3C"/>
    <w:rsid w:val="0A8A74D4"/>
    <w:rsid w:val="0CAD77BD"/>
    <w:rsid w:val="0E331420"/>
    <w:rsid w:val="0EDD1643"/>
    <w:rsid w:val="0FB9029C"/>
    <w:rsid w:val="10897B23"/>
    <w:rsid w:val="10914EF9"/>
    <w:rsid w:val="10B8663C"/>
    <w:rsid w:val="114A6E83"/>
    <w:rsid w:val="12080B62"/>
    <w:rsid w:val="12994AC5"/>
    <w:rsid w:val="129F447F"/>
    <w:rsid w:val="12C86253"/>
    <w:rsid w:val="15060AC8"/>
    <w:rsid w:val="15125EAE"/>
    <w:rsid w:val="15675A4C"/>
    <w:rsid w:val="17F91BB8"/>
    <w:rsid w:val="193E7D91"/>
    <w:rsid w:val="1943608F"/>
    <w:rsid w:val="19E91315"/>
    <w:rsid w:val="1AF56B46"/>
    <w:rsid w:val="1B7B72C0"/>
    <w:rsid w:val="1D5071B5"/>
    <w:rsid w:val="1D5D59A6"/>
    <w:rsid w:val="1DD7486D"/>
    <w:rsid w:val="1E79119D"/>
    <w:rsid w:val="1F334F58"/>
    <w:rsid w:val="1F796B24"/>
    <w:rsid w:val="1FC602A8"/>
    <w:rsid w:val="1FDFE26B"/>
    <w:rsid w:val="1FE73549"/>
    <w:rsid w:val="2038045E"/>
    <w:rsid w:val="20AF0900"/>
    <w:rsid w:val="20B41DA7"/>
    <w:rsid w:val="21C61C7A"/>
    <w:rsid w:val="2383771E"/>
    <w:rsid w:val="23F374DB"/>
    <w:rsid w:val="24881A32"/>
    <w:rsid w:val="24E375C9"/>
    <w:rsid w:val="25266F96"/>
    <w:rsid w:val="267547DF"/>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2FDD772F"/>
    <w:rsid w:val="302741D2"/>
    <w:rsid w:val="308B184D"/>
    <w:rsid w:val="309C1E01"/>
    <w:rsid w:val="30BB11DD"/>
    <w:rsid w:val="31F17CD1"/>
    <w:rsid w:val="324F4D43"/>
    <w:rsid w:val="33384C93"/>
    <w:rsid w:val="340F06E9"/>
    <w:rsid w:val="34C12F54"/>
    <w:rsid w:val="366241E2"/>
    <w:rsid w:val="36B66AAC"/>
    <w:rsid w:val="36E47928"/>
    <w:rsid w:val="372F7378"/>
    <w:rsid w:val="37BA0809"/>
    <w:rsid w:val="37DE919F"/>
    <w:rsid w:val="38F7D690"/>
    <w:rsid w:val="397348CD"/>
    <w:rsid w:val="3A8E0AB7"/>
    <w:rsid w:val="3A994AB7"/>
    <w:rsid w:val="3B3B544D"/>
    <w:rsid w:val="3B654F2B"/>
    <w:rsid w:val="3BB72BAE"/>
    <w:rsid w:val="3BFC7D2B"/>
    <w:rsid w:val="3C7C799C"/>
    <w:rsid w:val="3C8A61A4"/>
    <w:rsid w:val="3D5E17FF"/>
    <w:rsid w:val="3DF93413"/>
    <w:rsid w:val="3DFD1951"/>
    <w:rsid w:val="3DFFD27E"/>
    <w:rsid w:val="3E1F0DA4"/>
    <w:rsid w:val="3E584E51"/>
    <w:rsid w:val="3E62C1E0"/>
    <w:rsid w:val="3E6E70D5"/>
    <w:rsid w:val="3EBE1ADE"/>
    <w:rsid w:val="3F788D05"/>
    <w:rsid w:val="3FEF41F9"/>
    <w:rsid w:val="3FF36FC1"/>
    <w:rsid w:val="403B4B34"/>
    <w:rsid w:val="4140452A"/>
    <w:rsid w:val="414D7889"/>
    <w:rsid w:val="41BB0BAE"/>
    <w:rsid w:val="425629F5"/>
    <w:rsid w:val="4284152B"/>
    <w:rsid w:val="429A4992"/>
    <w:rsid w:val="42FF3888"/>
    <w:rsid w:val="435B161D"/>
    <w:rsid w:val="43B25DAC"/>
    <w:rsid w:val="44771DFD"/>
    <w:rsid w:val="45D569C3"/>
    <w:rsid w:val="475F9F54"/>
    <w:rsid w:val="479B74B7"/>
    <w:rsid w:val="48735221"/>
    <w:rsid w:val="49E92B05"/>
    <w:rsid w:val="4A354E62"/>
    <w:rsid w:val="4AEE1A11"/>
    <w:rsid w:val="4B7F39F4"/>
    <w:rsid w:val="4B9387EE"/>
    <w:rsid w:val="4BAE646F"/>
    <w:rsid w:val="4CAC1559"/>
    <w:rsid w:val="4D1D09A0"/>
    <w:rsid w:val="4D754257"/>
    <w:rsid w:val="4DCD6AB3"/>
    <w:rsid w:val="4E334DF1"/>
    <w:rsid w:val="4EE7662F"/>
    <w:rsid w:val="50216DCD"/>
    <w:rsid w:val="50540C20"/>
    <w:rsid w:val="506258C6"/>
    <w:rsid w:val="51AC28BD"/>
    <w:rsid w:val="52183ACC"/>
    <w:rsid w:val="5275566D"/>
    <w:rsid w:val="53238E8B"/>
    <w:rsid w:val="53B55872"/>
    <w:rsid w:val="544055F2"/>
    <w:rsid w:val="54AD4386"/>
    <w:rsid w:val="55D8243C"/>
    <w:rsid w:val="575FAF7E"/>
    <w:rsid w:val="581A7C72"/>
    <w:rsid w:val="583A4BD7"/>
    <w:rsid w:val="59C74B1F"/>
    <w:rsid w:val="5A886F59"/>
    <w:rsid w:val="5BDF167E"/>
    <w:rsid w:val="5E9BBF88"/>
    <w:rsid w:val="5F153ADC"/>
    <w:rsid w:val="5FBFAB6E"/>
    <w:rsid w:val="604D5946"/>
    <w:rsid w:val="611B6B1B"/>
    <w:rsid w:val="61FF68C0"/>
    <w:rsid w:val="62C222C2"/>
    <w:rsid w:val="632D7C40"/>
    <w:rsid w:val="63F39F53"/>
    <w:rsid w:val="64133D6A"/>
    <w:rsid w:val="64245572"/>
    <w:rsid w:val="674A3DD5"/>
    <w:rsid w:val="678E4F5D"/>
    <w:rsid w:val="67F3562A"/>
    <w:rsid w:val="67FFBBE3"/>
    <w:rsid w:val="680E122C"/>
    <w:rsid w:val="6A4E1D63"/>
    <w:rsid w:val="6C486FE4"/>
    <w:rsid w:val="6CA409DF"/>
    <w:rsid w:val="6D9F787E"/>
    <w:rsid w:val="6DE375E4"/>
    <w:rsid w:val="6E8E5287"/>
    <w:rsid w:val="6F5B91C3"/>
    <w:rsid w:val="6FAC3B48"/>
    <w:rsid w:val="6FAD463B"/>
    <w:rsid w:val="6FB7ACDA"/>
    <w:rsid w:val="6FBE332C"/>
    <w:rsid w:val="6FFF67CC"/>
    <w:rsid w:val="70CE0BC9"/>
    <w:rsid w:val="71554367"/>
    <w:rsid w:val="71584067"/>
    <w:rsid w:val="71A963F8"/>
    <w:rsid w:val="71F26E91"/>
    <w:rsid w:val="72FB9D37"/>
    <w:rsid w:val="735201FF"/>
    <w:rsid w:val="737B50A4"/>
    <w:rsid w:val="73F40E72"/>
    <w:rsid w:val="74566F5C"/>
    <w:rsid w:val="750117A8"/>
    <w:rsid w:val="755B2270"/>
    <w:rsid w:val="75E27514"/>
    <w:rsid w:val="76920D75"/>
    <w:rsid w:val="76C47877"/>
    <w:rsid w:val="77423DFF"/>
    <w:rsid w:val="77EE6ED4"/>
    <w:rsid w:val="77FD832A"/>
    <w:rsid w:val="783B5EA9"/>
    <w:rsid w:val="78B114A6"/>
    <w:rsid w:val="79EB699D"/>
    <w:rsid w:val="79FFEA3A"/>
    <w:rsid w:val="7A3E5854"/>
    <w:rsid w:val="7ABA298D"/>
    <w:rsid w:val="7AF2032C"/>
    <w:rsid w:val="7B0620DE"/>
    <w:rsid w:val="7B7D7C18"/>
    <w:rsid w:val="7BBF44BB"/>
    <w:rsid w:val="7BF15CE4"/>
    <w:rsid w:val="7C3A27E5"/>
    <w:rsid w:val="7D9727DD"/>
    <w:rsid w:val="7DDF8A36"/>
    <w:rsid w:val="7DF544EA"/>
    <w:rsid w:val="7DFE74A2"/>
    <w:rsid w:val="7E8BAD0B"/>
    <w:rsid w:val="7ED7DBED"/>
    <w:rsid w:val="7EFB4F6E"/>
    <w:rsid w:val="7F164138"/>
    <w:rsid w:val="7F1A5E95"/>
    <w:rsid w:val="7F7F01D1"/>
    <w:rsid w:val="7FA75B91"/>
    <w:rsid w:val="7FCFF1E1"/>
    <w:rsid w:val="7FEE0005"/>
    <w:rsid w:val="7FEF1B2C"/>
    <w:rsid w:val="7FFB0877"/>
    <w:rsid w:val="7FFE58E1"/>
    <w:rsid w:val="7FFE88A1"/>
    <w:rsid w:val="87EFD207"/>
    <w:rsid w:val="8B7D3439"/>
    <w:rsid w:val="8EFAA180"/>
    <w:rsid w:val="9CEEDFB6"/>
    <w:rsid w:val="A4FC5874"/>
    <w:rsid w:val="A99BC227"/>
    <w:rsid w:val="ADFDDBA5"/>
    <w:rsid w:val="AFDF5C35"/>
    <w:rsid w:val="AFEFD62F"/>
    <w:rsid w:val="B7FBACA6"/>
    <w:rsid w:val="BBDFF490"/>
    <w:rsid w:val="BF59071B"/>
    <w:rsid w:val="BF7D9491"/>
    <w:rsid w:val="BFF77D2B"/>
    <w:rsid w:val="CDFF7760"/>
    <w:rsid w:val="D6D5AD7C"/>
    <w:rsid w:val="D9F4ADA5"/>
    <w:rsid w:val="DBDE3CFA"/>
    <w:rsid w:val="DFF97BBC"/>
    <w:rsid w:val="DFFEDE01"/>
    <w:rsid w:val="DFFF05F4"/>
    <w:rsid w:val="E6F7C8DE"/>
    <w:rsid w:val="ED6D9162"/>
    <w:rsid w:val="EF7B1925"/>
    <w:rsid w:val="EFF91F3A"/>
    <w:rsid w:val="F1347A70"/>
    <w:rsid w:val="F777D417"/>
    <w:rsid w:val="F7D57869"/>
    <w:rsid w:val="F7D84BF2"/>
    <w:rsid w:val="F91F5623"/>
    <w:rsid w:val="FB6F87D3"/>
    <w:rsid w:val="FBBD03F1"/>
    <w:rsid w:val="FCBB360D"/>
    <w:rsid w:val="FDE1C420"/>
    <w:rsid w:val="FDEDDBBE"/>
    <w:rsid w:val="FDF7EAA8"/>
    <w:rsid w:val="FDFF9C76"/>
    <w:rsid w:val="FEAFF452"/>
    <w:rsid w:val="FED7AE9E"/>
    <w:rsid w:val="FEE34724"/>
    <w:rsid w:val="FF1EFC35"/>
    <w:rsid w:val="FF477DD4"/>
    <w:rsid w:val="FF5F7F20"/>
    <w:rsid w:val="FF7B9B69"/>
    <w:rsid w:val="FFAFFB84"/>
    <w:rsid w:val="FFBF9032"/>
    <w:rsid w:val="FFC8EF32"/>
    <w:rsid w:val="FFD76697"/>
    <w:rsid w:val="FFDF81E1"/>
    <w:rsid w:val="FFE13652"/>
    <w:rsid w:val="FFECE770"/>
    <w:rsid w:val="FFFDFD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qFormat/>
    <w:uiPriority w:val="0"/>
    <w:pPr>
      <w:keepNext/>
      <w:keepLines/>
      <w:spacing w:line="360" w:lineRule="auto"/>
      <w:outlineLvl w:val="1"/>
    </w:pPr>
    <w:rPr>
      <w:b/>
      <w:bCs/>
      <w:sz w:val="24"/>
      <w:szCs w:val="32"/>
    </w:rPr>
  </w:style>
  <w:style w:type="paragraph" w:styleId="4">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Body Text Indent"/>
    <w:basedOn w:val="1"/>
    <w:autoRedefine/>
    <w:qFormat/>
    <w:uiPriority w:val="99"/>
    <w:pPr>
      <w:spacing w:line="400" w:lineRule="exact"/>
      <w:ind w:left="630"/>
    </w:pPr>
    <w:rPr>
      <w:rFonts w:ascii="楷体_GB2312"/>
      <w:sz w:val="30"/>
      <w:szCs w:val="30"/>
    </w:rPr>
  </w:style>
  <w:style w:type="paragraph" w:styleId="8">
    <w:name w:val="Date"/>
    <w:basedOn w:val="1"/>
    <w:next w:val="1"/>
    <w:qFormat/>
    <w:uiPriority w:val="0"/>
    <w:rPr>
      <w:color w:val="000000"/>
      <w:kern w:val="0"/>
      <w:sz w:val="30"/>
    </w:rPr>
  </w:style>
  <w:style w:type="paragraph" w:styleId="9">
    <w:name w:val="footer"/>
    <w:basedOn w:val="1"/>
    <w:autoRedefine/>
    <w:qFormat/>
    <w:uiPriority w:val="0"/>
    <w:pPr>
      <w:tabs>
        <w:tab w:val="center" w:pos="4153"/>
        <w:tab w:val="right" w:pos="8306"/>
      </w:tabs>
      <w:snapToGrid w:val="0"/>
      <w:jc w:val="left"/>
    </w:pPr>
    <w:rPr>
      <w:kern w:val="0"/>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2">
    <w:name w:val="Body Text First Indent 2"/>
    <w:basedOn w:val="7"/>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大标题"/>
    <w:basedOn w:val="1"/>
    <w:next w:val="12"/>
    <w:autoRedefine/>
    <w:qFormat/>
    <w:uiPriority w:val="0"/>
    <w:pPr>
      <w:jc w:val="center"/>
    </w:pPr>
    <w:rPr>
      <w:rFonts w:ascii="Arial" w:hAnsi="Arial" w:eastAsia="宋体"/>
      <w:b/>
      <w:sz w:val="28"/>
      <w:szCs w:val="24"/>
    </w:rPr>
  </w:style>
  <w:style w:type="paragraph" w:customStyle="1" w:styleId="17">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8">
    <w:name w:val="列出段落1"/>
    <w:basedOn w:val="1"/>
    <w:autoRedefine/>
    <w:qFormat/>
    <w:uiPriority w:val="99"/>
    <w:pPr>
      <w:ind w:firstLine="420" w:firstLineChars="200"/>
    </w:pPr>
  </w:style>
  <w:style w:type="paragraph" w:customStyle="1" w:styleId="19">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0">
    <w:name w:val="List Paragraph"/>
    <w:basedOn w:val="1"/>
    <w:autoRedefine/>
    <w:qFormat/>
    <w:uiPriority w:val="34"/>
    <w:pPr>
      <w:ind w:firstLine="420" w:firstLineChars="200"/>
    </w:pPr>
    <w:rPr>
      <w:rFonts w:ascii="Calibri" w:hAnsi="Calibri"/>
      <w:szCs w:val="22"/>
    </w:rPr>
  </w:style>
  <w:style w:type="character" w:customStyle="1" w:styleId="21">
    <w:name w:val="NormalCharacter"/>
    <w:autoRedefine/>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2828</Words>
  <Characters>3174</Characters>
  <Lines>0</Lines>
  <Paragraphs>0</Paragraphs>
  <TotalTime>3</TotalTime>
  <ScaleCrop>false</ScaleCrop>
  <LinksUpToDate>false</LinksUpToDate>
  <CharactersWithSpaces>3216</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2023-07-23T01:45:00Z</dcterms:created>
  <dc:creator>是小豹子</dc:creator>
  <cp:lastModifiedBy>沁sqr</cp:lastModifiedBy>
  <dcterms:modified xsi:type="dcterms:W3CDTF">2026-06-25T16:10:45Z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76FB0FAE7D39B64E20C5306ACAD8361B_43</vt:lpwstr>
  </property>
  <property fmtid="{D5CDD505-2E9C-101B-9397-08002B2CF9AE}" pid="4" name="KSOTemplateDocerSaveRecord">
    <vt:lpwstr>eyJoZGlkIjoiOWU3YmMxNGQ0NDE0NTRiYjQ3MWFkZjk1MWM2MTc2NWEiLCJ1c2VySWQiOiI0NDIzNjcyODQifQ==</vt:lpwstr>
  </property>
</Properties>
</file>