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6"/>
        <w:snapToGrid w:val="0"/>
        <w:jc w:val="center"/>
        <w:rPr>
          <w:rFonts w:hint="eastAsia" w:ascii="Arial" w:hAnsi="Arial" w:eastAsia="方正小标宋简体" w:cs="Arial"/>
          <w:color w:val="auto"/>
          <w:sz w:val="72"/>
          <w:szCs w:val="72"/>
          <w:lang w:eastAsia="zh-CN"/>
        </w:rPr>
      </w:pPr>
      <w:bookmarkStart w:id="0" w:name="_Toc16523570"/>
    </w:p>
    <w:p w14:paraId="624C34B6">
      <w:pPr>
        <w:pStyle w:val="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6"/>
        <w:snapToGrid w:val="0"/>
        <w:jc w:val="center"/>
        <w:rPr>
          <w:rFonts w:hint="eastAsia" w:ascii="Arial" w:hAnsi="Arial" w:eastAsia="方正小标宋简体" w:cs="Arial"/>
          <w:sz w:val="72"/>
          <w:szCs w:val="72"/>
        </w:rPr>
      </w:pPr>
    </w:p>
    <w:p w14:paraId="16E58BC0">
      <w:pPr>
        <w:pStyle w:val="6"/>
        <w:snapToGrid w:val="0"/>
        <w:jc w:val="center"/>
        <w:rPr>
          <w:rFonts w:hint="eastAsia" w:ascii="Arial" w:hAnsi="Arial" w:eastAsia="方正小标宋简体" w:cs="Arial"/>
          <w:sz w:val="72"/>
          <w:szCs w:val="72"/>
        </w:rPr>
      </w:pPr>
    </w:p>
    <w:p w14:paraId="7D3C3256">
      <w:pPr>
        <w:pStyle w:val="6"/>
        <w:snapToGrid w:val="0"/>
        <w:jc w:val="center"/>
        <w:rPr>
          <w:rFonts w:hint="eastAsia" w:ascii="Arial" w:hAnsi="Arial" w:eastAsia="方正小标宋简体" w:cs="Arial"/>
          <w:sz w:val="72"/>
          <w:szCs w:val="72"/>
        </w:rPr>
      </w:pPr>
    </w:p>
    <w:p w14:paraId="11608FC0">
      <w:pPr>
        <w:pStyle w:val="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6"/>
        <w:snapToGrid w:val="0"/>
        <w:jc w:val="center"/>
        <w:rPr>
          <w:rFonts w:ascii="Arial" w:hAnsi="Arial" w:cs="Arial"/>
          <w:sz w:val="32"/>
          <w:szCs w:val="32"/>
        </w:rPr>
      </w:pPr>
    </w:p>
    <w:p w14:paraId="46311545">
      <w:pPr>
        <w:pStyle w:val="16"/>
        <w:rPr>
          <w:rFonts w:ascii="Arial" w:hAnsi="Arial" w:cs="Arial"/>
          <w:sz w:val="32"/>
          <w:szCs w:val="32"/>
        </w:rPr>
      </w:pPr>
    </w:p>
    <w:p w14:paraId="5F00027D">
      <w:pPr>
        <w:pStyle w:val="12"/>
        <w:rPr>
          <w:rFonts w:ascii="Arial" w:hAnsi="Arial" w:cs="Arial"/>
          <w:sz w:val="32"/>
          <w:szCs w:val="32"/>
        </w:rPr>
      </w:pPr>
    </w:p>
    <w:p w14:paraId="790E99FE">
      <w:pPr>
        <w:pStyle w:val="12"/>
        <w:rPr>
          <w:rFonts w:ascii="Arial" w:hAnsi="Arial" w:cs="Arial"/>
          <w:sz w:val="32"/>
          <w:szCs w:val="32"/>
        </w:rPr>
      </w:pPr>
    </w:p>
    <w:p w14:paraId="6D6CF557">
      <w:pPr>
        <w:pStyle w:val="12"/>
        <w:rPr>
          <w:rFonts w:ascii="Arial" w:hAnsi="Arial" w:cs="Arial"/>
          <w:sz w:val="32"/>
          <w:szCs w:val="32"/>
        </w:rPr>
      </w:pPr>
    </w:p>
    <w:p w14:paraId="77BABE1C">
      <w:pPr>
        <w:pStyle w:val="12"/>
        <w:rPr>
          <w:rFonts w:ascii="Arial" w:hAnsi="Arial" w:cs="Arial"/>
          <w:sz w:val="32"/>
          <w:szCs w:val="32"/>
        </w:rPr>
      </w:pPr>
    </w:p>
    <w:p w14:paraId="1C0FB295">
      <w:pPr>
        <w:pStyle w:val="12"/>
        <w:rPr>
          <w:rFonts w:ascii="Arial" w:hAnsi="Arial" w:cs="Arial"/>
          <w:sz w:val="32"/>
          <w:szCs w:val="32"/>
        </w:rPr>
      </w:pPr>
    </w:p>
    <w:p w14:paraId="4C96CB97">
      <w:pPr>
        <w:pStyle w:val="12"/>
        <w:rPr>
          <w:rFonts w:ascii="Arial" w:hAnsi="Arial" w:cs="Arial"/>
          <w:sz w:val="32"/>
          <w:szCs w:val="32"/>
        </w:rPr>
      </w:pPr>
    </w:p>
    <w:p w14:paraId="1825AAC5">
      <w:pPr>
        <w:pStyle w:val="12"/>
        <w:rPr>
          <w:rFonts w:ascii="Arial" w:hAnsi="Arial" w:cs="Arial"/>
          <w:sz w:val="32"/>
          <w:szCs w:val="32"/>
        </w:rPr>
      </w:pPr>
    </w:p>
    <w:p w14:paraId="1B92FFA5">
      <w:pPr>
        <w:pStyle w:val="6"/>
        <w:snapToGrid w:val="0"/>
        <w:jc w:val="center"/>
        <w:rPr>
          <w:rFonts w:ascii="Arial" w:hAnsi="Arial" w:cs="Arial"/>
          <w:sz w:val="32"/>
          <w:szCs w:val="32"/>
        </w:rPr>
      </w:pPr>
    </w:p>
    <w:p w14:paraId="3EB4A47A">
      <w:pPr>
        <w:pStyle w:val="6"/>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w:t>
      </w:r>
      <w:r>
        <w:rPr>
          <w:rFonts w:hint="eastAsia" w:ascii="Times New Roman" w:hAnsi="Times New Roman" w:eastAsia="宋体" w:cs="Times New Roman"/>
          <w:b/>
          <w:bCs/>
          <w:kern w:val="44"/>
          <w:sz w:val="32"/>
          <w:szCs w:val="32"/>
          <w:lang w:val="en-US" w:eastAsia="zh-CN" w:bidi="ar-SA"/>
        </w:rPr>
        <w:t>过氧化氢低温等离子体灭菌器（双门）</w:t>
      </w:r>
      <w:r>
        <w:rPr>
          <w:rFonts w:hint="eastAsia" w:cs="Times New Roman"/>
          <w:b/>
          <w:bCs/>
          <w:kern w:val="44"/>
          <w:sz w:val="32"/>
          <w:szCs w:val="32"/>
          <w:lang w:val="en-US" w:eastAsia="zh-CN" w:bidi="ar-SA"/>
        </w:rPr>
        <w:t>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六</w:t>
      </w:r>
      <w:r>
        <w:rPr>
          <w:rFonts w:hint="eastAsia" w:ascii="宋体" w:hAnsi="宋体" w:cs="宋体"/>
          <w:bCs/>
          <w:sz w:val="32"/>
          <w:szCs w:val="32"/>
        </w:rPr>
        <w:t>年</w:t>
      </w:r>
      <w:r>
        <w:rPr>
          <w:rFonts w:hint="eastAsia" w:ascii="宋体" w:hAnsi="宋体" w:cs="宋体"/>
          <w:bCs/>
          <w:sz w:val="32"/>
          <w:szCs w:val="32"/>
          <w:lang w:eastAsia="zh-CN"/>
        </w:rPr>
        <w:t>六</w:t>
      </w:r>
      <w:r>
        <w:rPr>
          <w:rFonts w:hint="eastAsia" w:ascii="宋体" w:hAnsi="宋体" w:cs="宋体"/>
          <w:bCs/>
          <w:sz w:val="32"/>
          <w:szCs w:val="32"/>
        </w:rPr>
        <w:t>月</w:t>
      </w:r>
    </w:p>
    <w:p w14:paraId="4F5472A4">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过氧化氢低温等离子体灭菌器（双门）</w:t>
      </w:r>
      <w:r>
        <w:rPr>
          <w:rFonts w:hint="eastAsia" w:asciiTheme="minorEastAsia" w:hAnsiTheme="minorEastAsia" w:eastAsiaTheme="minorEastAsia" w:cstheme="minorEastAsia"/>
          <w:bCs/>
          <w:color w:val="auto"/>
          <w:sz w:val="24"/>
          <w:szCs w:val="24"/>
          <w:u w:val="none"/>
          <w:lang w:val="en-US" w:eastAsia="zh-CN"/>
        </w:rPr>
        <w:t>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435321EC">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过氧化氢低温等离子体灭菌器（双门）</w:t>
      </w:r>
      <w:r>
        <w:rPr>
          <w:rFonts w:hint="eastAsia" w:asciiTheme="minorEastAsia" w:hAnsiTheme="minorEastAsia" w:eastAsiaTheme="minorEastAsia" w:cstheme="minorEastAsia"/>
          <w:b w:val="0"/>
          <w:bCs/>
          <w:color w:val="auto"/>
          <w:sz w:val="24"/>
          <w:szCs w:val="24"/>
          <w:lang w:val="en-US" w:eastAsia="zh-CN"/>
        </w:rPr>
        <w:t>项目</w:t>
      </w:r>
    </w:p>
    <w:p w14:paraId="0AC8FEC7">
      <w:pPr>
        <w:pStyle w:val="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bookmarkEnd w:id="0"/>
    <w:p w14:paraId="76DBA799">
      <w:pPr>
        <w:pStyle w:val="6"/>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03E8934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7A6E9FC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1、投标截止时间、开标时间：见医院官网公开挂网表</w:t>
      </w:r>
    </w:p>
    <w:p w14:paraId="0808AD5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bookmarkStart w:id="5" w:name="_GoBack"/>
      <w:bookmarkEnd w:id="5"/>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AB872F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6"/>
        <w:rPr>
          <w:rFonts w:hint="eastAsia"/>
          <w:lang w:val="en-US" w:eastAsia="zh-CN"/>
        </w:rPr>
      </w:pPr>
    </w:p>
    <w:p w14:paraId="687E9235">
      <w:pPr>
        <w:pStyle w:val="16"/>
        <w:jc w:val="both"/>
        <w:rPr>
          <w:rFonts w:hint="default"/>
          <w:lang w:val="en-US" w:eastAsia="zh-CN"/>
        </w:rPr>
      </w:pPr>
    </w:p>
    <w:p w14:paraId="7AECD5DA">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6"/>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968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86"/>
      </w:tblGrid>
      <w:tr w14:paraId="20CC54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7B7E320">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是否允许进口产品</w:t>
            </w:r>
          </w:p>
        </w:tc>
      </w:tr>
      <w:tr w14:paraId="4C6A9A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过氧化氢低温等离子体灭菌器（双门）</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22</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425A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否</w:t>
            </w:r>
          </w:p>
        </w:tc>
      </w:tr>
    </w:tbl>
    <w:p w14:paraId="39DE11E6">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336CF4A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w:t>
      </w:r>
    </w:p>
    <w:p w14:paraId="42A5EAA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ind w:left="0" w:leftChars="0" w:right="0" w:rightChars="0" w:firstLine="562" w:firstLineChars="200"/>
        <w:jc w:val="both"/>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宋体" w:hAnsi="宋体" w:cs="宋体"/>
          <w:b/>
          <w:bCs/>
          <w:i w:val="0"/>
          <w:iCs w:val="0"/>
          <w:color w:val="36363D"/>
          <w:kern w:val="0"/>
          <w:sz w:val="28"/>
          <w:szCs w:val="28"/>
          <w:highlight w:val="none"/>
          <w:u w:val="none"/>
          <w:lang w:val="en-US" w:eastAsia="zh-CN" w:bidi="ar"/>
        </w:rPr>
        <w:t>（一）技术参数</w:t>
      </w:r>
    </w:p>
    <w:p w14:paraId="49522E72">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eastAsia="zh-CN" w:bidi="ar"/>
        </w:rPr>
        <w:t>★</w:t>
      </w:r>
      <w:r>
        <w:rPr>
          <w:rFonts w:hint="eastAsia" w:asciiTheme="minorEastAsia" w:hAnsiTheme="minorEastAsia" w:eastAsiaTheme="minorEastAsia" w:cstheme="minorEastAsia"/>
          <w:i w:val="0"/>
          <w:iCs w:val="0"/>
          <w:color w:val="auto"/>
          <w:kern w:val="0"/>
          <w:sz w:val="22"/>
          <w:szCs w:val="22"/>
          <w:highlight w:val="none"/>
          <w:lang w:val="en-US" w:eastAsia="zh-CN" w:bidi="ar"/>
        </w:rPr>
        <w:t>总容积：≥220L。</w:t>
      </w:r>
    </w:p>
    <w:p w14:paraId="1DC4A5C5">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腔体材质：采用航空铝材，厚度≥8mm，保证过氧化氢保持100%气态。</w:t>
      </w:r>
    </w:p>
    <w:p w14:paraId="5720D2B9">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电极网材质：铝合金材料,钣金成型。</w:t>
      </w:r>
    </w:p>
    <w:p w14:paraId="28624B82">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cstheme="minorEastAsia"/>
          <w:i w:val="0"/>
          <w:iCs w:val="0"/>
          <w:color w:val="auto"/>
          <w:kern w:val="0"/>
          <w:sz w:val="22"/>
          <w:szCs w:val="22"/>
          <w:highlight w:val="none"/>
          <w:lang w:val="en-US" w:eastAsia="zh-CN" w:bidi="ar"/>
        </w:rPr>
        <w:t>门数量：</w:t>
      </w:r>
      <w:r>
        <w:rPr>
          <w:rFonts w:hint="eastAsia" w:asciiTheme="minorEastAsia" w:hAnsiTheme="minorEastAsia" w:eastAsiaTheme="minorEastAsia" w:cstheme="minorEastAsia"/>
          <w:i w:val="0"/>
          <w:iCs w:val="0"/>
          <w:color w:val="auto"/>
          <w:kern w:val="0"/>
          <w:sz w:val="22"/>
          <w:szCs w:val="22"/>
          <w:highlight w:val="none"/>
          <w:lang w:val="en-US" w:eastAsia="zh-CN" w:bidi="ar"/>
        </w:rPr>
        <w:t>门数量</w:t>
      </w:r>
      <w:r>
        <w:rPr>
          <w:rFonts w:hint="eastAsia" w:asciiTheme="minorEastAsia" w:hAnsiTheme="minorEastAsia" w:cstheme="minorEastAsia"/>
          <w:i w:val="0"/>
          <w:iCs w:val="0"/>
          <w:color w:val="auto"/>
          <w:kern w:val="0"/>
          <w:sz w:val="22"/>
          <w:szCs w:val="22"/>
          <w:highlight w:val="none"/>
          <w:lang w:val="en-US" w:eastAsia="zh-CN" w:bidi="ar"/>
        </w:rPr>
        <w:t>要求</w:t>
      </w:r>
      <w:r>
        <w:rPr>
          <w:rFonts w:hint="eastAsia" w:asciiTheme="minorEastAsia" w:hAnsiTheme="minorEastAsia" w:eastAsiaTheme="minorEastAsia" w:cstheme="minorEastAsia"/>
          <w:i w:val="0"/>
          <w:iCs w:val="0"/>
          <w:color w:val="auto"/>
          <w:kern w:val="0"/>
          <w:sz w:val="22"/>
          <w:szCs w:val="22"/>
          <w:highlight w:val="none"/>
          <w:lang w:val="en-US" w:eastAsia="zh-CN" w:bidi="ar"/>
        </w:rPr>
        <w:t>≥</w:t>
      </w:r>
      <w:r>
        <w:rPr>
          <w:rFonts w:hint="eastAsia" w:asciiTheme="minorEastAsia" w:hAnsiTheme="minorEastAsia" w:cstheme="minorEastAsia"/>
          <w:i w:val="0"/>
          <w:iCs w:val="0"/>
          <w:color w:val="auto"/>
          <w:kern w:val="0"/>
          <w:sz w:val="22"/>
          <w:szCs w:val="22"/>
          <w:highlight w:val="none"/>
          <w:lang w:val="en-US" w:eastAsia="zh-CN" w:bidi="ar"/>
        </w:rPr>
        <w:t>2</w:t>
      </w:r>
      <w:r>
        <w:rPr>
          <w:rFonts w:hint="eastAsia" w:asciiTheme="minorEastAsia" w:hAnsiTheme="minorEastAsia" w:eastAsiaTheme="minorEastAsia" w:cstheme="minorEastAsia"/>
          <w:i w:val="0"/>
          <w:iCs w:val="0"/>
          <w:color w:val="auto"/>
          <w:kern w:val="0"/>
          <w:sz w:val="22"/>
          <w:szCs w:val="22"/>
          <w:highlight w:val="none"/>
          <w:lang w:val="en-US" w:eastAsia="zh-CN" w:bidi="ar"/>
        </w:rPr>
        <w:t> ，可选择双扉结构，前后门互锁，带隔离墙，可有效实现无菌区隔离，避免灭菌后物品再次污染。</w:t>
      </w:r>
    </w:p>
    <w:p w14:paraId="13C05977">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default" w:asciiTheme="minorEastAsia" w:hAnsiTheme="minorEastAsia" w:eastAsiaTheme="minorEastAsia" w:cstheme="minorEastAsia"/>
          <w:i w:val="0"/>
          <w:iCs w:val="0"/>
          <w:color w:val="auto"/>
          <w:kern w:val="0"/>
          <w:sz w:val="22"/>
          <w:szCs w:val="22"/>
          <w:highlight w:val="none"/>
          <w:lang w:val="en-US" w:eastAsia="zh-CN" w:bidi="ar"/>
        </w:rPr>
        <w:t>▲</w:t>
      </w:r>
      <w:r>
        <w:rPr>
          <w:rFonts w:hint="eastAsia" w:asciiTheme="minorEastAsia" w:hAnsiTheme="minorEastAsia" w:eastAsiaTheme="minorEastAsia" w:cstheme="minorEastAsia"/>
          <w:i w:val="0"/>
          <w:iCs w:val="0"/>
          <w:color w:val="auto"/>
          <w:kern w:val="0"/>
          <w:sz w:val="22"/>
          <w:szCs w:val="22"/>
          <w:highlight w:val="none"/>
          <w:lang w:val="en-US" w:eastAsia="zh-CN" w:bidi="ar"/>
        </w:rPr>
        <w:t>门材质：采用铝材，厚度≥10mm，门上无可视视窗，保护人员安全，提供门实物照片佐证。</w:t>
      </w:r>
    </w:p>
    <w:p w14:paraId="1A375468">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门开启方式：采用电推杆驱动式电动升降门，配置脚踏开关</w:t>
      </w:r>
      <w:r>
        <w:rPr>
          <w:rFonts w:hint="default" w:asciiTheme="minorEastAsia" w:hAnsiTheme="minorEastAsia" w:eastAsiaTheme="minorEastAsia" w:cstheme="minorEastAsia"/>
          <w:i w:val="0"/>
          <w:iCs w:val="0"/>
          <w:color w:val="auto"/>
          <w:kern w:val="0"/>
          <w:sz w:val="22"/>
          <w:szCs w:val="22"/>
          <w:highlight w:val="none"/>
          <w:lang w:val="en-US" w:eastAsia="zh-CN" w:bidi="ar"/>
        </w:rPr>
        <w:t>，</w:t>
      </w:r>
      <w:r>
        <w:rPr>
          <w:rFonts w:hint="eastAsia" w:asciiTheme="minorEastAsia" w:hAnsiTheme="minorEastAsia" w:eastAsiaTheme="minorEastAsia" w:cstheme="minorEastAsia"/>
          <w:i w:val="0"/>
          <w:iCs w:val="0"/>
          <w:color w:val="auto"/>
          <w:kern w:val="0"/>
          <w:sz w:val="22"/>
          <w:szCs w:val="22"/>
          <w:highlight w:val="none"/>
          <w:lang w:val="en-US" w:eastAsia="zh-CN" w:bidi="ar"/>
        </w:rPr>
        <w:t>提供电推杆及脚踢开关实物照片予以证明</w:t>
      </w:r>
      <w:r>
        <w:rPr>
          <w:rFonts w:hint="default" w:asciiTheme="minorEastAsia" w:hAnsiTheme="minorEastAsia" w:eastAsiaTheme="minorEastAsia" w:cstheme="minorEastAsia"/>
          <w:i w:val="0"/>
          <w:iCs w:val="0"/>
          <w:color w:val="auto"/>
          <w:kern w:val="0"/>
          <w:sz w:val="22"/>
          <w:szCs w:val="22"/>
          <w:highlight w:val="none"/>
          <w:lang w:val="en-US" w:eastAsia="zh-CN" w:bidi="ar"/>
        </w:rPr>
        <w:t>。</w:t>
      </w:r>
    </w:p>
    <w:p w14:paraId="19C3122E">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门障碍开关：具有门障碍开关功能，当碰触障碍开关时，门自动下降，防止夹伤操作者和夹坏物品。</w:t>
      </w:r>
    </w:p>
    <w:p w14:paraId="705669DF">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抽空控制阀：采用电磁阀控制抽空管路。</w:t>
      </w:r>
    </w:p>
    <w:p w14:paraId="66AA6B8E">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理化试验：灭菌后对金属器械基本无腐蚀，需提供第三方检测机构出具的检验报告证明。</w:t>
      </w:r>
    </w:p>
    <w:p w14:paraId="11FE0BA8">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default" w:asciiTheme="minorEastAsia" w:hAnsiTheme="minorEastAsia" w:eastAsiaTheme="minorEastAsia" w:cstheme="minorEastAsia"/>
          <w:i w:val="0"/>
          <w:iCs w:val="0"/>
          <w:color w:val="auto"/>
          <w:kern w:val="0"/>
          <w:sz w:val="22"/>
          <w:szCs w:val="22"/>
          <w:highlight w:val="none"/>
          <w:lang w:val="en-US" w:eastAsia="zh-CN" w:bidi="ar"/>
        </w:rPr>
        <w:t>★</w:t>
      </w:r>
      <w:r>
        <w:rPr>
          <w:rFonts w:hint="eastAsia" w:asciiTheme="minorEastAsia" w:hAnsiTheme="minorEastAsia" w:eastAsiaTheme="minorEastAsia" w:cstheme="minorEastAsia"/>
          <w:i w:val="0"/>
          <w:iCs w:val="0"/>
          <w:color w:val="auto"/>
          <w:kern w:val="0"/>
          <w:sz w:val="22"/>
          <w:szCs w:val="22"/>
          <w:highlight w:val="none"/>
          <w:lang w:val="en-US" w:eastAsia="zh-CN" w:bidi="ar"/>
        </w:rPr>
        <w:t>过氧化氢加注方式采用定量卡匣式加注。</w:t>
      </w:r>
    </w:p>
    <w:p w14:paraId="3C90CC10">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default" w:asciiTheme="minorEastAsia" w:hAnsiTheme="minorEastAsia" w:eastAsiaTheme="minorEastAsia" w:cstheme="minorEastAsia"/>
          <w:i w:val="0"/>
          <w:iCs w:val="0"/>
          <w:color w:val="auto"/>
          <w:kern w:val="0"/>
          <w:sz w:val="22"/>
          <w:szCs w:val="22"/>
          <w:highlight w:val="none"/>
          <w:lang w:val="en-US" w:eastAsia="zh-CN" w:bidi="ar"/>
        </w:rPr>
        <w:t>▲</w:t>
      </w:r>
      <w:r>
        <w:rPr>
          <w:rFonts w:hint="eastAsia" w:asciiTheme="minorEastAsia" w:hAnsiTheme="minorEastAsia" w:eastAsiaTheme="minorEastAsia" w:cstheme="minorEastAsia"/>
          <w:i w:val="0"/>
          <w:iCs w:val="0"/>
          <w:color w:val="auto"/>
          <w:kern w:val="0"/>
          <w:sz w:val="22"/>
          <w:szCs w:val="22"/>
          <w:highlight w:val="none"/>
          <w:lang w:val="en-US" w:eastAsia="zh-CN" w:bidi="ar"/>
        </w:rPr>
        <w:t>每个过氧化氢胶囊板含有≥10个胶囊，灭菌剂单个胶囊罐装量：≥4ml，过氧化氢浓度为55%-60%，提供证明材料。</w:t>
      </w:r>
    </w:p>
    <w:p w14:paraId="7B44F451">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胶囊计数记忆功能：卡匣安装后，自动计算胶囊使用个数，并提示剩余胶囊个数和可运行常规器械灭菌循环的次数。</w:t>
      </w:r>
    </w:p>
    <w:p w14:paraId="60D0FBA0">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default"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过氧化氢提纯功能：具有过氧化氢提纯功能，过氧化氢提纯后浓度≥95%，需提供第三方检测机构出具的检测报告。</w:t>
      </w:r>
    </w:p>
    <w:p w14:paraId="033D2403">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default"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压力传感器数量：产品设置压力传感器数量≥3个，其中检测内室压力传感器≥2个，提纯器和灭菌内室压力传感器独立设置。</w:t>
      </w:r>
    </w:p>
    <w:p w14:paraId="4C2350A3">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default"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过氧化氢过滤器：产品具有排气过氧化氢气体过滤系统，周围空气中过氧化氢浓度</w:t>
      </w:r>
      <w:r>
        <w:rPr>
          <w:rFonts w:hint="eastAsia" w:asciiTheme="minorEastAsia" w:hAnsiTheme="minorEastAsia" w:cstheme="minorEastAsia"/>
          <w:i w:val="0"/>
          <w:iCs w:val="0"/>
          <w:color w:val="auto"/>
          <w:kern w:val="0"/>
          <w:sz w:val="22"/>
          <w:szCs w:val="22"/>
          <w:highlight w:val="none"/>
          <w:lang w:val="en-US" w:eastAsia="zh-CN" w:bidi="ar"/>
        </w:rPr>
        <w:t>≤</w:t>
      </w:r>
      <w:r>
        <w:rPr>
          <w:rFonts w:hint="eastAsia" w:asciiTheme="minorEastAsia" w:hAnsiTheme="minorEastAsia" w:eastAsiaTheme="minorEastAsia" w:cstheme="minorEastAsia"/>
          <w:i w:val="0"/>
          <w:iCs w:val="0"/>
          <w:color w:val="auto"/>
          <w:kern w:val="0"/>
          <w:sz w:val="22"/>
          <w:szCs w:val="22"/>
          <w:highlight w:val="none"/>
          <w:lang w:val="en-US" w:eastAsia="zh-CN" w:bidi="ar"/>
        </w:rPr>
        <w:t>0.6mg/m3,需提供第三方检测机构出具的检测报告。</w:t>
      </w:r>
    </w:p>
    <w:p w14:paraId="61EB8FB9">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default"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等离子电源：采用晶体管控制电源，功率≤500W，解析能力强，灭菌后聚四氟乙烯管腔中H2O2残留量≤0.004mg/cm²,不锈钢中残留量≤0.02mg/cm²,需提供第三方检测机构出具的检验报告。</w:t>
      </w:r>
    </w:p>
    <w:p w14:paraId="58279574">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default"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控制系统PLC：采用PLC控制系统，提供实物照片。</w:t>
      </w:r>
    </w:p>
    <w:p w14:paraId="764FD2AC">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default"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屏：≥5.7吋彩色触摸屏，触摸操作运行设备。</w:t>
      </w:r>
    </w:p>
    <w:p w14:paraId="32BEE33F">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default"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打印机：微型热敏打印机，提供打印机实物照片。</w:t>
      </w:r>
    </w:p>
    <w:p w14:paraId="38CB545E">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default"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显示屏显示内容：温度，压力，时间，循环模式，胶囊使用数量和报警信息等，需提供实际界面照片。</w:t>
      </w:r>
    </w:p>
    <w:p w14:paraId="393D0C89">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default"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打印记录内容：能够打印记录程序名称、灭菌日期、灭菌锅次、灭菌起始结束时间、灭菌过程的压力、温度、阶段时间和结束状态等信息，提供打印样品。</w:t>
      </w:r>
    </w:p>
    <w:p w14:paraId="343F4C35">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default"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程序数量：≥3个，至少有常规器械灭菌循环、软镜循环、快速循环程序</w:t>
      </w:r>
      <w:r>
        <w:rPr>
          <w:rFonts w:hint="default" w:asciiTheme="minorEastAsia" w:hAnsiTheme="minorEastAsia" w:eastAsiaTheme="minorEastAsia" w:cstheme="minorEastAsia"/>
          <w:i w:val="0"/>
          <w:iCs w:val="0"/>
          <w:color w:val="auto"/>
          <w:kern w:val="0"/>
          <w:sz w:val="22"/>
          <w:szCs w:val="22"/>
          <w:highlight w:val="none"/>
          <w:lang w:val="en-US" w:eastAsia="zh-CN" w:bidi="ar"/>
        </w:rPr>
        <w:t>，</w:t>
      </w:r>
      <w:r>
        <w:rPr>
          <w:rFonts w:hint="eastAsia" w:asciiTheme="minorEastAsia" w:hAnsiTheme="minorEastAsia" w:eastAsiaTheme="minorEastAsia" w:cstheme="minorEastAsia"/>
          <w:i w:val="0"/>
          <w:iCs w:val="0"/>
          <w:color w:val="auto"/>
          <w:kern w:val="0"/>
          <w:sz w:val="22"/>
          <w:szCs w:val="22"/>
          <w:highlight w:val="none"/>
          <w:lang w:val="en-US" w:eastAsia="zh-CN" w:bidi="ar"/>
        </w:rPr>
        <w:t>提供技术白皮书和屏幕实物界面照片佐证</w:t>
      </w:r>
      <w:r>
        <w:rPr>
          <w:rFonts w:hint="default" w:asciiTheme="minorEastAsia" w:hAnsiTheme="minorEastAsia" w:eastAsiaTheme="minorEastAsia" w:cstheme="minorEastAsia"/>
          <w:i w:val="0"/>
          <w:iCs w:val="0"/>
          <w:color w:val="auto"/>
          <w:kern w:val="0"/>
          <w:sz w:val="22"/>
          <w:szCs w:val="22"/>
          <w:highlight w:val="none"/>
          <w:lang w:val="en-US" w:eastAsia="zh-CN" w:bidi="ar"/>
        </w:rPr>
        <w:t>。</w:t>
      </w:r>
    </w:p>
    <w:p w14:paraId="40029F60">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倒计时显示具有倒计时显示功能，可根据装载情况自动调整剩余时间，能够使操作者更加合理地安排工作时间。</w:t>
      </w:r>
    </w:p>
    <w:p w14:paraId="3DBF933D">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卫生安全：提供细胞毒性监测报告、卫生安全评价报告、灭菌效果检测报告。</w:t>
      </w:r>
    </w:p>
    <w:p w14:paraId="55FAB568">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default" w:asciiTheme="minorEastAsia" w:hAnsiTheme="minorEastAsia" w:eastAsiaTheme="minorEastAsia" w:cstheme="minorEastAsia"/>
          <w:i w:val="0"/>
          <w:iCs w:val="0"/>
          <w:color w:val="auto"/>
          <w:kern w:val="0"/>
          <w:sz w:val="22"/>
          <w:szCs w:val="22"/>
          <w:highlight w:val="none"/>
          <w:lang w:val="en-US" w:eastAsia="zh-CN" w:bidi="ar"/>
        </w:rPr>
        <w:t>▲</w:t>
      </w:r>
      <w:r>
        <w:rPr>
          <w:rFonts w:hint="eastAsia" w:asciiTheme="minorEastAsia" w:hAnsiTheme="minorEastAsia" w:eastAsiaTheme="minorEastAsia" w:cstheme="minorEastAsia"/>
          <w:i w:val="0"/>
          <w:iCs w:val="0"/>
          <w:color w:val="auto"/>
          <w:kern w:val="0"/>
          <w:sz w:val="22"/>
          <w:szCs w:val="22"/>
          <w:highlight w:val="none"/>
          <w:lang w:val="en-US" w:eastAsia="zh-CN" w:bidi="ar"/>
        </w:rPr>
        <w:t>设备外形宽度：因场地限制，设备外形宽度需≤800mm，提供彩页尺寸图或测量实物图照片佐证。</w:t>
      </w:r>
    </w:p>
    <w:p w14:paraId="4D7A7CB2">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default" w:asciiTheme="minorEastAsia" w:hAnsiTheme="minorEastAsia" w:eastAsiaTheme="minorEastAsia" w:cstheme="minorEastAsia"/>
          <w:i w:val="0"/>
          <w:iCs w:val="0"/>
          <w:color w:val="auto"/>
          <w:kern w:val="0"/>
          <w:sz w:val="22"/>
          <w:szCs w:val="22"/>
          <w:highlight w:val="none"/>
          <w:lang w:val="en-US" w:eastAsia="zh-CN" w:bidi="ar"/>
        </w:rPr>
        <w:t>▲</w:t>
      </w:r>
      <w:r>
        <w:rPr>
          <w:rFonts w:hint="eastAsia" w:asciiTheme="minorEastAsia" w:hAnsiTheme="minorEastAsia" w:eastAsiaTheme="minorEastAsia" w:cstheme="minorEastAsia"/>
          <w:i w:val="0"/>
          <w:iCs w:val="0"/>
          <w:color w:val="auto"/>
          <w:kern w:val="0"/>
          <w:sz w:val="22"/>
          <w:szCs w:val="22"/>
          <w:highlight w:val="none"/>
          <w:lang w:val="en-US" w:eastAsia="zh-CN" w:bidi="ar"/>
        </w:rPr>
        <w:t>设备设计使用寿命：≥11年，提供设备实物铭牌照片予以证明。</w:t>
      </w:r>
    </w:p>
    <w:p w14:paraId="009825A7">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灭菌舱体：灭菌舱体深度≥820mm。</w:t>
      </w:r>
    </w:p>
    <w:p w14:paraId="6C0A6398">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追溯系统:如后期医院有消毒追溯系统对接需求时，产生的接口费用由中标方承担。</w:t>
      </w:r>
    </w:p>
    <w:p w14:paraId="5A22AA2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562" w:firstLineChars="200"/>
        <w:jc w:val="both"/>
        <w:textAlignment w:val="auto"/>
        <w:rPr>
          <w:rFonts w:hint="default" w:ascii="宋体" w:hAnsi="宋体" w:cs="宋体"/>
          <w:b/>
          <w:bCs/>
          <w:i w:val="0"/>
          <w:iCs w:val="0"/>
          <w:color w:val="36363D"/>
          <w:kern w:val="0"/>
          <w:sz w:val="28"/>
          <w:szCs w:val="28"/>
          <w:highlight w:val="none"/>
          <w:u w:val="none"/>
          <w:lang w:val="en-US" w:eastAsia="zh-CN" w:bidi="ar"/>
        </w:rPr>
      </w:pPr>
      <w:r>
        <w:rPr>
          <w:rFonts w:hint="eastAsia" w:ascii="宋体" w:hAnsi="宋体" w:cs="宋体"/>
          <w:b/>
          <w:bCs/>
          <w:i w:val="0"/>
          <w:iCs w:val="0"/>
          <w:color w:val="36363D"/>
          <w:kern w:val="0"/>
          <w:sz w:val="28"/>
          <w:szCs w:val="28"/>
          <w:highlight w:val="none"/>
          <w:u w:val="none"/>
          <w:lang w:val="en-US" w:eastAsia="zh-CN" w:bidi="ar"/>
        </w:rPr>
        <w:t>（二）专机配套耗材要求：</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
        <w:gridCol w:w="2967"/>
        <w:gridCol w:w="1413"/>
        <w:gridCol w:w="1608"/>
        <w:gridCol w:w="1608"/>
      </w:tblGrid>
      <w:tr w14:paraId="02614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5" w:hRule="atLeast"/>
        </w:trPr>
        <w:tc>
          <w:tcPr>
            <w:tcW w:w="857" w:type="dxa"/>
            <w:vAlign w:val="center"/>
          </w:tcPr>
          <w:p w14:paraId="1E760821">
            <w:pPr>
              <w:keepNext w:val="0"/>
              <w:keepLines w:val="0"/>
              <w:pageBreakBefore w:val="0"/>
              <w:kinsoku/>
              <w:wordWrap/>
              <w:overflowPunct/>
              <w:topLinePunct w:val="0"/>
              <w:autoSpaceDE/>
              <w:autoSpaceDN/>
              <w:bidi w:val="0"/>
              <w:adjustRightInd/>
              <w:snapToGrid/>
              <w:ind w:firstLine="442" w:firstLineChars="200"/>
              <w:jc w:val="center"/>
              <w:rPr>
                <w:rFonts w:hint="default" w:asciiTheme="minorEastAsia" w:hAnsiTheme="minorEastAsia" w:eastAsiaTheme="minorEastAsia" w:cstheme="minorEastAsia"/>
                <w:b/>
                <w:bCs/>
                <w:i w:val="0"/>
                <w:iCs w:val="0"/>
                <w:color w:val="auto"/>
                <w:kern w:val="0"/>
                <w:sz w:val="22"/>
                <w:szCs w:val="22"/>
                <w:highlight w:val="none"/>
                <w:vertAlign w:val="baseline"/>
                <w:lang w:val="en-US" w:eastAsia="zh-CN" w:bidi="ar"/>
              </w:rPr>
            </w:pPr>
            <w:r>
              <w:rPr>
                <w:rFonts w:hint="eastAsia" w:asciiTheme="minorEastAsia" w:hAnsiTheme="minorEastAsia" w:cstheme="minorEastAsia"/>
                <w:b/>
                <w:bCs/>
                <w:i w:val="0"/>
                <w:iCs w:val="0"/>
                <w:color w:val="auto"/>
                <w:kern w:val="0"/>
                <w:sz w:val="22"/>
                <w:szCs w:val="22"/>
                <w:highlight w:val="none"/>
                <w:vertAlign w:val="baseline"/>
                <w:lang w:val="en-US" w:eastAsia="zh-CN" w:bidi="ar"/>
              </w:rPr>
              <w:t>序号</w:t>
            </w:r>
          </w:p>
        </w:tc>
        <w:tc>
          <w:tcPr>
            <w:tcW w:w="2967" w:type="dxa"/>
            <w:vAlign w:val="center"/>
          </w:tcPr>
          <w:p w14:paraId="18B376A1">
            <w:pPr>
              <w:keepNext w:val="0"/>
              <w:keepLines w:val="0"/>
              <w:pageBreakBefore w:val="0"/>
              <w:kinsoku/>
              <w:wordWrap/>
              <w:overflowPunct/>
              <w:topLinePunct w:val="0"/>
              <w:autoSpaceDE/>
              <w:autoSpaceDN/>
              <w:bidi w:val="0"/>
              <w:adjustRightInd/>
              <w:snapToGrid/>
              <w:ind w:firstLine="442" w:firstLineChars="200"/>
              <w:jc w:val="center"/>
              <w:rPr>
                <w:rFonts w:hint="default" w:asciiTheme="minorEastAsia" w:hAnsiTheme="minorEastAsia" w:eastAsiaTheme="minorEastAsia" w:cstheme="minorEastAsia"/>
                <w:b/>
                <w:bCs/>
                <w:i w:val="0"/>
                <w:iCs w:val="0"/>
                <w:color w:val="auto"/>
                <w:kern w:val="0"/>
                <w:sz w:val="22"/>
                <w:szCs w:val="22"/>
                <w:highlight w:val="none"/>
                <w:vertAlign w:val="baseline"/>
                <w:lang w:val="en-US" w:eastAsia="zh-CN" w:bidi="ar"/>
              </w:rPr>
            </w:pPr>
            <w:r>
              <w:rPr>
                <w:rFonts w:hint="eastAsia" w:asciiTheme="minorEastAsia" w:hAnsiTheme="minorEastAsia" w:cstheme="minorEastAsia"/>
                <w:b/>
                <w:bCs/>
                <w:i w:val="0"/>
                <w:iCs w:val="0"/>
                <w:color w:val="auto"/>
                <w:kern w:val="0"/>
                <w:sz w:val="22"/>
                <w:szCs w:val="22"/>
                <w:highlight w:val="none"/>
                <w:vertAlign w:val="baseline"/>
                <w:lang w:val="en-US" w:eastAsia="zh-CN" w:bidi="ar"/>
              </w:rPr>
              <w:t>耗材名称</w:t>
            </w:r>
          </w:p>
        </w:tc>
        <w:tc>
          <w:tcPr>
            <w:tcW w:w="1413" w:type="dxa"/>
            <w:vAlign w:val="center"/>
          </w:tcPr>
          <w:p w14:paraId="580756EF">
            <w:pPr>
              <w:keepNext w:val="0"/>
              <w:keepLines w:val="0"/>
              <w:pageBreakBefore w:val="0"/>
              <w:kinsoku/>
              <w:wordWrap/>
              <w:overflowPunct/>
              <w:topLinePunct w:val="0"/>
              <w:autoSpaceDE/>
              <w:autoSpaceDN/>
              <w:bidi w:val="0"/>
              <w:adjustRightInd/>
              <w:snapToGrid/>
              <w:ind w:firstLine="442" w:firstLineChars="200"/>
              <w:jc w:val="center"/>
              <w:rPr>
                <w:rFonts w:hint="default" w:asciiTheme="minorEastAsia" w:hAnsiTheme="minorEastAsia" w:eastAsiaTheme="minorEastAsia" w:cstheme="minorEastAsia"/>
                <w:b/>
                <w:bCs/>
                <w:i w:val="0"/>
                <w:iCs w:val="0"/>
                <w:color w:val="auto"/>
                <w:kern w:val="0"/>
                <w:sz w:val="22"/>
                <w:szCs w:val="22"/>
                <w:highlight w:val="none"/>
                <w:vertAlign w:val="baseline"/>
                <w:lang w:val="en-US" w:eastAsia="zh-CN" w:bidi="ar"/>
              </w:rPr>
            </w:pPr>
            <w:r>
              <w:rPr>
                <w:rFonts w:hint="eastAsia" w:asciiTheme="minorEastAsia" w:hAnsiTheme="minorEastAsia" w:cstheme="minorEastAsia"/>
                <w:b/>
                <w:bCs/>
                <w:i w:val="0"/>
                <w:iCs w:val="0"/>
                <w:color w:val="auto"/>
                <w:kern w:val="0"/>
                <w:sz w:val="22"/>
                <w:szCs w:val="22"/>
                <w:highlight w:val="none"/>
                <w:vertAlign w:val="baseline"/>
                <w:lang w:val="en-US" w:eastAsia="zh-CN" w:bidi="ar"/>
              </w:rPr>
              <w:t>单位</w:t>
            </w:r>
          </w:p>
        </w:tc>
        <w:tc>
          <w:tcPr>
            <w:tcW w:w="1608" w:type="dxa"/>
            <w:vAlign w:val="center"/>
          </w:tcPr>
          <w:p w14:paraId="6151F229">
            <w:pPr>
              <w:keepNext w:val="0"/>
              <w:keepLines w:val="0"/>
              <w:pageBreakBefore w:val="0"/>
              <w:kinsoku/>
              <w:wordWrap/>
              <w:overflowPunct/>
              <w:topLinePunct w:val="0"/>
              <w:autoSpaceDE/>
              <w:autoSpaceDN/>
              <w:bidi w:val="0"/>
              <w:adjustRightInd/>
              <w:snapToGrid/>
              <w:ind w:firstLine="442" w:firstLineChars="200"/>
              <w:jc w:val="center"/>
              <w:rPr>
                <w:rFonts w:hint="default" w:asciiTheme="minorEastAsia" w:hAnsiTheme="minorEastAsia" w:eastAsiaTheme="minorEastAsia" w:cstheme="minorEastAsia"/>
                <w:b/>
                <w:bCs/>
                <w:i w:val="0"/>
                <w:iCs w:val="0"/>
                <w:color w:val="auto"/>
                <w:kern w:val="0"/>
                <w:sz w:val="22"/>
                <w:szCs w:val="22"/>
                <w:highlight w:val="none"/>
                <w:vertAlign w:val="baseline"/>
                <w:lang w:val="en-US" w:eastAsia="zh-CN" w:bidi="ar"/>
              </w:rPr>
            </w:pPr>
            <w:r>
              <w:rPr>
                <w:rFonts w:hint="eastAsia" w:asciiTheme="minorEastAsia" w:hAnsiTheme="minorEastAsia" w:cstheme="minorEastAsia"/>
                <w:b/>
                <w:bCs/>
                <w:i w:val="0"/>
                <w:iCs w:val="0"/>
                <w:color w:val="auto"/>
                <w:kern w:val="0"/>
                <w:sz w:val="22"/>
                <w:szCs w:val="22"/>
                <w:highlight w:val="none"/>
                <w:vertAlign w:val="baseline"/>
                <w:lang w:val="en-US" w:eastAsia="zh-CN" w:bidi="ar"/>
              </w:rPr>
              <w:t>最高限价</w:t>
            </w:r>
          </w:p>
        </w:tc>
        <w:tc>
          <w:tcPr>
            <w:tcW w:w="1608" w:type="dxa"/>
            <w:vAlign w:val="center"/>
          </w:tcPr>
          <w:p w14:paraId="4924556C">
            <w:pPr>
              <w:keepNext w:val="0"/>
              <w:keepLines w:val="0"/>
              <w:pageBreakBefore w:val="0"/>
              <w:kinsoku/>
              <w:wordWrap/>
              <w:overflowPunct/>
              <w:topLinePunct w:val="0"/>
              <w:autoSpaceDE/>
              <w:autoSpaceDN/>
              <w:bidi w:val="0"/>
              <w:adjustRightInd/>
              <w:snapToGrid/>
              <w:ind w:firstLine="442" w:firstLineChars="200"/>
              <w:jc w:val="center"/>
              <w:rPr>
                <w:rFonts w:hint="eastAsia" w:asciiTheme="minorEastAsia" w:hAnsiTheme="minorEastAsia" w:cstheme="minorEastAsia"/>
                <w:b/>
                <w:bCs/>
                <w:i w:val="0"/>
                <w:iCs w:val="0"/>
                <w:color w:val="auto"/>
                <w:kern w:val="0"/>
                <w:sz w:val="22"/>
                <w:szCs w:val="22"/>
                <w:highlight w:val="none"/>
                <w:vertAlign w:val="baseline"/>
                <w:lang w:val="en-US" w:eastAsia="zh-CN" w:bidi="ar"/>
              </w:rPr>
            </w:pPr>
            <w:r>
              <w:rPr>
                <w:rFonts w:hint="eastAsia" w:asciiTheme="minorEastAsia" w:hAnsiTheme="minorEastAsia" w:cstheme="minorEastAsia"/>
                <w:b/>
                <w:bCs/>
                <w:i w:val="0"/>
                <w:iCs w:val="0"/>
                <w:color w:val="auto"/>
                <w:kern w:val="0"/>
                <w:sz w:val="22"/>
                <w:szCs w:val="22"/>
                <w:highlight w:val="none"/>
                <w:vertAlign w:val="baseline"/>
                <w:lang w:val="en-US" w:eastAsia="zh-CN" w:bidi="ar"/>
              </w:rPr>
              <w:t>备注</w:t>
            </w:r>
          </w:p>
        </w:tc>
      </w:tr>
      <w:tr w14:paraId="12AB4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7" w:type="dxa"/>
            <w:vAlign w:val="center"/>
          </w:tcPr>
          <w:p w14:paraId="4CEC6EA3">
            <w:pPr>
              <w:keepNext w:val="0"/>
              <w:keepLines w:val="0"/>
              <w:pageBreakBefore w:val="0"/>
              <w:kinsoku/>
              <w:wordWrap/>
              <w:overflowPunct/>
              <w:topLinePunct w:val="0"/>
              <w:autoSpaceDE/>
              <w:autoSpaceDN/>
              <w:bidi w:val="0"/>
              <w:adjustRightInd/>
              <w:snapToGrid/>
              <w:ind w:firstLine="440" w:firstLineChars="200"/>
              <w:jc w:val="center"/>
              <w:rPr>
                <w:rFonts w:hint="default" w:asciiTheme="minorEastAsia" w:hAnsiTheme="minorEastAsia" w:eastAsiaTheme="minorEastAsia" w:cstheme="minorEastAsia"/>
                <w:i w:val="0"/>
                <w:iCs w:val="0"/>
                <w:color w:val="auto"/>
                <w:kern w:val="0"/>
                <w:sz w:val="22"/>
                <w:szCs w:val="22"/>
                <w:highlight w:val="none"/>
                <w:vertAlign w:val="baseline"/>
                <w:lang w:val="en-US" w:eastAsia="zh-CN" w:bidi="ar"/>
              </w:rPr>
            </w:pPr>
            <w:r>
              <w:rPr>
                <w:rFonts w:hint="eastAsia" w:asciiTheme="minorEastAsia" w:hAnsiTheme="minorEastAsia" w:cstheme="minorEastAsia"/>
                <w:i w:val="0"/>
                <w:iCs w:val="0"/>
                <w:color w:val="auto"/>
                <w:kern w:val="0"/>
                <w:sz w:val="22"/>
                <w:szCs w:val="22"/>
                <w:highlight w:val="none"/>
                <w:vertAlign w:val="baseline"/>
                <w:lang w:val="en-US" w:eastAsia="zh-CN" w:bidi="ar"/>
              </w:rPr>
              <w:t>1</w:t>
            </w:r>
          </w:p>
        </w:tc>
        <w:tc>
          <w:tcPr>
            <w:tcW w:w="2967" w:type="dxa"/>
            <w:vAlign w:val="center"/>
          </w:tcPr>
          <w:p w14:paraId="54596E76">
            <w:pPr>
              <w:keepNext w:val="0"/>
              <w:keepLines w:val="0"/>
              <w:pageBreakBefore w:val="0"/>
              <w:kinsoku/>
              <w:wordWrap/>
              <w:overflowPunct/>
              <w:topLinePunct w:val="0"/>
              <w:autoSpaceDE/>
              <w:autoSpaceDN/>
              <w:bidi w:val="0"/>
              <w:adjustRightInd/>
              <w:snapToGrid/>
              <w:ind w:firstLine="440" w:firstLineChars="200"/>
              <w:jc w:val="both"/>
              <w:rPr>
                <w:rFonts w:hint="default" w:asciiTheme="minorEastAsia" w:hAnsiTheme="minorEastAsia" w:eastAsiaTheme="minorEastAsia" w:cstheme="minorEastAsia"/>
                <w:i w:val="0"/>
                <w:iCs w:val="0"/>
                <w:color w:val="auto"/>
                <w:kern w:val="0"/>
                <w:sz w:val="22"/>
                <w:szCs w:val="22"/>
                <w:highlight w:val="none"/>
                <w:vertAlign w:val="baseline"/>
                <w:lang w:val="en-US" w:eastAsia="zh-CN" w:bidi="ar"/>
              </w:rPr>
            </w:pPr>
            <w:r>
              <w:rPr>
                <w:rFonts w:hint="eastAsia" w:asciiTheme="minorEastAsia" w:hAnsiTheme="minorEastAsia" w:cstheme="minorEastAsia"/>
                <w:i w:val="0"/>
                <w:iCs w:val="0"/>
                <w:color w:val="auto"/>
                <w:kern w:val="0"/>
                <w:sz w:val="22"/>
                <w:szCs w:val="22"/>
                <w:highlight w:val="none"/>
                <w:vertAlign w:val="baseline"/>
                <w:lang w:val="en-US" w:eastAsia="zh-CN" w:bidi="ar"/>
              </w:rPr>
              <w:t>过氧化氢低温等离子体灭菌器200过氧化氢卡匣</w:t>
            </w:r>
          </w:p>
        </w:tc>
        <w:tc>
          <w:tcPr>
            <w:tcW w:w="1413" w:type="dxa"/>
            <w:vAlign w:val="center"/>
          </w:tcPr>
          <w:p w14:paraId="2CAA1656">
            <w:pPr>
              <w:keepNext w:val="0"/>
              <w:keepLines w:val="0"/>
              <w:pageBreakBefore w:val="0"/>
              <w:kinsoku/>
              <w:wordWrap/>
              <w:overflowPunct/>
              <w:topLinePunct w:val="0"/>
              <w:autoSpaceDE/>
              <w:autoSpaceDN/>
              <w:bidi w:val="0"/>
              <w:adjustRightInd/>
              <w:snapToGrid/>
              <w:ind w:firstLine="440" w:firstLineChars="200"/>
              <w:jc w:val="center"/>
              <w:rPr>
                <w:rFonts w:hint="default" w:asciiTheme="minorEastAsia" w:hAnsiTheme="minorEastAsia" w:eastAsiaTheme="minorEastAsia" w:cstheme="minorEastAsia"/>
                <w:i w:val="0"/>
                <w:iCs w:val="0"/>
                <w:color w:val="auto"/>
                <w:kern w:val="0"/>
                <w:sz w:val="22"/>
                <w:szCs w:val="22"/>
                <w:highlight w:val="none"/>
                <w:vertAlign w:val="baseline"/>
                <w:lang w:val="en-US" w:eastAsia="zh-CN" w:bidi="ar"/>
              </w:rPr>
            </w:pPr>
            <w:r>
              <w:rPr>
                <w:rFonts w:hint="eastAsia" w:asciiTheme="minorEastAsia" w:hAnsiTheme="minorEastAsia" w:cstheme="minorEastAsia"/>
                <w:i w:val="0"/>
                <w:iCs w:val="0"/>
                <w:color w:val="auto"/>
                <w:kern w:val="0"/>
                <w:sz w:val="22"/>
                <w:szCs w:val="22"/>
                <w:highlight w:val="none"/>
                <w:vertAlign w:val="baseline"/>
                <w:lang w:val="en-US" w:eastAsia="zh-CN" w:bidi="ar"/>
              </w:rPr>
              <w:t>套</w:t>
            </w:r>
          </w:p>
        </w:tc>
        <w:tc>
          <w:tcPr>
            <w:tcW w:w="1608" w:type="dxa"/>
            <w:vAlign w:val="center"/>
          </w:tcPr>
          <w:p w14:paraId="6DDD5063">
            <w:pPr>
              <w:keepNext w:val="0"/>
              <w:keepLines w:val="0"/>
              <w:pageBreakBefore w:val="0"/>
              <w:kinsoku/>
              <w:wordWrap/>
              <w:overflowPunct/>
              <w:topLinePunct w:val="0"/>
              <w:autoSpaceDE/>
              <w:autoSpaceDN/>
              <w:bidi w:val="0"/>
              <w:adjustRightInd/>
              <w:snapToGrid/>
              <w:ind w:firstLine="440" w:firstLineChars="200"/>
              <w:jc w:val="center"/>
              <w:rPr>
                <w:rFonts w:hint="default" w:asciiTheme="minorEastAsia" w:hAnsiTheme="minorEastAsia" w:eastAsiaTheme="minorEastAsia" w:cstheme="minorEastAsia"/>
                <w:i w:val="0"/>
                <w:iCs w:val="0"/>
                <w:color w:val="auto"/>
                <w:kern w:val="0"/>
                <w:sz w:val="22"/>
                <w:szCs w:val="22"/>
                <w:highlight w:val="none"/>
                <w:vertAlign w:val="baseline"/>
                <w:lang w:val="en-US" w:eastAsia="zh-CN" w:bidi="ar"/>
              </w:rPr>
            </w:pPr>
            <w:r>
              <w:rPr>
                <w:rFonts w:hint="eastAsia" w:asciiTheme="minorEastAsia" w:hAnsiTheme="minorEastAsia" w:cstheme="minorEastAsia"/>
                <w:i w:val="0"/>
                <w:iCs w:val="0"/>
                <w:color w:val="auto"/>
                <w:kern w:val="0"/>
                <w:sz w:val="22"/>
                <w:szCs w:val="22"/>
                <w:highlight w:val="none"/>
                <w:vertAlign w:val="baseline"/>
                <w:lang w:val="en-US" w:eastAsia="zh-CN" w:bidi="ar"/>
              </w:rPr>
              <w:t>130元/套</w:t>
            </w:r>
          </w:p>
        </w:tc>
        <w:tc>
          <w:tcPr>
            <w:tcW w:w="1608" w:type="dxa"/>
            <w:vAlign w:val="center"/>
          </w:tcPr>
          <w:p w14:paraId="3C7BB576">
            <w:pPr>
              <w:keepNext w:val="0"/>
              <w:keepLines w:val="0"/>
              <w:pageBreakBefore w:val="0"/>
              <w:kinsoku/>
              <w:wordWrap/>
              <w:overflowPunct/>
              <w:topLinePunct w:val="0"/>
              <w:autoSpaceDE/>
              <w:autoSpaceDN/>
              <w:bidi w:val="0"/>
              <w:adjustRightInd/>
              <w:snapToGrid/>
              <w:ind w:firstLine="440" w:firstLineChars="200"/>
              <w:jc w:val="center"/>
              <w:rPr>
                <w:rFonts w:hint="eastAsia" w:asciiTheme="minorEastAsia" w:hAnsiTheme="minorEastAsia" w:cstheme="minorEastAsia"/>
                <w:i w:val="0"/>
                <w:iCs w:val="0"/>
                <w:color w:val="auto"/>
                <w:kern w:val="0"/>
                <w:sz w:val="22"/>
                <w:szCs w:val="22"/>
                <w:highlight w:val="none"/>
                <w:vertAlign w:val="baseline"/>
                <w:lang w:val="en-US" w:eastAsia="zh-CN" w:bidi="ar"/>
              </w:rPr>
            </w:pPr>
            <w:r>
              <w:rPr>
                <w:rFonts w:hint="eastAsia" w:asciiTheme="minorEastAsia" w:hAnsiTheme="minorEastAsia" w:cstheme="minorEastAsia"/>
                <w:i w:val="0"/>
                <w:iCs w:val="0"/>
                <w:color w:val="auto"/>
                <w:kern w:val="0"/>
                <w:sz w:val="22"/>
                <w:szCs w:val="22"/>
                <w:highlight w:val="none"/>
                <w:vertAlign w:val="baseline"/>
                <w:lang w:val="en-US" w:eastAsia="zh-CN" w:bidi="ar"/>
              </w:rPr>
              <w:t>不得高于省平台中标价</w:t>
            </w:r>
          </w:p>
        </w:tc>
      </w:tr>
    </w:tbl>
    <w:p w14:paraId="2FA02F9D">
      <w:pPr>
        <w:keepNext w:val="0"/>
        <w:keepLines w:val="0"/>
        <w:pageBreakBefore w:val="0"/>
        <w:kinsoku/>
        <w:wordWrap/>
        <w:overflowPunct/>
        <w:topLinePunct w:val="0"/>
        <w:autoSpaceDE/>
        <w:autoSpaceDN/>
        <w:bidi w:val="0"/>
        <w:adjustRightInd/>
        <w:snapToGrid/>
        <w:ind w:firstLine="440" w:firstLineChars="200"/>
        <w:rPr>
          <w:rFonts w:hint="eastAsia" w:asciiTheme="minorEastAsia" w:hAnsiTheme="minorEastAsia" w:eastAsiaTheme="minorEastAsia" w:cstheme="minorEastAsia"/>
          <w:i w:val="0"/>
          <w:iCs w:val="0"/>
          <w:color w:val="auto"/>
          <w:kern w:val="0"/>
          <w:sz w:val="22"/>
          <w:szCs w:val="22"/>
          <w:highlight w:val="none"/>
          <w:lang w:val="en-US" w:eastAsia="zh-CN" w:bidi="ar"/>
        </w:rPr>
      </w:pPr>
    </w:p>
    <w:p w14:paraId="4F7B900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562" w:firstLineChars="200"/>
        <w:jc w:val="both"/>
        <w:textAlignment w:val="auto"/>
        <w:rPr>
          <w:rFonts w:hint="eastAsia" w:ascii="宋体" w:hAnsi="宋体" w:cs="宋体"/>
          <w:b/>
          <w:bCs/>
          <w:i w:val="0"/>
          <w:iCs w:val="0"/>
          <w:color w:val="36363D"/>
          <w:kern w:val="0"/>
          <w:sz w:val="28"/>
          <w:szCs w:val="28"/>
          <w:highlight w:val="none"/>
          <w:u w:val="none"/>
          <w:lang w:val="en-US" w:eastAsia="zh-CN" w:bidi="ar"/>
        </w:rPr>
      </w:pPr>
      <w:r>
        <w:rPr>
          <w:rFonts w:hint="eastAsia" w:ascii="宋体" w:hAnsi="宋体" w:cs="宋体"/>
          <w:b/>
          <w:bCs/>
          <w:i w:val="0"/>
          <w:iCs w:val="0"/>
          <w:color w:val="36363D"/>
          <w:kern w:val="0"/>
          <w:sz w:val="28"/>
          <w:szCs w:val="28"/>
          <w:highlight w:val="none"/>
          <w:u w:val="none"/>
          <w:lang w:val="en-US" w:eastAsia="zh-CN" w:bidi="ar"/>
        </w:rPr>
        <w:t>（三）商务参数</w:t>
      </w:r>
    </w:p>
    <w:p w14:paraId="25CF1D8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1、运输、装卸、培训、安装调试：由中标人负责承担，最终通过使用科室、设备科及相关部门确认验收交付使用。国产设备交付，设备必须为6个月内生产的产品；进口设备交付，设备必须为一年内生产的产品。</w:t>
      </w:r>
    </w:p>
    <w:p w14:paraId="69B0BB8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★2、交货时间：按合同约定的日期交货。</w:t>
      </w:r>
    </w:p>
    <w:p w14:paraId="488CE42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★3、交货地点：娄底市中心医院指定地点。</w:t>
      </w:r>
    </w:p>
    <w:p w14:paraId="2BDBFAA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4、付款方式：设备验收合格后，供应商将发票交到娄底市中心医院后按程序支付货款90%（按医院财务制度一般情况下4个月内支付、特殊情况下最多不超过6个月），甲方在设备验收合格满3年后支付10%余款给乙方。</w:t>
      </w:r>
      <w:r>
        <w:rPr>
          <w:rFonts w:hint="eastAsia" w:asciiTheme="minorEastAsia" w:hAnsiTheme="minorEastAsia" w:eastAsiaTheme="minorEastAsia" w:cstheme="minorEastAsia"/>
          <w:i w:val="0"/>
          <w:iCs w:val="0"/>
          <w:color w:val="auto"/>
          <w:kern w:val="0"/>
          <w:sz w:val="22"/>
          <w:szCs w:val="22"/>
          <w:highlight w:val="none"/>
          <w:lang w:val="en-US" w:eastAsia="zh-CN" w:bidi="ar"/>
        </w:rPr>
        <w:cr/>
      </w:r>
      <w:r>
        <w:rPr>
          <w:rFonts w:hint="eastAsia" w:asciiTheme="minorEastAsia" w:hAnsiTheme="minorEastAsia" w:eastAsiaTheme="minorEastAsia" w:cstheme="minorEastAsia"/>
          <w:i w:val="0"/>
          <w:iCs w:val="0"/>
          <w:color w:val="auto"/>
          <w:kern w:val="0"/>
          <w:sz w:val="22"/>
          <w:szCs w:val="22"/>
          <w:highlight w:val="none"/>
          <w:lang w:val="en-US" w:eastAsia="zh-CN" w:bidi="ar"/>
        </w:rPr>
        <w:t xml:space="preserve">   ★5、质保与售后：整机保修3 年，终身维修。验收时出具原厂售后质保承诺书，质保期内每年巡检一次，并提交巡检记录。</w:t>
      </w:r>
      <w:r>
        <w:rPr>
          <w:rFonts w:hint="eastAsia" w:asciiTheme="minorEastAsia" w:hAnsiTheme="minorEastAsia" w:eastAsiaTheme="minorEastAsia" w:cstheme="minorEastAsia"/>
          <w:i w:val="0"/>
          <w:iCs w:val="0"/>
          <w:color w:val="auto"/>
          <w:kern w:val="0"/>
          <w:sz w:val="22"/>
          <w:szCs w:val="22"/>
          <w:highlight w:val="none"/>
          <w:lang w:val="zh-CN" w:eastAsia="zh-CN" w:bidi="ar"/>
        </w:rPr>
        <w:t>质保期内</w:t>
      </w:r>
      <w:r>
        <w:rPr>
          <w:rFonts w:hint="eastAsia" w:asciiTheme="minorEastAsia" w:hAnsiTheme="minorEastAsia" w:eastAsiaTheme="minorEastAsia" w:cstheme="minorEastAsia"/>
          <w:i w:val="0"/>
          <w:iCs w:val="0"/>
          <w:color w:val="auto"/>
          <w:kern w:val="0"/>
          <w:sz w:val="22"/>
          <w:szCs w:val="22"/>
          <w:highlight w:val="none"/>
          <w:lang w:val="en-US" w:eastAsia="zh-CN" w:bidi="ar"/>
        </w:rPr>
        <w:t>出现故障，1小时响应，响应后24小时上门服务。</w:t>
      </w:r>
    </w:p>
    <w:p w14:paraId="0A9C2B6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6、在投标文件中必须提供相关技术资料并加盖投标人公章（如技术参数、技术白皮书、说明书、彩页等），并在响应表中对“★”、“▲”以及要求提供佐证材料的条款备注该条参数响应或正偏离的佐证资料所在页码。</w:t>
      </w:r>
    </w:p>
    <w:p w14:paraId="79AF2B0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440" w:firstLineChars="200"/>
        <w:jc w:val="both"/>
        <w:textAlignment w:val="auto"/>
        <w:rPr>
          <w:rFonts w:hint="default"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★7、设备如涉及网络接口费用，由中标人承担，采购人不再出具任何费用。</w:t>
      </w:r>
    </w:p>
    <w:p w14:paraId="46A704C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935112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24"/>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黑体" w:hAnsi="黑体" w:eastAsia="黑体" w:cs="黑体"/>
          <w:sz w:val="44"/>
          <w:szCs w:val="44"/>
        </w:rPr>
        <w:t>医疗设备及专机专用耗材采购合同</w:t>
      </w:r>
    </w:p>
    <w:p w14:paraId="0F0DE4E8">
      <w:pPr>
        <w:spacing w:line="480" w:lineRule="exact"/>
        <w:rPr>
          <w:rFonts w:hint="eastAsia" w:ascii="宋体" w:hAnsi="宋体" w:eastAsia="宋体" w:cs="宋体"/>
          <w:b/>
          <w:bCs/>
          <w:sz w:val="24"/>
        </w:rPr>
      </w:pPr>
    </w:p>
    <w:p w14:paraId="16D3F680">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sz w:val="24"/>
        </w:rPr>
      </w:pPr>
      <w:r>
        <w:rPr>
          <w:rFonts w:hint="eastAsia" w:ascii="宋体" w:hAnsi="宋体" w:eastAsia="宋体" w:cs="宋体"/>
          <w:b/>
          <w:bCs/>
          <w:sz w:val="24"/>
        </w:rPr>
        <w:t>甲方（采购方）：</w:t>
      </w:r>
      <w:r>
        <w:rPr>
          <w:rFonts w:hint="eastAsia" w:ascii="宋体" w:hAnsi="宋体" w:eastAsia="宋体" w:cs="宋体"/>
          <w:sz w:val="24"/>
        </w:rPr>
        <w:t>娄底市中心医院</w:t>
      </w:r>
    </w:p>
    <w:p w14:paraId="3E5EA4BD">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法定代表人：杨吉军</w:t>
      </w:r>
    </w:p>
    <w:p w14:paraId="0218515E">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统一社会信用代码：12431300447162073W</w:t>
      </w:r>
    </w:p>
    <w:p w14:paraId="413CA8C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地址：湖南省娄底市娄星区长青中街51号</w:t>
      </w:r>
    </w:p>
    <w:p w14:paraId="2A1A0BE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联系人：朱振宇</w:t>
      </w:r>
    </w:p>
    <w:p w14:paraId="23D44CE3">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联系电话：15673845559</w:t>
      </w:r>
    </w:p>
    <w:p w14:paraId="116D39EE">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val="0"/>
          <w:bCs w:val="0"/>
          <w:sz w:val="24"/>
        </w:rPr>
      </w:pPr>
      <w:r>
        <w:rPr>
          <w:rFonts w:hint="eastAsia" w:ascii="宋体" w:hAnsi="宋体" w:eastAsia="宋体" w:cs="宋体"/>
          <w:b/>
          <w:bCs/>
          <w:sz w:val="24"/>
        </w:rPr>
        <w:t>乙方（供货方）：</w:t>
      </w:r>
    </w:p>
    <w:p w14:paraId="791B4341">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lang w:val="en-US" w:eastAsia="zh-CN"/>
        </w:rPr>
      </w:pPr>
      <w:r>
        <w:rPr>
          <w:rFonts w:hint="eastAsia" w:ascii="宋体" w:hAnsi="宋体" w:eastAsia="宋体" w:cs="宋体"/>
          <w:sz w:val="24"/>
        </w:rPr>
        <w:t>法定代表人：</w:t>
      </w:r>
    </w:p>
    <w:p w14:paraId="23559715">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w:t>
      </w:r>
    </w:p>
    <w:p w14:paraId="412157FD">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cs="宋体"/>
          <w:sz w:val="24"/>
        </w:rPr>
      </w:pPr>
      <w:r>
        <w:rPr>
          <w:rFonts w:hint="eastAsia" w:ascii="宋体" w:hAnsi="宋体" w:eastAsia="宋体" w:cs="宋体"/>
          <w:sz w:val="24"/>
        </w:rPr>
        <w:t>地址：</w:t>
      </w:r>
    </w:p>
    <w:p w14:paraId="366A87DB">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r>
        <w:rPr>
          <w:rFonts w:hint="eastAsia" w:ascii="宋体" w:hAnsi="宋体" w:eastAsia="宋体" w:cs="宋体"/>
          <w:sz w:val="24"/>
        </w:rPr>
        <w:t>联系人：</w:t>
      </w:r>
    </w:p>
    <w:p w14:paraId="78E53F34">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w:t>
      </w:r>
    </w:p>
    <w:p w14:paraId="4B05C86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p>
    <w:p w14:paraId="36EDCE32">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甲方通过</w:t>
      </w:r>
      <w:r>
        <w:rPr>
          <w:rFonts w:hint="eastAsia" w:ascii="宋体" w:hAnsi="宋体" w:eastAsia="宋体" w:cs="宋体"/>
          <w:color w:val="000000" w:themeColor="text1"/>
          <w:sz w:val="24"/>
          <w:u w:val="single"/>
          <w14:textFill>
            <w14:solidFill>
              <w14:schemeClr w14:val="tx1"/>
            </w14:solidFill>
          </w14:textFill>
        </w:rPr>
        <w:t>医院公开挂网</w:t>
      </w:r>
      <w:r>
        <w:rPr>
          <w:rFonts w:hint="eastAsia" w:ascii="宋体" w:hAnsi="宋体" w:eastAsia="宋体" w:cs="宋体"/>
          <w:color w:val="000000" w:themeColor="text1"/>
          <w:sz w:val="24"/>
          <w14:textFill>
            <w14:solidFill>
              <w14:schemeClr w14:val="tx1"/>
            </w14:solidFill>
          </w14:textFill>
        </w:rPr>
        <w:t>方式采购</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过氧化氢低温等离子体灭菌器（双门） </w:t>
      </w:r>
      <w:r>
        <w:rPr>
          <w:rFonts w:hint="eastAsia" w:ascii="宋体" w:hAnsi="宋体" w:eastAsia="宋体" w:cs="宋体"/>
          <w:color w:val="000000" w:themeColor="text1"/>
          <w:sz w:val="24"/>
          <w14:textFill>
            <w14:solidFill>
              <w14:schemeClr w14:val="tx1"/>
            </w14:solidFill>
          </w14:textFill>
        </w:rPr>
        <w:t>，乙方为成交供应商。根据《中华人民共和国民法典》《中华人民共和国政府采购法》等相关法律规定，甲乙双方在采购项目确定的基础上，就采购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u w:val="single"/>
          <w:lang w:val="en-US" w:eastAsia="zh-CN"/>
          <w14:textFill>
            <w14:solidFill>
              <w14:schemeClr w14:val="tx1"/>
            </w14:solidFill>
          </w14:textFill>
        </w:rPr>
        <w:t xml:space="preserve"> 过氧化氢低温等离子体灭菌器（双门） </w:t>
      </w:r>
      <w:r>
        <w:rPr>
          <w:rFonts w:hint="eastAsia" w:ascii="宋体" w:hAnsi="宋体" w:eastAsia="宋体" w:cs="宋体"/>
          <w:color w:val="000000" w:themeColor="text1"/>
          <w:sz w:val="24"/>
          <w14:textFill>
            <w14:solidFill>
              <w14:schemeClr w14:val="tx1"/>
            </w14:solidFill>
          </w14:textFill>
        </w:rPr>
        <w:t>事宜平等、自愿、公平、诚信协商，达成一致，特订立本合同，以资共同遵守。</w:t>
      </w:r>
    </w:p>
    <w:p w14:paraId="0D9D45C8">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hint="eastAsia" w:ascii="宋体" w:hAnsi="宋体" w:eastAsia="宋体" w:cs="宋体"/>
          <w:b/>
          <w:bCs/>
          <w:sz w:val="24"/>
        </w:rPr>
        <w:t>第一条  采购内容</w:t>
      </w:r>
    </w:p>
    <w:p w14:paraId="3E02DCCA">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ascii="宋体" w:hAnsi="宋体" w:eastAsia="宋体" w:cs="宋体"/>
          <w:b/>
          <w:bCs/>
          <w:sz w:val="24"/>
        </w:rPr>
        <w:t>1.1</w:t>
      </w:r>
      <w:r>
        <w:rPr>
          <w:rFonts w:hint="eastAsia" w:ascii="宋体" w:hAnsi="宋体" w:eastAsia="宋体" w:cs="宋体"/>
          <w:b/>
          <w:bCs/>
          <w:sz w:val="24"/>
        </w:rPr>
        <w:t xml:space="preserve"> 采购设备</w:t>
      </w:r>
    </w:p>
    <w:p w14:paraId="73CBED7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1.1.1 设备名称、品牌、型号、价格</w:t>
      </w:r>
    </w:p>
    <w:tbl>
      <w:tblPr>
        <w:tblStyle w:val="13"/>
        <w:tblpPr w:leftFromText="180" w:rightFromText="180" w:vertAnchor="text" w:horzAnchor="page" w:tblpX="1779" w:tblpY="148"/>
        <w:tblOverlap w:val="never"/>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1500"/>
        <w:gridCol w:w="1457"/>
        <w:gridCol w:w="1320"/>
        <w:gridCol w:w="1377"/>
        <w:gridCol w:w="1388"/>
      </w:tblGrid>
      <w:tr w14:paraId="6D988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vAlign w:val="center"/>
          </w:tcPr>
          <w:p w14:paraId="62853A19">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设备名称</w:t>
            </w:r>
          </w:p>
        </w:tc>
        <w:tc>
          <w:tcPr>
            <w:tcW w:w="1500" w:type="dxa"/>
            <w:vAlign w:val="center"/>
          </w:tcPr>
          <w:p w14:paraId="70A2FFDD">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品牌</w:t>
            </w:r>
          </w:p>
        </w:tc>
        <w:tc>
          <w:tcPr>
            <w:tcW w:w="1457" w:type="dxa"/>
            <w:vAlign w:val="center"/>
          </w:tcPr>
          <w:p w14:paraId="2FAC9F02">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型号</w:t>
            </w:r>
          </w:p>
        </w:tc>
        <w:tc>
          <w:tcPr>
            <w:tcW w:w="1320" w:type="dxa"/>
            <w:vAlign w:val="center"/>
          </w:tcPr>
          <w:p w14:paraId="458309E5">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单价（元）</w:t>
            </w:r>
          </w:p>
        </w:tc>
        <w:tc>
          <w:tcPr>
            <w:tcW w:w="1377" w:type="dxa"/>
            <w:vAlign w:val="center"/>
          </w:tcPr>
          <w:p w14:paraId="5BB78BA4">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数量</w:t>
            </w:r>
          </w:p>
        </w:tc>
        <w:tc>
          <w:tcPr>
            <w:tcW w:w="1388" w:type="dxa"/>
            <w:vAlign w:val="center"/>
          </w:tcPr>
          <w:p w14:paraId="2A14B3B9">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金额（元）</w:t>
            </w:r>
          </w:p>
        </w:tc>
      </w:tr>
      <w:tr w14:paraId="7532C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726" w:type="dxa"/>
            <w:vAlign w:val="center"/>
          </w:tcPr>
          <w:p w14:paraId="0B27E00D">
            <w:pPr>
              <w:widowControl/>
              <w:spacing w:line="320" w:lineRule="exact"/>
              <w:rPr>
                <w:rFonts w:hint="eastAsia" w:ascii="宋体" w:hAnsi="宋体" w:eastAsia="宋体" w:cs="宋体"/>
                <w:color w:val="000000" w:themeColor="text1"/>
                <w:kern w:val="0"/>
                <w:sz w:val="18"/>
                <w:szCs w:val="18"/>
                <w:lang w:eastAsia="zh-CN"/>
                <w14:textFill>
                  <w14:solidFill>
                    <w14:schemeClr w14:val="tx1"/>
                  </w14:solidFill>
                </w14:textFill>
              </w:rPr>
            </w:pPr>
            <w:r>
              <w:rPr>
                <w:rFonts w:hint="eastAsia" w:ascii="宋体" w:hAnsi="宋体" w:eastAsia="宋体" w:cs="宋体"/>
                <w:color w:val="000000" w:themeColor="text1"/>
                <w:kern w:val="0"/>
                <w:sz w:val="18"/>
                <w:szCs w:val="18"/>
                <w:lang w:eastAsia="zh-CN"/>
                <w14:textFill>
                  <w14:solidFill>
                    <w14:schemeClr w14:val="tx1"/>
                  </w14:solidFill>
                </w14:textFill>
              </w:rPr>
              <w:t>过氧化氢低温等离子体灭菌器（双门）</w:t>
            </w:r>
          </w:p>
        </w:tc>
        <w:tc>
          <w:tcPr>
            <w:tcW w:w="1500" w:type="dxa"/>
            <w:vAlign w:val="center"/>
          </w:tcPr>
          <w:p w14:paraId="65EED7F6">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457" w:type="dxa"/>
            <w:vAlign w:val="center"/>
          </w:tcPr>
          <w:p w14:paraId="0907E96A">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320" w:type="dxa"/>
            <w:vAlign w:val="center"/>
          </w:tcPr>
          <w:p w14:paraId="234D3D04">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c>
          <w:tcPr>
            <w:tcW w:w="1377" w:type="dxa"/>
            <w:vAlign w:val="center"/>
          </w:tcPr>
          <w:p w14:paraId="615DA118">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1台</w:t>
            </w:r>
          </w:p>
        </w:tc>
        <w:tc>
          <w:tcPr>
            <w:tcW w:w="1388" w:type="dxa"/>
            <w:vAlign w:val="center"/>
          </w:tcPr>
          <w:p w14:paraId="54803996">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r>
      <w:tr w14:paraId="46A1C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768" w:type="dxa"/>
            <w:gridSpan w:val="6"/>
          </w:tcPr>
          <w:p w14:paraId="2F9A86B4">
            <w:pPr>
              <w:widowControl/>
              <w:spacing w:line="480" w:lineRule="exact"/>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合计价款金额（大写）：</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u w:val="none"/>
                <w:lang w:val="en-US" w:eastAsia="zh-CN"/>
                <w14:textFill>
                  <w14:solidFill>
                    <w14:schemeClr w14:val="tx1"/>
                  </w14:solidFill>
                </w14:textFill>
              </w:rPr>
              <w:t>元整</w:t>
            </w:r>
            <w:r>
              <w:rPr>
                <w:rFonts w:hint="eastAsia" w:ascii="宋体" w:hAnsi="宋体" w:eastAsia="宋体" w:cs="宋体"/>
                <w:color w:val="000000" w:themeColor="text1"/>
                <w:kern w:val="0"/>
                <w:sz w:val="24"/>
                <w14:textFill>
                  <w14:solidFill>
                    <w14:schemeClr w14:val="tx1"/>
                  </w14:solidFill>
                </w14:textFill>
              </w:rPr>
              <w:t xml:space="preserve">      人民币（小写）：</w:t>
            </w:r>
            <w:r>
              <w:rPr>
                <w:rFonts w:hint="eastAsia" w:ascii="宋体" w:hAnsi="宋体" w:eastAsia="宋体" w:cs="宋体"/>
                <w:color w:val="000000" w:themeColor="text1"/>
                <w:kern w:val="0"/>
                <w:sz w:val="24"/>
                <w:u w:val="single"/>
                <w14:textFill>
                  <w14:solidFill>
                    <w14:schemeClr w14:val="tx1"/>
                  </w14:solidFill>
                </w14:textFill>
              </w:rPr>
              <w:t xml:space="preserve"> </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元</w:t>
            </w:r>
          </w:p>
        </w:tc>
      </w:tr>
    </w:tbl>
    <w:p w14:paraId="2C31EC0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1</w:t>
      </w:r>
    </w:p>
    <w:p w14:paraId="4D7E744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rPr>
      </w:pPr>
    </w:p>
    <w:p w14:paraId="4B89595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rPr>
      </w:pPr>
    </w:p>
    <w:p w14:paraId="53611CA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rPr>
      </w:pPr>
    </w:p>
    <w:p w14:paraId="3EB5EB5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rPr>
      </w:pPr>
    </w:p>
    <w:p w14:paraId="51CF03B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lang w:val="en-US" w:eastAsia="zh-CN"/>
        </w:rPr>
        <w:t>1</w:t>
      </w:r>
      <w:r>
        <w:rPr>
          <w:rFonts w:hint="eastAsia" w:ascii="宋体" w:hAnsi="宋体" w:eastAsia="宋体" w:cs="宋体"/>
          <w:color w:val="auto"/>
          <w:sz w:val="24"/>
        </w:rPr>
        <w:t>.1.</w:t>
      </w:r>
      <w:r>
        <w:rPr>
          <w:rFonts w:hint="eastAsia" w:ascii="宋体" w:hAnsi="宋体" w:cs="宋体"/>
          <w:color w:val="auto"/>
          <w:sz w:val="24"/>
          <w:lang w:val="en-US" w:eastAsia="zh-CN"/>
        </w:rPr>
        <w:t>2</w:t>
      </w:r>
      <w:r>
        <w:rPr>
          <w:rFonts w:hint="eastAsia" w:ascii="宋体" w:hAnsi="宋体" w:eastAsia="宋体" w:cs="宋体"/>
          <w:color w:val="auto"/>
          <w:sz w:val="24"/>
        </w:rPr>
        <w:t xml:space="preserve"> 本合同约定价格为（</w:t>
      </w:r>
      <w:r>
        <w:rPr>
          <w:rFonts w:hint="eastAsia" w:ascii="宋体" w:hAnsi="宋体" w:eastAsia="宋体" w:cs="宋体"/>
          <w:color w:val="auto"/>
          <w:sz w:val="24"/>
          <w:lang w:eastAsia="zh-CN"/>
        </w:rPr>
        <w:t>□</w:t>
      </w:r>
      <w:r>
        <w:rPr>
          <w:rFonts w:hint="eastAsia" w:ascii="宋体" w:hAnsi="宋体" w:eastAsia="宋体" w:cs="宋体"/>
          <w:color w:val="auto"/>
          <w:sz w:val="24"/>
        </w:rPr>
        <w:t>固定总价</w:t>
      </w:r>
      <w:r>
        <w:rPr>
          <w:rFonts w:hint="eastAsia" w:ascii="宋体" w:hAnsi="宋体" w:eastAsia="宋体" w:cs="宋体"/>
          <w:color w:val="auto"/>
          <w:sz w:val="24"/>
          <w:lang w:eastAsia="zh-CN"/>
        </w:rPr>
        <w:t>☑</w:t>
      </w:r>
      <w:r>
        <w:rPr>
          <w:rFonts w:hint="eastAsia" w:ascii="宋体" w:hAnsi="宋体" w:eastAsia="宋体" w:cs="宋体"/>
          <w:color w:val="auto"/>
          <w:sz w:val="24"/>
        </w:rPr>
        <w:t>固定单价），不因物价、市场波动变更，约定价格包括且不限于设计费、材料费、人工费、安装费、包装费、运输费、装卸费、调试费、接口费、检测费、检验费、税费、保险费、售后服务费、附随服务费等在内所有费用。</w:t>
      </w:r>
    </w:p>
    <w:p w14:paraId="59B1CA0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auto"/>
          <w:sz w:val="24"/>
        </w:rPr>
        <w:t>1.1.</w:t>
      </w:r>
      <w:r>
        <w:rPr>
          <w:rFonts w:hint="eastAsia" w:ascii="宋体" w:hAnsi="宋体" w:cs="宋体"/>
          <w:color w:val="auto"/>
          <w:sz w:val="24"/>
          <w:lang w:val="en-US" w:eastAsia="zh-CN"/>
        </w:rPr>
        <w:t>3</w:t>
      </w:r>
      <w:r>
        <w:rPr>
          <w:rFonts w:hint="eastAsia" w:ascii="宋体" w:hAnsi="宋体" w:eastAsia="宋体" w:cs="宋体"/>
          <w:color w:val="auto"/>
          <w:sz w:val="24"/>
        </w:rPr>
        <w:t xml:space="preserve"> </w:t>
      </w:r>
      <w:r>
        <w:rPr>
          <w:rFonts w:hint="eastAsia" w:ascii="宋体" w:hAnsi="宋体" w:cs="宋体"/>
          <w:color w:val="auto"/>
          <w:sz w:val="24"/>
        </w:rPr>
        <w:t>□本合同设备无需与甲方使用的信息系统对接。</w:t>
      </w:r>
      <w:r>
        <w:rPr>
          <w:rFonts w:hint="eastAsia" w:ascii="宋体" w:hAnsi="宋体" w:cs="宋体"/>
          <w:color w:val="auto"/>
          <w:sz w:val="24"/>
          <w:lang w:eastAsia="zh-CN"/>
        </w:rPr>
        <w:t>☑</w:t>
      </w:r>
      <w:r>
        <w:rPr>
          <w:rFonts w:hint="eastAsia" w:ascii="宋体" w:hAnsi="宋体" w:cs="宋体"/>
          <w:color w:val="auto"/>
          <w:sz w:val="24"/>
        </w:rPr>
        <w:t>本合同设备需要与甲方使用的信息系统</w:t>
      </w:r>
      <w:r>
        <w:rPr>
          <w:rFonts w:hint="eastAsia" w:ascii="宋体" w:hAnsi="宋体" w:cs="宋体"/>
          <w:color w:val="auto"/>
          <w:sz w:val="24"/>
          <w:lang w:eastAsia="zh-CN"/>
        </w:rPr>
        <w:t>（</w:t>
      </w:r>
      <w:r>
        <w:rPr>
          <w:rFonts w:hint="eastAsia" w:ascii="宋体" w:hAnsi="宋体" w:cs="宋体"/>
          <w:color w:val="0000FF"/>
          <w:sz w:val="24"/>
          <w:lang w:val="en-US" w:eastAsia="zh-CN"/>
        </w:rPr>
        <w:t>含消毒追溯系统</w:t>
      </w:r>
      <w:r>
        <w:rPr>
          <w:rFonts w:hint="eastAsia" w:ascii="宋体" w:hAnsi="宋体" w:cs="宋体"/>
          <w:color w:val="auto"/>
          <w:sz w:val="24"/>
          <w:lang w:eastAsia="zh-CN"/>
        </w:rPr>
        <w:t>）</w:t>
      </w:r>
      <w:r>
        <w:rPr>
          <w:rFonts w:hint="eastAsia" w:ascii="宋体" w:hAnsi="宋体" w:cs="宋体"/>
          <w:color w:val="auto"/>
          <w:sz w:val="24"/>
        </w:rPr>
        <w:t>对接</w:t>
      </w:r>
      <w:r>
        <w:rPr>
          <w:rFonts w:hint="eastAsia" w:ascii="宋体" w:hAnsi="宋体" w:cs="宋体"/>
          <w:color w:val="auto"/>
          <w:sz w:val="24"/>
          <w:lang w:val="en-US" w:eastAsia="zh-CN"/>
        </w:rPr>
        <w:t>时</w:t>
      </w:r>
      <w:r>
        <w:rPr>
          <w:rFonts w:hint="eastAsia" w:ascii="宋体" w:hAnsi="宋体" w:cs="宋体"/>
          <w:color w:val="auto"/>
          <w:sz w:val="24"/>
        </w:rPr>
        <w:t>，因对接产生的接</w:t>
      </w:r>
      <w:r>
        <w:rPr>
          <w:rFonts w:hint="eastAsia" w:ascii="宋体" w:hAnsi="宋体" w:cs="宋体"/>
          <w:color w:val="000000" w:themeColor="text1"/>
          <w:sz w:val="24"/>
          <w14:textFill>
            <w14:solidFill>
              <w14:schemeClr w14:val="tx1"/>
            </w14:solidFill>
          </w14:textFill>
        </w:rPr>
        <w:t>口开发等乙方及第三方需要收取的全部费用均由乙方承担。</w:t>
      </w:r>
    </w:p>
    <w:p w14:paraId="49748868">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bCs/>
          <w:sz w:val="24"/>
        </w:rPr>
      </w:pPr>
      <w:r>
        <w:rPr>
          <w:rFonts w:hint="eastAsia" w:ascii="宋体" w:hAnsi="宋体" w:eastAsia="宋体" w:cs="宋体"/>
          <w:b/>
          <w:bCs/>
          <w:sz w:val="24"/>
        </w:rPr>
        <w:t>1.2 设备专机专用耗材供应</w:t>
      </w:r>
    </w:p>
    <w:p w14:paraId="208948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1.2.1 耗材名称、规格型号、编号、单价</w:t>
      </w:r>
    </w:p>
    <w:tbl>
      <w:tblPr>
        <w:tblStyle w:val="13"/>
        <w:tblW w:w="8958" w:type="dxa"/>
        <w:tblInd w:w="-11" w:type="dxa"/>
        <w:tblLayout w:type="fixed"/>
        <w:tblCellMar>
          <w:top w:w="0" w:type="dxa"/>
          <w:left w:w="108" w:type="dxa"/>
          <w:bottom w:w="0" w:type="dxa"/>
          <w:right w:w="108" w:type="dxa"/>
        </w:tblCellMar>
      </w:tblPr>
      <w:tblGrid>
        <w:gridCol w:w="3113"/>
        <w:gridCol w:w="1800"/>
        <w:gridCol w:w="1710"/>
        <w:gridCol w:w="765"/>
        <w:gridCol w:w="1570"/>
      </w:tblGrid>
      <w:tr w14:paraId="2F8AA1C5">
        <w:tblPrEx>
          <w:tblCellMar>
            <w:top w:w="0" w:type="dxa"/>
            <w:left w:w="108" w:type="dxa"/>
            <w:bottom w:w="0" w:type="dxa"/>
            <w:right w:w="108" w:type="dxa"/>
          </w:tblCellMar>
        </w:tblPrEx>
        <w:trPr>
          <w:trHeight w:val="561"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B6DED">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专机专用</w:t>
            </w:r>
          </w:p>
          <w:p w14:paraId="79F9A15B">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耗材名称</w:t>
            </w:r>
          </w:p>
        </w:tc>
        <w:tc>
          <w:tcPr>
            <w:tcW w:w="1800" w:type="dxa"/>
            <w:tcBorders>
              <w:top w:val="single" w:color="auto" w:sz="4" w:space="0"/>
              <w:left w:val="single" w:color="000000" w:sz="4" w:space="0"/>
              <w:bottom w:val="single" w:color="000000" w:sz="4" w:space="0"/>
              <w:right w:val="single" w:color="auto" w:sz="4" w:space="0"/>
            </w:tcBorders>
            <w:shd w:val="clear" w:color="auto" w:fill="auto"/>
            <w:vAlign w:val="center"/>
          </w:tcPr>
          <w:p w14:paraId="19A05F3F">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规格型号</w:t>
            </w:r>
          </w:p>
        </w:tc>
        <w:tc>
          <w:tcPr>
            <w:tcW w:w="1710" w:type="dxa"/>
            <w:tcBorders>
              <w:top w:val="single" w:color="auto" w:sz="4" w:space="0"/>
              <w:left w:val="single" w:color="auto" w:sz="4" w:space="0"/>
              <w:bottom w:val="single" w:color="000000" w:sz="4" w:space="0"/>
              <w:right w:val="single" w:color="000000" w:sz="4" w:space="0"/>
            </w:tcBorders>
            <w:shd w:val="clear" w:color="auto" w:fill="auto"/>
            <w:vAlign w:val="center"/>
          </w:tcPr>
          <w:p w14:paraId="4010F418">
            <w:pPr>
              <w:widowControl/>
              <w:spacing w:line="240" w:lineRule="auto"/>
              <w:jc w:val="center"/>
              <w:rPr>
                <w:rFonts w:hint="default"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生产厂家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55811">
            <w:pPr>
              <w:widowControl/>
              <w:spacing w:line="240" w:lineRule="auto"/>
              <w:jc w:val="center"/>
              <w:rPr>
                <w:rFonts w:hint="eastAsia"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单位</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68F2B">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单价</w:t>
            </w:r>
          </w:p>
          <w:p w14:paraId="26CE872F">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（元）</w:t>
            </w:r>
          </w:p>
        </w:tc>
      </w:tr>
      <w:tr w14:paraId="35C459CA">
        <w:tblPrEx>
          <w:tblCellMar>
            <w:top w:w="0" w:type="dxa"/>
            <w:left w:w="108" w:type="dxa"/>
            <w:bottom w:w="0" w:type="dxa"/>
            <w:right w:w="108" w:type="dxa"/>
          </w:tblCellMar>
        </w:tblPrEx>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147E5">
            <w:pPr>
              <w:spacing w:beforeLines="0" w:afterLines="0"/>
              <w:jc w:val="both"/>
              <w:rPr>
                <w:rFonts w:hint="eastAsia" w:ascii="宋体" w:hAnsi="宋体" w:eastAsiaTheme="minorEastAsia" w:cstheme="minorBidi"/>
                <w:color w:val="000000"/>
                <w:kern w:val="2"/>
                <w:sz w:val="18"/>
                <w:szCs w:val="18"/>
                <w:lang w:val="en-US" w:eastAsia="zh-CN" w:bidi="ar-SA"/>
              </w:rPr>
            </w:pPr>
            <w:r>
              <w:rPr>
                <w:rFonts w:hint="eastAsia" w:asciiTheme="minorEastAsia" w:hAnsiTheme="minorEastAsia" w:cstheme="minorEastAsia"/>
                <w:i w:val="0"/>
                <w:iCs w:val="0"/>
                <w:color w:val="auto"/>
                <w:kern w:val="0"/>
                <w:sz w:val="22"/>
                <w:szCs w:val="22"/>
                <w:highlight w:val="none"/>
                <w:vertAlign w:val="baseline"/>
                <w:lang w:val="en-US" w:eastAsia="zh-CN" w:bidi="ar"/>
              </w:rPr>
              <w:t>过氧化氢低温等离子体灭菌器200过氧化氢卡匣</w:t>
            </w:r>
          </w:p>
        </w:tc>
        <w:tc>
          <w:tcPr>
            <w:tcW w:w="1800" w:type="dxa"/>
            <w:tcBorders>
              <w:top w:val="single" w:color="auto" w:sz="4" w:space="0"/>
              <w:left w:val="single" w:color="000000" w:sz="4" w:space="0"/>
              <w:bottom w:val="single" w:color="auto" w:sz="4" w:space="0"/>
              <w:right w:val="single" w:color="auto" w:sz="4" w:space="0"/>
            </w:tcBorders>
            <w:shd w:val="clear" w:color="auto" w:fill="auto"/>
            <w:vAlign w:val="center"/>
          </w:tcPr>
          <w:p w14:paraId="6731D6EB">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7C1D8D42">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2302D">
            <w:pPr>
              <w:spacing w:beforeLines="0" w:afterLines="0"/>
              <w:jc w:val="center"/>
              <w:rPr>
                <w:rFonts w:hint="default" w:ascii="宋体" w:hAnsi="宋体" w:eastAsiaTheme="minorEastAsia" w:cstheme="minorBidi"/>
                <w:color w:val="000000"/>
                <w:kern w:val="2"/>
                <w:sz w:val="18"/>
                <w:szCs w:val="18"/>
                <w:lang w:val="en-US" w:eastAsia="zh-CN" w:bidi="ar-SA"/>
              </w:rPr>
            </w:pPr>
            <w:r>
              <w:rPr>
                <w:rFonts w:hint="eastAsia" w:ascii="宋体" w:hAnsi="宋体" w:cstheme="minorBidi"/>
                <w:color w:val="000000"/>
                <w:kern w:val="2"/>
                <w:sz w:val="18"/>
                <w:szCs w:val="18"/>
                <w:lang w:val="en-US" w:eastAsia="zh-CN" w:bidi="ar-SA"/>
              </w:rPr>
              <w:t>套</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B95E7">
            <w:pPr>
              <w:spacing w:beforeLines="0" w:afterLines="0"/>
              <w:jc w:val="center"/>
              <w:rPr>
                <w:rFonts w:hint="eastAsia" w:ascii="宋体" w:hAnsi="宋体" w:eastAsiaTheme="minorEastAsia" w:cstheme="minorBidi"/>
                <w:color w:val="000000"/>
                <w:kern w:val="2"/>
                <w:sz w:val="18"/>
                <w:szCs w:val="18"/>
                <w:lang w:val="en-US" w:eastAsia="zh-CN" w:bidi="ar-SA"/>
              </w:rPr>
            </w:pPr>
          </w:p>
        </w:tc>
      </w:tr>
    </w:tbl>
    <w:p w14:paraId="5600EAF3">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本合同专机专用耗材供货期限为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叁</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年，自本合同设备经总体验收合格之日起算；供应期限内，如甲方停止使用</w:t>
      </w:r>
      <w:r>
        <w:rPr>
          <w:rFonts w:hint="eastAsia" w:ascii="宋体" w:hAnsi="宋体" w:eastAsia="宋体" w:cs="宋体"/>
          <w:color w:val="000000" w:themeColor="text1"/>
          <w:sz w:val="24"/>
          <w:u w:val="single"/>
          <w:lang w:val="en-US" w:eastAsia="zh-CN"/>
          <w14:textFill>
            <w14:solidFill>
              <w14:schemeClr w14:val="tx1"/>
            </w14:solidFill>
          </w14:textFill>
        </w:rPr>
        <w:t xml:space="preserve"> 过氧化氢低温等离子体灭菌器（双门 )</w:t>
      </w:r>
      <w:r>
        <w:rPr>
          <w:rFonts w:hint="eastAsia" w:ascii="宋体" w:hAnsi="宋体" w:eastAsia="宋体" w:cs="宋体"/>
          <w:color w:val="000000" w:themeColor="text1"/>
          <w:kern w:val="0"/>
          <w:sz w:val="24"/>
          <w14:textFill>
            <w14:solidFill>
              <w14:schemeClr w14:val="tx1"/>
            </w14:solidFill>
          </w14:textFill>
        </w:rPr>
        <w:t>设备，</w:t>
      </w:r>
      <w:r>
        <w:rPr>
          <w:rFonts w:hint="eastAsia" w:ascii="宋体" w:hAnsi="宋体" w:eastAsia="宋体" w:cs="宋体"/>
          <w:color w:val="000000" w:themeColor="text1"/>
          <w:sz w:val="24"/>
          <w14:textFill>
            <w14:solidFill>
              <w14:schemeClr w14:val="tx1"/>
            </w14:solidFill>
          </w14:textFill>
        </w:rPr>
        <w:t>专机</w:t>
      </w:r>
      <w:r>
        <w:rPr>
          <w:rFonts w:hint="eastAsia" w:ascii="宋体" w:hAnsi="宋体" w:eastAsia="宋体" w:cs="宋体"/>
          <w:color w:val="000000" w:themeColor="text1"/>
          <w:kern w:val="0"/>
          <w:sz w:val="24"/>
          <w14:textFill>
            <w14:solidFill>
              <w14:schemeClr w14:val="tx1"/>
            </w14:solidFill>
          </w14:textFill>
        </w:rPr>
        <w:t xml:space="preserve">专用耗材供应自动终止。 </w:t>
      </w:r>
    </w:p>
    <w:p w14:paraId="74F6B48D">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1.2.3 本合同耗材约定价格包括但不限于材料费、运输费、包装费、装卸费、搬运费、附随服务费、税费、保险费等。</w:t>
      </w:r>
    </w:p>
    <w:p w14:paraId="6F8006CA">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1.2.4 本合同耗材供货期限内，如遇政府政策性或交易平台调价：调整后的价格低于本合同价格的，自调价之后发送的书面订单一律按调整后的价格执行；</w:t>
      </w:r>
      <w:r>
        <w:rPr>
          <w:rFonts w:hint="eastAsia" w:ascii="宋体" w:hAnsi="宋体" w:eastAsia="宋体" w:cs="宋体"/>
          <w:color w:val="000000" w:themeColor="text1"/>
          <w:sz w:val="24"/>
          <w:u w:val="single"/>
          <w14:textFill>
            <w14:solidFill>
              <w14:schemeClr w14:val="tx1"/>
            </w14:solidFill>
          </w14:textFill>
        </w:rPr>
        <w:t>调整后的价格高于本合同价格的，原则上按本合同约定价格执行，如乙方因特殊情况需要调整，应先书面通知甲方，经甲乙双方协商一致后按协商后的价格执行，如双方无法达成一致，甲方有权对该耗材公开遴选。</w:t>
      </w:r>
      <w:r>
        <w:rPr>
          <w:rFonts w:hint="eastAsia" w:ascii="宋体" w:hAnsi="宋体" w:eastAsia="宋体" w:cs="宋体"/>
          <w:b/>
          <w:bCs/>
          <w:color w:val="000000" w:themeColor="text1"/>
          <w:sz w:val="24"/>
          <w:u w:val="single"/>
          <w14:textFill>
            <w14:solidFill>
              <w14:schemeClr w14:val="tx1"/>
            </w14:solidFill>
          </w14:textFill>
        </w:rPr>
        <w:t>本合同约定的医用耗材集采后，甲方库存中剩余耗材均按新的集采价格进行结算。</w:t>
      </w:r>
    </w:p>
    <w:p w14:paraId="4E6A7F4B">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1.2.5 如无政府政策性或交易平台调价，甲方接受乙方对本合同约定价格进行下调，自乙方发出价格下调通知之日起，甲方发送的书面订单一律按下调后的价格执行。</w:t>
      </w:r>
    </w:p>
    <w:p w14:paraId="1191888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1.2.6 乙方承诺严格遵守法律法规、政策和甲方制度履行合同，接受甲方供应商管理考核，无条件配合甲方管理，包括但不限于配合甲方耗材HRP系统信息录入、赋码、耗材SPD配送管理等工作，因SPD配送产生的服务费用由乙方自行承担。</w:t>
      </w:r>
    </w:p>
    <w:p w14:paraId="352D628E">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 xml:space="preserve">第二条  </w:t>
      </w:r>
      <w:r>
        <w:rPr>
          <w:rFonts w:ascii="宋体" w:hAnsi="宋体" w:eastAsia="宋体" w:cs="宋体"/>
          <w:b/>
          <w:bCs/>
          <w:sz w:val="24"/>
        </w:rPr>
        <w:t>交货时间、地点、运输及装卸</w:t>
      </w:r>
    </w:p>
    <w:p w14:paraId="1081E650">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2.1  设备</w:t>
      </w:r>
      <w:r>
        <w:rPr>
          <w:rFonts w:ascii="宋体" w:hAnsi="宋体" w:eastAsia="宋体" w:cs="宋体"/>
          <w:b/>
          <w:bCs/>
          <w:sz w:val="24"/>
        </w:rPr>
        <w:t>交货时间地点、运输及装卸</w:t>
      </w:r>
    </w:p>
    <w:p w14:paraId="2204A12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2.1.1</w:t>
      </w:r>
      <w:r>
        <w:rPr>
          <w:rFonts w:ascii="宋体" w:hAnsi="宋体" w:eastAsia="宋体" w:cs="宋体"/>
          <w:color w:val="000000" w:themeColor="text1"/>
          <w:sz w:val="24"/>
          <w14:textFill>
            <w14:solidFill>
              <w14:schemeClr w14:val="tx1"/>
            </w14:solidFill>
          </w14:textFill>
        </w:rPr>
        <w:t>乙方应</w:t>
      </w:r>
      <w:r>
        <w:rPr>
          <w:rFonts w:hint="eastAsia" w:ascii="宋体" w:hAnsi="宋体" w:eastAsia="宋体" w:cs="宋体"/>
          <w:color w:val="000000" w:themeColor="text1"/>
          <w:sz w:val="24"/>
          <w14:textFill>
            <w14:solidFill>
              <w14:schemeClr w14:val="tx1"/>
            </w14:solidFill>
          </w14:textFill>
        </w:rPr>
        <w:t>在签订合同后</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将设备运至</w:t>
      </w:r>
      <w:r>
        <w:rPr>
          <w:rFonts w:hint="eastAsia" w:ascii="宋体" w:hAnsi="宋体" w:eastAsia="宋体" w:cs="宋体"/>
          <w:color w:val="000000" w:themeColor="text1"/>
          <w:sz w:val="24"/>
          <w14:textFill>
            <w14:solidFill>
              <w14:schemeClr w14:val="tx1"/>
            </w14:solidFill>
          </w14:textFill>
        </w:rPr>
        <w:t>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并在设备到甲方指定交货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后</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完成安装、调试，办理验收手续并交付甲方</w:t>
      </w:r>
      <w:r>
        <w:rPr>
          <w:rFonts w:ascii="宋体" w:hAnsi="宋体" w:eastAsia="宋体" w:cs="宋体"/>
          <w:sz w:val="24"/>
        </w:rPr>
        <w:t>使用。</w:t>
      </w:r>
    </w:p>
    <w:p w14:paraId="4F2FE51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ascii="宋体" w:hAnsi="宋体" w:eastAsia="宋体" w:cs="宋体"/>
          <w:sz w:val="24"/>
        </w:rPr>
        <w:t>2</w:t>
      </w:r>
      <w:r>
        <w:rPr>
          <w:rFonts w:hint="eastAsia" w:ascii="宋体" w:hAnsi="宋体" w:eastAsia="宋体" w:cs="宋体"/>
          <w:sz w:val="24"/>
        </w:rPr>
        <w:t>.1.2 甲方指定</w:t>
      </w:r>
      <w:r>
        <w:rPr>
          <w:rFonts w:ascii="宋体" w:hAnsi="宋体" w:eastAsia="宋体" w:cs="宋体"/>
          <w:sz w:val="24"/>
        </w:rPr>
        <w:t>交货地点：娄底市中心医院</w:t>
      </w:r>
      <w:r>
        <w:rPr>
          <w:rFonts w:hint="eastAsia" w:ascii="宋体" w:hAnsi="宋体" w:eastAsia="宋体" w:cs="宋体"/>
          <w:sz w:val="24"/>
        </w:rPr>
        <w:t>设备科</w:t>
      </w:r>
      <w:r>
        <w:rPr>
          <w:rFonts w:ascii="宋体" w:hAnsi="宋体" w:eastAsia="宋体" w:cs="宋体"/>
          <w:sz w:val="24"/>
        </w:rPr>
        <w:t>（湖南省娄底市</w:t>
      </w:r>
      <w:r>
        <w:rPr>
          <w:rFonts w:hint="eastAsia" w:ascii="宋体" w:hAnsi="宋体" w:eastAsia="宋体" w:cs="宋体"/>
          <w:sz w:val="24"/>
        </w:rPr>
        <w:t>娄星区</w:t>
      </w:r>
      <w:r>
        <w:rPr>
          <w:rFonts w:ascii="宋体" w:hAnsi="宋体" w:eastAsia="宋体" w:cs="宋体"/>
          <w:sz w:val="24"/>
        </w:rPr>
        <w:t xml:space="preserve">长青中街51号）。 </w:t>
      </w:r>
    </w:p>
    <w:p w14:paraId="7D3029E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2.1.3  </w:t>
      </w:r>
      <w:r>
        <w:rPr>
          <w:rFonts w:ascii="宋体" w:hAnsi="宋体" w:eastAsia="宋体" w:cs="宋体"/>
          <w:sz w:val="24"/>
        </w:rPr>
        <w:t>运输及装卸：由乙方自备交通运输工具将设备运至合同约定地点，并负责设备装卸</w:t>
      </w:r>
      <w:r>
        <w:rPr>
          <w:rFonts w:hint="eastAsia" w:ascii="宋体" w:hAnsi="宋体" w:eastAsia="宋体" w:cs="宋体"/>
          <w:sz w:val="24"/>
        </w:rPr>
        <w:t>的人工及费用</w:t>
      </w:r>
      <w:r>
        <w:rPr>
          <w:rFonts w:ascii="宋体" w:hAnsi="宋体" w:eastAsia="宋体" w:cs="宋体"/>
          <w:sz w:val="24"/>
        </w:rPr>
        <w:t>。</w:t>
      </w:r>
    </w:p>
    <w:p w14:paraId="25CDE4E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2.2 设备专机专用耗材交货时间地点、运输及装卸</w:t>
      </w:r>
    </w:p>
    <w:p w14:paraId="4682811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2.2.1 交货时间：乙方自甲方发送专机专用耗材书面订单之日起</w:t>
      </w:r>
      <w:r>
        <w:rPr>
          <w:rFonts w:hint="eastAsia" w:ascii="宋体" w:hAnsi="宋体" w:eastAsia="宋体" w:cs="宋体"/>
          <w:color w:val="000000" w:themeColor="text1"/>
          <w:sz w:val="24"/>
          <w:u w:val="single"/>
          <w:lang w:val="en-US" w:eastAsia="zh-CN"/>
          <w14:textFill>
            <w14:solidFill>
              <w14:schemeClr w14:val="tx1"/>
            </w14:solidFill>
          </w14:textFill>
        </w:rPr>
        <w:t>5</w:t>
      </w:r>
      <w:r>
        <w:rPr>
          <w:rFonts w:hint="eastAsia" w:ascii="宋体" w:hAnsi="宋体" w:eastAsia="宋体" w:cs="宋体"/>
          <w:color w:val="000000" w:themeColor="text1"/>
          <w:sz w:val="24"/>
          <w14:textFill>
            <w14:solidFill>
              <w14:schemeClr w14:val="tx1"/>
            </w14:solidFill>
          </w14:textFill>
        </w:rPr>
        <w:t>日内，按书面订单要求将耗材送至甲方指定地点，非工作日、节假日正常执行。</w:t>
      </w:r>
    </w:p>
    <w:p w14:paraId="2EB04C3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2.2.2 交货地点：娄底市中心医院设备科仓库，指定收货人：娄底市中心医院设备科仓库管理员。</w:t>
      </w:r>
    </w:p>
    <w:p w14:paraId="0DFD963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2.2.3 由乙方自备交通运输工具将耗材运至合同约定地点，并负责</w:t>
      </w:r>
      <w:r>
        <w:rPr>
          <w:rFonts w:hint="eastAsia" w:ascii="宋体" w:hAnsi="宋体" w:eastAsia="宋体" w:cs="宋体"/>
          <w:color w:val="000000" w:themeColor="text1"/>
          <w:sz w:val="24"/>
          <w:lang w:val="en-US" w:eastAsia="zh-CN"/>
          <w14:textFill>
            <w14:solidFill>
              <w14:schemeClr w14:val="tx1"/>
            </w14:solidFill>
          </w14:textFill>
        </w:rPr>
        <w:t>耗材</w:t>
      </w:r>
      <w:r>
        <w:rPr>
          <w:rFonts w:hint="eastAsia" w:ascii="宋体" w:hAnsi="宋体" w:eastAsia="宋体" w:cs="宋体"/>
          <w:color w:val="000000" w:themeColor="text1"/>
          <w:sz w:val="24"/>
          <w14:textFill>
            <w14:solidFill>
              <w14:schemeClr w14:val="tx1"/>
            </w14:solidFill>
          </w14:textFill>
        </w:rPr>
        <w:t>装卸的人工及费用。</w:t>
      </w:r>
    </w:p>
    <w:p w14:paraId="46F3C4ED">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sz w:val="24"/>
        </w:rPr>
      </w:pPr>
      <w:r>
        <w:rPr>
          <w:rFonts w:hint="eastAsia" w:ascii="宋体" w:hAnsi="宋体" w:eastAsia="宋体" w:cs="宋体"/>
          <w:b/>
          <w:bCs/>
          <w:color w:val="000000" w:themeColor="text1"/>
          <w:sz w:val="24"/>
          <w14:textFill>
            <w14:solidFill>
              <w14:schemeClr w14:val="tx1"/>
            </w14:solidFill>
          </w14:textFill>
        </w:rPr>
        <w:t>第三条 质量标准、质量验收、包装要求</w:t>
      </w:r>
    </w:p>
    <w:p w14:paraId="5DFB149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3.1  设备质量标准、质量验收、包装要求</w:t>
      </w:r>
    </w:p>
    <w:p w14:paraId="7B0A507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z w:val="24"/>
        </w:rPr>
        <w:t xml:space="preserve">3.1.1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提供设备的质量、安装应符合或优于国家标准；如投标文件/响应文件中的技术参数和质量标准高于国家标准，则设备的技术参数和质量标准以投标文件/响应文件为准；如乙方应交付的设备属于国产设备，则应保证该设备为交付时起近6个月内生产的产品；如乙方应交付的设备属于进口设备，则应保证该设备为交付时起近一年内生产的产品。</w:t>
      </w:r>
    </w:p>
    <w:p w14:paraId="013E128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3.1.2 设备质量验收：以本合同约定标准按以下方式进行验收： </w:t>
      </w:r>
    </w:p>
    <w:p w14:paraId="6A8E551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sz w:val="24"/>
          <w:u w:val="single"/>
          <w:lang w:val="en-US" w:eastAsia="zh-CN"/>
        </w:rPr>
        <w:t>7</w:t>
      </w:r>
      <w:r>
        <w:rPr>
          <w:rFonts w:hint="eastAsia" w:ascii="宋体" w:hAnsi="宋体" w:eastAsia="宋体" w:cs="宋体"/>
          <w:sz w:val="24"/>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sz w:val="24"/>
          <w:u w:val="single"/>
          <w:lang w:val="en-US" w:eastAsia="zh-CN"/>
        </w:rPr>
        <w:t>7</w:t>
      </w:r>
      <w:r>
        <w:rPr>
          <w:rFonts w:hint="eastAsia" w:ascii="宋体" w:hAnsi="宋体" w:eastAsia="宋体" w:cs="宋体"/>
          <w:sz w:val="24"/>
        </w:rPr>
        <w:t>日内无条件予以更换。</w:t>
      </w:r>
    </w:p>
    <w:p w14:paraId="0AEF15E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3.1.2.2 设备总体验收：乙方将设备全部拆包、安装、调试后应及时通知甲方，甲方自接到乙方通知之日起</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日内无条件予以返工并承担所有费用。</w:t>
      </w:r>
    </w:p>
    <w:p w14:paraId="3D0AD80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3.1.2.3 甲方验收时如发现乙方所交付、安装的设备不符合本</w:t>
      </w:r>
      <w:r>
        <w:rPr>
          <w:rFonts w:hint="eastAsia" w:ascii="宋体" w:hAnsi="宋体" w:eastAsia="宋体" w:cs="宋体"/>
          <w:sz w:val="24"/>
        </w:rPr>
        <w:t>合同约定，甲方应做出详尽的现场记录，由甲乙双方签署备忘录，该现场记录和备忘录作为乙方补交缺少部件、更换不符标准部件的有效依据，由此产生的一切经济损失由乙方承担。</w:t>
      </w:r>
    </w:p>
    <w:p w14:paraId="1C44D64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3.1.3 包装要求：乙方提供的设备必须为原厂包装，外包装到货时应保证完好无损，否则甲方有权拒绝收货，由此造成的延期交货违约责任和一切经济损失全部由乙方承担。</w:t>
      </w:r>
    </w:p>
    <w:p w14:paraId="2D731172">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3.2 专机专用耗材质量标准、质量验收、包装要求</w:t>
      </w:r>
    </w:p>
    <w:p w14:paraId="6E5F57F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FF"/>
          <w:sz w:val="24"/>
        </w:rPr>
      </w:pPr>
      <w:r>
        <w:rPr>
          <w:rFonts w:hint="eastAsia" w:ascii="宋体" w:hAnsi="宋体" w:eastAsia="宋体" w:cs="宋体"/>
          <w:sz w:val="24"/>
        </w:rPr>
        <w:t>3.2.1 国内生产的耗材应当符合国家质量标准和行业强制性标准；进口耗材须具备进口医用耗材注册证、批件，口岸药检所出具的检验报告书或注明“已抽样”的通关单；乙方送交的耗材均应提供相应合格证书。</w:t>
      </w:r>
    </w:p>
    <w:p w14:paraId="372D290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sz w:val="24"/>
        </w:rPr>
        <w:t>3.2.2 耗材质量验收：甲方每次收到乙方提供耗材时，应组织人员对耗材的数量、包装、有效期等外观进行验收，乙方提供的耗材外观标准与中标（挂网）医用耗材目录品种信息和甲方书面订单要求相符的，甲方在乙方送货单上签字确认验收；乙方提供的医用耗材外观标准与中标（挂网）医用耗材目录品种信息、甲方订单要求不符的，</w:t>
      </w:r>
      <w:r>
        <w:rPr>
          <w:rFonts w:hint="eastAsia" w:ascii="宋体" w:hAnsi="宋体" w:eastAsia="宋体" w:cs="宋体"/>
          <w:color w:val="000000" w:themeColor="text1"/>
          <w:kern w:val="0"/>
          <w:sz w:val="24"/>
          <w14:textFill>
            <w14:solidFill>
              <w14:schemeClr w14:val="tx1"/>
            </w14:solidFill>
          </w14:textFill>
        </w:rPr>
        <w:t>甲方有权拒收。乙方应在甲方拒收之日起</w:t>
      </w:r>
      <w:r>
        <w:rPr>
          <w:rFonts w:hint="eastAsia" w:ascii="宋体" w:hAnsi="宋体" w:eastAsia="宋体" w:cs="宋体"/>
          <w:color w:val="000000" w:themeColor="text1"/>
          <w:kern w:val="0"/>
          <w:sz w:val="24"/>
          <w:u w:val="single"/>
          <w:lang w:val="en-US" w:eastAsia="zh-CN"/>
          <w14:textFill>
            <w14:solidFill>
              <w14:schemeClr w14:val="tx1"/>
            </w14:solidFill>
          </w14:textFill>
        </w:rPr>
        <w:t>3</w:t>
      </w:r>
      <w:r>
        <w:rPr>
          <w:rFonts w:hint="eastAsia" w:ascii="宋体" w:hAnsi="宋体" w:eastAsia="宋体" w:cs="宋体"/>
          <w:color w:val="000000" w:themeColor="text1"/>
          <w:kern w:val="0"/>
          <w:sz w:val="24"/>
          <w14:textFill>
            <w14:solidFill>
              <w14:schemeClr w14:val="tx1"/>
            </w14:solidFill>
          </w14:textFill>
        </w:rPr>
        <w:t>日内，向甲方更换合格的医用耗材。</w:t>
      </w:r>
    </w:p>
    <w:p w14:paraId="32D2E16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3.2.3 效期要求：乙方提供的耗材效期须在12个月以上，如乙方提供的医用耗材效期少于12个月的，甲方有权拒收，乙方应在甲方拒收之日起</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日内，向甲方更换符合效期要求的医用耗材。</w:t>
      </w:r>
    </w:p>
    <w:p w14:paraId="04B2638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3.2.4 包装要求：医用耗材包装须与交易平台上中标（挂网）医用耗材的信息一致，包装为原产包装且应完全无损，如甲方对包装有特殊要求时，乙方应按甲方订单要求包装。</w:t>
      </w:r>
    </w:p>
    <w:p w14:paraId="6B67BD2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第四条 安装、培训、通知等事项</w:t>
      </w:r>
    </w:p>
    <w:p w14:paraId="4DDF907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  甲方负责协调、处理与安装、调试有关事宜，为乙方创造良好的安装、调试环境。</w:t>
      </w:r>
    </w:p>
    <w:p w14:paraId="230DA5B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  甲方委派</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14:textFill>
            <w14:solidFill>
              <w14:schemeClr w14:val="tx1"/>
            </w14:solidFill>
          </w14:textFill>
        </w:rPr>
        <w:t>作为代表，跟踪、检查安装、调试现场。</w:t>
      </w:r>
    </w:p>
    <w:p w14:paraId="543C5E9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  乙方负责对甲方的操作人员进行免费培训。</w:t>
      </w:r>
    </w:p>
    <w:p w14:paraId="5C8B548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4.4  乙方在安装、调试过程中应加强操作人员的安全教育，杜绝安全事故的发生。 </w:t>
      </w:r>
    </w:p>
    <w:p w14:paraId="0D18620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第五条 售后服务</w:t>
      </w:r>
    </w:p>
    <w:p w14:paraId="301825AE">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5.1 设备售后服务</w:t>
      </w:r>
    </w:p>
    <w:p w14:paraId="1416D1D1">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5.1.1 本合同设备质保期为</w:t>
      </w:r>
      <w:r>
        <w:rPr>
          <w:rFonts w:hint="eastAsia" w:ascii="宋体" w:hAnsi="宋体" w:eastAsia="宋体" w:cs="宋体"/>
          <w:color w:val="000000" w:themeColor="text1"/>
          <w:sz w:val="24"/>
          <w:u w:val="single"/>
          <w:lang w:val="en-US" w:eastAsia="zh-CN"/>
          <w14:textFill>
            <w14:solidFill>
              <w14:schemeClr w14:val="tx1"/>
            </w14:solidFill>
          </w14:textFill>
        </w:rPr>
        <w:t xml:space="preserve"> 叁 </w:t>
      </w:r>
      <w:r>
        <w:rPr>
          <w:rFonts w:hint="eastAsia" w:ascii="宋体" w:hAnsi="宋体" w:eastAsia="宋体" w:cs="宋体"/>
          <w:color w:val="000000" w:themeColor="text1"/>
          <w:sz w:val="24"/>
          <w14:textFill>
            <w14:solidFill>
              <w14:schemeClr w14:val="tx1"/>
            </w14:solidFill>
          </w14:textFill>
        </w:rPr>
        <w:t>年，自甲方在总体验收报告单上签字确认合格之日起算。</w:t>
      </w:r>
    </w:p>
    <w:p w14:paraId="1158416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5.1.2  乙方在质保期内免费提供设备维修、更换、保养、咨询等服务。如设备在质保期内出现质量问题，乙方应在接到甲方通知（包括电话通知）后</w:t>
      </w:r>
      <w:r>
        <w:rPr>
          <w:rFonts w:hint="eastAsia" w:ascii="宋体" w:hAnsi="宋体" w:eastAsia="宋体" w:cs="宋体"/>
          <w:color w:val="000000" w:themeColor="text1"/>
          <w:sz w:val="24"/>
          <w:u w:val="single"/>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小时内响应，响应后</w:t>
      </w:r>
      <w:r>
        <w:rPr>
          <w:rFonts w:hint="eastAsia" w:ascii="宋体" w:hAnsi="宋体" w:eastAsia="宋体" w:cs="宋体"/>
          <w:color w:val="000000" w:themeColor="text1"/>
          <w:sz w:val="24"/>
          <w:u w:val="single"/>
          <w14:textFill>
            <w14:solidFill>
              <w14:schemeClr w14:val="tx1"/>
            </w14:solidFill>
          </w14:textFill>
        </w:rPr>
        <w:t>24</w:t>
      </w:r>
      <w:r>
        <w:rPr>
          <w:rFonts w:hint="eastAsia" w:ascii="宋体" w:hAnsi="宋体" w:eastAsia="宋体" w:cs="宋体"/>
          <w:color w:val="000000" w:themeColor="text1"/>
          <w:sz w:val="24"/>
          <w14:textFill>
            <w14:solidFill>
              <w14:schemeClr w14:val="tx1"/>
            </w14:solidFill>
          </w14:textFill>
        </w:rPr>
        <w:t>小时内赶到甲方提供服务，相关费用由乙方承担。如乙方不及时提供服务，甲方有权委托第三方提供维修、更换、保养、咨询等服务，由此产生的相关费用，甲方有权在应付款中扣除、不足部分由乙方另行补足，或要求乙方将第三方提供服务产生的相关费用直接支付给甲方。</w:t>
      </w:r>
    </w:p>
    <w:p w14:paraId="473AE53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5.1.3  质保期内，乙方每年至少对设备进行一次巡检并向甲方提交巡检记录。</w:t>
      </w:r>
    </w:p>
    <w:p w14:paraId="4EAAC31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5.1.4  质保期届满后，如设备出现问题，乙方应在接到甲方通知（包括电话通知）24小时响应，响应后4小时上门服务，相关费用由甲方承担。</w:t>
      </w:r>
    </w:p>
    <w:p w14:paraId="7B989AD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5.2 耗材售后服务</w:t>
      </w:r>
    </w:p>
    <w:p w14:paraId="721606B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5.2.1 在乙方提供耗材的标识标注的有效期内，如出现质量问题，乙方应在接到甲方通知（包括电话通知）后1小时内响应，响应后24小时内赶到甲方提供更换服务，相关费用由乙方承担。</w:t>
      </w:r>
    </w:p>
    <w:p w14:paraId="2905917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5.2.2 乙方提供的耗材应为符合国家质量标准的合格产品且所有证件、手续合法齐全，如因产品质量原因或手续不齐不合法或未按要求储存、运输（冷链）、包装等给甲方造成损失和不良影响全部由乙方负责。</w:t>
      </w:r>
    </w:p>
    <w:p w14:paraId="1F476B2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5.3 乙方须指派</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14:textFill>
            <w14:solidFill>
              <w14:schemeClr w14:val="tx1"/>
            </w14:solidFill>
          </w14:textFill>
        </w:rPr>
        <w:t>，专门负责与甲方联系本合同售后服务事宜，如人员及联系电话发生变动，应及时通知甲方。</w:t>
      </w:r>
    </w:p>
    <w:p w14:paraId="714154F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第六条 结算、付款方式</w:t>
      </w:r>
    </w:p>
    <w:p w14:paraId="1662C8B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6.1  设备结算</w:t>
      </w:r>
    </w:p>
    <w:p w14:paraId="09672EE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6.1.1 甲方在设备总体验收报告单上签字确认合格之日起4个月内，向乙方支付设备结算价款的90%；余款10%，甲方在质保期届满且不存在需被扣除情形之日起10个工作日内，免息支付给乙方。</w:t>
      </w:r>
    </w:p>
    <w:p w14:paraId="4B5340D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6.1.2 乙方应在甲方首次支付设备货款前，向甲方提供以乙方自己名义开具的与设备结算价款对应的增值税普通发票，如乙方未及时提供发票，甲方有权顺延付款，由此产生的责任均由乙方自行承担。</w:t>
      </w:r>
    </w:p>
    <w:p w14:paraId="1C51A00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6.1.3 乙方开具的发票金额应与设备总体验收报告单内容一致，甲方不支付超出设备总体验收报告单内容以外的任何费用。</w:t>
      </w:r>
    </w:p>
    <w:p w14:paraId="22149DEE">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6.2  耗材结算：</w:t>
      </w:r>
    </w:p>
    <w:p w14:paraId="022C62B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耗材结算价款</w:t>
      </w:r>
      <w:r>
        <w:rPr>
          <w:rFonts w:ascii="宋体" w:hAnsi="宋体" w:eastAsia="宋体" w:cs="宋体"/>
          <w:color w:val="000000" w:themeColor="text1"/>
          <w:sz w:val="24"/>
          <w14:textFill>
            <w14:solidFill>
              <w14:schemeClr w14:val="tx1"/>
            </w14:solidFill>
          </w14:textFill>
        </w:rPr>
        <w:t>根据</w:t>
      </w:r>
      <w:r>
        <w:rPr>
          <w:rFonts w:hint="eastAsia" w:ascii="宋体" w:hAnsi="宋体" w:eastAsia="宋体" w:cs="宋体"/>
          <w:color w:val="000000" w:themeColor="text1"/>
          <w:sz w:val="24"/>
          <w14:textFill>
            <w14:solidFill>
              <w14:schemeClr w14:val="tx1"/>
            </w14:solidFill>
          </w14:textFill>
        </w:rPr>
        <w:t>甲方的</w:t>
      </w:r>
      <w:r>
        <w:rPr>
          <w:rFonts w:ascii="宋体" w:hAnsi="宋体" w:eastAsia="宋体" w:cs="宋体"/>
          <w:color w:val="000000" w:themeColor="text1"/>
          <w:sz w:val="24"/>
          <w14:textFill>
            <w14:solidFill>
              <w14:schemeClr w14:val="tx1"/>
            </w14:solidFill>
          </w14:textFill>
        </w:rPr>
        <w:t>书面订单、经甲方签字确认的乙方送货单按</w:t>
      </w:r>
      <w:r>
        <w:rPr>
          <w:rFonts w:hint="eastAsia" w:ascii="宋体" w:hAnsi="宋体" w:eastAsia="宋体" w:cs="宋体"/>
          <w:color w:val="000000" w:themeColor="text1"/>
          <w:sz w:val="24"/>
          <w:u w:val="single"/>
          <w:lang w:val="en-US" w:eastAsia="zh-CN"/>
          <w14:textFill>
            <w14:solidFill>
              <w14:schemeClr w14:val="tx1"/>
            </w14:solidFill>
          </w14:textFill>
        </w:rPr>
        <w:t>月</w:t>
      </w:r>
      <w:r>
        <w:rPr>
          <w:rFonts w:hint="eastAsia" w:ascii="宋体" w:hAnsi="宋体" w:eastAsia="宋体" w:cs="宋体"/>
          <w:color w:val="000000" w:themeColor="text1"/>
          <w:sz w:val="24"/>
          <w14:textFill>
            <w14:solidFill>
              <w14:schemeClr w14:val="tx1"/>
            </w14:solidFill>
          </w14:textFill>
        </w:rPr>
        <w:t>据实</w:t>
      </w:r>
      <w:r>
        <w:rPr>
          <w:rFonts w:ascii="宋体" w:hAnsi="宋体" w:eastAsia="宋体" w:cs="宋体"/>
          <w:color w:val="000000" w:themeColor="text1"/>
          <w:sz w:val="24"/>
          <w14:textFill>
            <w14:solidFill>
              <w14:schemeClr w14:val="tx1"/>
            </w14:solidFill>
          </w14:textFill>
        </w:rPr>
        <w:t>结算</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乙方应向甲方提供以乙方名义开具的与</w:t>
      </w:r>
      <w:r>
        <w:rPr>
          <w:rFonts w:hint="eastAsia" w:ascii="宋体" w:hAnsi="宋体" w:eastAsia="宋体" w:cs="宋体"/>
          <w:color w:val="000000" w:themeColor="text1"/>
          <w:sz w:val="24"/>
          <w14:textFill>
            <w14:solidFill>
              <w14:schemeClr w14:val="tx1"/>
            </w14:solidFill>
          </w14:textFill>
        </w:rPr>
        <w:t>该批次</w:t>
      </w:r>
      <w:r>
        <w:rPr>
          <w:rFonts w:ascii="宋体" w:hAnsi="宋体" w:eastAsia="宋体" w:cs="宋体"/>
          <w:color w:val="000000" w:themeColor="text1"/>
          <w:sz w:val="24"/>
          <w14:textFill>
            <w14:solidFill>
              <w14:schemeClr w14:val="tx1"/>
            </w14:solidFill>
          </w14:textFill>
        </w:rPr>
        <w:t>结算金额对应的增值税普通发票；如乙方未能及时提供符合约定的发票，甲方有权顺延付款期限</w:t>
      </w:r>
      <w:r>
        <w:rPr>
          <w:rFonts w:hint="eastAsia" w:ascii="宋体" w:hAnsi="宋体" w:eastAsia="宋体" w:cs="宋体"/>
          <w:color w:val="000000" w:themeColor="text1"/>
          <w:sz w:val="24"/>
          <w14:textFill>
            <w14:solidFill>
              <w14:schemeClr w14:val="tx1"/>
            </w14:solidFill>
          </w14:textFill>
        </w:rPr>
        <w:t>，由此产生的责任均由乙方自行承担</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甲方自收到乙方发票且财务入账后180日内（如遇特殊情况顺延）向乙方支付该批次结算价款</w:t>
      </w:r>
      <w:r>
        <w:rPr>
          <w:rFonts w:ascii="宋体" w:hAnsi="宋体" w:eastAsia="宋体" w:cs="宋体"/>
          <w:color w:val="000000" w:themeColor="text1"/>
          <w:sz w:val="24"/>
          <w14:textFill>
            <w14:solidFill>
              <w14:schemeClr w14:val="tx1"/>
            </w14:solidFill>
          </w14:textFill>
        </w:rPr>
        <w:t>。</w:t>
      </w:r>
    </w:p>
    <w:p w14:paraId="536AD74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6.3  乙方委派</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与甲方办理结算手续。</w:t>
      </w:r>
    </w:p>
    <w:p w14:paraId="0427D7B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6.4  甲方通过银行转账方式向乙方指定银行账户支付设备和耗材结算价款，乙方指定账户：</w:t>
      </w:r>
    </w:p>
    <w:p w14:paraId="3A2BFE8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户</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名：</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eastAsia="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p>
    <w:p w14:paraId="5119AE3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开户银行：</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p>
    <w:p w14:paraId="38F9228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账</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号：</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p>
    <w:p w14:paraId="754895AF">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第七条 风险承担</w:t>
      </w:r>
    </w:p>
    <w:p w14:paraId="438DC13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0AC1FB4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7.2  设备毁损、丢失的风险自甲方在设备总体验收报告单上签字确认合格后转移给甲方；医用耗材毁损、灭失的风险自甲方在供货单上签字验收之日起转移给甲方。</w:t>
      </w:r>
    </w:p>
    <w:p w14:paraId="6F05E7F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7.3  如耗材在有效期内出现质量问题，给甲方、乙方或第三方人身、财产造成的所有损失，均由乙方负责处理和承担全部法律责任、经济赔偿。</w:t>
      </w:r>
    </w:p>
    <w:p w14:paraId="62F149B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7.4  乙方确保本合同约定设备及耗材的权利均无瑕疵，包括所有权及知识产权等权利，否则由乙方承担全部法律责任和经济赔偿。</w:t>
      </w:r>
    </w:p>
    <w:p w14:paraId="7FC294CD">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第八条 廉洁条款</w:t>
      </w:r>
    </w:p>
    <w:p w14:paraId="639173C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DEE78A8">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u w:val="single"/>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 xml:space="preserve">8.2 </w:t>
      </w:r>
      <w:r>
        <w:rPr>
          <w:rFonts w:ascii="宋体" w:hAnsi="宋体" w:eastAsia="宋体" w:cs="宋体"/>
          <w:b/>
          <w:bCs/>
          <w:color w:val="000000" w:themeColor="text1"/>
          <w:sz w:val="24"/>
          <w:u w:val="single"/>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5A1FD38">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第九条 保密条款</w:t>
      </w:r>
    </w:p>
    <w:p w14:paraId="2CCA3F0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85FF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2A34F60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9.3 因乙方未履行本合同保密义务造成甲方或第三方损失的，由乙方承担全部赔偿责任。</w:t>
      </w:r>
    </w:p>
    <w:p w14:paraId="55D43DB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 本合同保密条款在合同被认定无效、被撤销或终止、解除后仍然有效。</w:t>
      </w:r>
    </w:p>
    <w:p w14:paraId="48CED93F">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 xml:space="preserve">第十条 </w:t>
      </w:r>
      <w:r>
        <w:rPr>
          <w:rFonts w:ascii="宋体" w:hAnsi="宋体" w:eastAsia="宋体" w:cs="宋体"/>
          <w:b/>
          <w:bCs/>
          <w:color w:val="000000" w:themeColor="text1"/>
          <w:sz w:val="24"/>
          <w14:textFill>
            <w14:solidFill>
              <w14:schemeClr w14:val="tx1"/>
            </w14:solidFill>
          </w14:textFill>
        </w:rPr>
        <w:t>通知</w:t>
      </w:r>
      <w:r>
        <w:rPr>
          <w:rFonts w:hint="eastAsia" w:ascii="宋体" w:hAnsi="宋体" w:eastAsia="宋体" w:cs="宋体"/>
          <w:b/>
          <w:bCs/>
          <w:color w:val="000000" w:themeColor="text1"/>
          <w:sz w:val="24"/>
          <w14:textFill>
            <w14:solidFill>
              <w14:schemeClr w14:val="tx1"/>
            </w14:solidFill>
          </w14:textFill>
        </w:rPr>
        <w:t>与送达</w:t>
      </w:r>
    </w:p>
    <w:p w14:paraId="76879E4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10.1 甲乙双方同意，与本合同有关的任何文书，应以书面方式按照本合同约定发送，书面方式包括手机短信、微信、书面函件、电子邮件等形式。</w:t>
      </w:r>
    </w:p>
    <w:p w14:paraId="7F1C1D3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10.2 双方确认的文书（包括未来可能发生的诉讼或仲裁活动中法院或仲裁机构的送达法律文书）送达地址：</w:t>
      </w:r>
    </w:p>
    <w:p w14:paraId="24A5036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10.2.1 </w:t>
      </w:r>
      <w:r>
        <w:rPr>
          <w:rFonts w:ascii="宋体" w:hAnsi="宋体" w:eastAsia="宋体" w:cs="宋体"/>
          <w:color w:val="000000" w:themeColor="text1"/>
          <w:sz w:val="24"/>
          <w14:textFill>
            <w14:solidFill>
              <w14:schemeClr w14:val="tx1"/>
            </w14:solidFill>
          </w14:textFill>
        </w:rPr>
        <w:t>甲方的联系地址：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娄底市娄星区长青中街51号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lang w:val="en-US" w:eastAsia="zh-CN"/>
          <w14:textFill>
            <w14:solidFill>
              <w14:schemeClr w14:val="tx1"/>
            </w14:solidFill>
          </w14:textFill>
        </w:rPr>
        <w:t>彭春涛</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lang w:val="en-US" w:eastAsia="zh-CN"/>
          <w14:textFill>
            <w14:solidFill>
              <w14:schemeClr w14:val="tx1"/>
            </w14:solidFill>
          </w14:textFill>
        </w:rPr>
        <w:t>13027388172</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721294732@qq.com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13027388172</w:t>
      </w:r>
      <w:r>
        <w:rPr>
          <w:rFonts w:ascii="宋体" w:hAnsi="宋体" w:eastAsia="宋体" w:cs="宋体"/>
          <w:color w:val="000000" w:themeColor="text1"/>
          <w:sz w:val="24"/>
          <w14:textFill>
            <w14:solidFill>
              <w14:schemeClr w14:val="tx1"/>
            </w14:solidFill>
          </w14:textFill>
        </w:rPr>
        <w:t>。</w:t>
      </w:r>
    </w:p>
    <w:p w14:paraId="59708EF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10.2.2 </w:t>
      </w:r>
      <w:r>
        <w:rPr>
          <w:rFonts w:ascii="宋体" w:hAnsi="宋体" w:eastAsia="宋体" w:cs="宋体"/>
          <w:color w:val="000000" w:themeColor="text1"/>
          <w:sz w:val="24"/>
          <w14:textFill>
            <w14:solidFill>
              <w14:schemeClr w14:val="tx1"/>
            </w14:solidFill>
          </w14:textFill>
        </w:rPr>
        <w:t>乙方的联系地址：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w:t>
      </w:r>
    </w:p>
    <w:p w14:paraId="2CCCBD8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7F7AC69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5190795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第十一条 合同的变更、解除</w:t>
      </w:r>
    </w:p>
    <w:p w14:paraId="5748679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 本合同经双方协商一致后可以变更，双方应另行签订补充协议。</w:t>
      </w:r>
    </w:p>
    <w:p w14:paraId="0548F4F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 乙方出现以下违约情形之一的，甲方有权拒绝支付任何价款并解除合同：</w:t>
      </w:r>
    </w:p>
    <w:p w14:paraId="2299D6D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.2.1 乙方逾期</w:t>
      </w:r>
      <w:r>
        <w:rPr>
          <w:rFonts w:hint="eastAsia" w:ascii="宋体" w:hAnsi="宋体" w:eastAsia="宋体" w:cs="宋体"/>
          <w:color w:val="000000" w:themeColor="text1"/>
          <w:sz w:val="24"/>
          <w:u w:val="single"/>
          <w14:textFill>
            <w14:solidFill>
              <w14:schemeClr w14:val="tx1"/>
            </w14:solidFill>
          </w14:textFill>
        </w:rPr>
        <w:t>30</w:t>
      </w:r>
      <w:r>
        <w:rPr>
          <w:rFonts w:hint="eastAsia" w:ascii="宋体" w:hAnsi="宋体" w:eastAsia="宋体" w:cs="宋体"/>
          <w:color w:val="000000" w:themeColor="text1"/>
          <w:sz w:val="24"/>
          <w14:textFill>
            <w14:solidFill>
              <w14:schemeClr w14:val="tx1"/>
            </w14:solidFill>
          </w14:textFill>
        </w:rPr>
        <w:t>日仍不能供货。</w:t>
      </w:r>
    </w:p>
    <w:p w14:paraId="2427FC2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.2.2 乙方提供的设备、耗材质量不符合国家标准、本合同标准或响应文件约定标准。</w:t>
      </w:r>
    </w:p>
    <w:p w14:paraId="5E33EC4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11.2.3 乙方未在甲方订单规定的时间内提供耗材，经甲方催告3次以上后仍不能提供的；或耗材经甲方验收不合格或乙方提供的耗材在有效期内出现质量问题，经连续2次更换仍不合格的；或提供的耗材、证件手续不齐，甲方不能合法使用的。</w:t>
      </w:r>
    </w:p>
    <w:p w14:paraId="44829E1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11.2.4 乙方供应的耗材被生产厂家取消配送权的；或乙方不配合耗材管理工作的，如不配合耗材HRP系统信息录入、赋码等、不配合耗材SPD配送管理、未向SPD配送公司交纳配送服务费等。</w:t>
      </w:r>
    </w:p>
    <w:p w14:paraId="0ADC0B7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11.2.5 乙方违反甲方制度的，或乙方经甲方供应商管理考核为不合格供应商的。</w:t>
      </w:r>
    </w:p>
    <w:p w14:paraId="0D4003C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11.2.6 乙方未经甲方设备科发出书面订单采购私自向甲方科室配送的。</w:t>
      </w:r>
    </w:p>
    <w:p w14:paraId="21CF27CF">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11.2.7 乙方将订单转包、分包给第三方。</w:t>
      </w:r>
    </w:p>
    <w:p w14:paraId="53C3F7D7">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11.2.8 乙方在本合同履行期间因违法行为被追究刑事责任的，或被予以吊销营业执照、取消资质等行政处罚，或乙方被接管、资金被冻结的。</w:t>
      </w:r>
    </w:p>
    <w:p w14:paraId="6BAABA0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11.2.9 其他根本违约的情形。</w:t>
      </w:r>
    </w:p>
    <w:p w14:paraId="48389AD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第十二条 违约责任</w:t>
      </w:r>
    </w:p>
    <w:p w14:paraId="5A51615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.1 甲方因11.2情形提前终止本合同或剔除部分采购内容均无须承担违约责任，乙方不得因此要求甲方予以任何经济赔偿或补偿。</w:t>
      </w:r>
    </w:p>
    <w:p w14:paraId="725F03E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如乙方未在本合同约定时间内将验收合格的设备交付给甲方使用，除应赔偿甲方因此造成的损失外，每逾期一日，按本合同约定设备总价款的千分之一向甲方支付违约金。</w:t>
      </w:r>
    </w:p>
    <w:p w14:paraId="6DBB55A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.3 如乙方未在本合同约定时间内将验收合格的耗材交付给甲方使用，除应赔偿甲方因此造成的损失外，每逾期一日，按该批次耗材结算金额的百分之五向甲方支付违约金。</w:t>
      </w:r>
    </w:p>
    <w:p w14:paraId="105AF86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000000" w:themeColor="text1"/>
          <w:sz w:val="24"/>
          <w14:textFill>
            <w14:solidFill>
              <w14:schemeClr w14:val="tx1"/>
            </w14:solidFill>
          </w14:textFill>
        </w:rPr>
        <w:t>12.4  如乙方单方解</w:t>
      </w:r>
      <w:r>
        <w:rPr>
          <w:rFonts w:hint="eastAsia" w:ascii="宋体" w:hAnsi="宋体" w:eastAsia="宋体" w:cs="宋体"/>
          <w:color w:val="auto"/>
          <w:sz w:val="24"/>
        </w:rPr>
        <w:t>除合同或甲方因</w:t>
      </w:r>
      <w:r>
        <w:rPr>
          <w:rFonts w:hint="eastAsia" w:ascii="宋体" w:hAnsi="宋体" w:eastAsia="宋体" w:cs="宋体"/>
          <w:color w:val="auto"/>
          <w:sz w:val="24"/>
          <w:lang w:val="en-US" w:eastAsia="zh-CN"/>
        </w:rPr>
        <w:t>11.2情形</w:t>
      </w:r>
      <w:r>
        <w:rPr>
          <w:rFonts w:hint="eastAsia" w:ascii="宋体" w:hAnsi="宋体" w:eastAsia="宋体" w:cs="宋体"/>
          <w:color w:val="auto"/>
          <w:sz w:val="24"/>
        </w:rPr>
        <w:t>解除合同，</w:t>
      </w:r>
      <w:r>
        <w:rPr>
          <w:rFonts w:hint="eastAsia" w:ascii="宋体" w:hAnsi="宋体" w:eastAsia="宋体" w:cs="宋体"/>
          <w:color w:val="auto"/>
          <w:sz w:val="24"/>
          <w:highlight w:val="none"/>
        </w:rPr>
        <w:t>乙方</w:t>
      </w:r>
      <w:r>
        <w:rPr>
          <w:rFonts w:hint="eastAsia" w:ascii="宋体" w:hAnsi="宋体" w:eastAsia="宋体" w:cs="宋体"/>
          <w:color w:val="auto"/>
          <w:sz w:val="24"/>
          <w:highlight w:val="none"/>
          <w:lang w:val="en-US" w:eastAsia="zh-CN"/>
        </w:rPr>
        <w:t>除</w:t>
      </w:r>
      <w:r>
        <w:rPr>
          <w:rFonts w:hint="eastAsia" w:ascii="宋体" w:hAnsi="宋体" w:eastAsia="宋体" w:cs="宋体"/>
          <w:color w:val="auto"/>
          <w:sz w:val="24"/>
          <w:highlight w:val="none"/>
        </w:rPr>
        <w:t>应赔偿给甲方造成的全部经济损失外</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还应向甲方支付违约金</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该违约金金额按以下较高者确定：（1）</w:t>
      </w:r>
      <w:r>
        <w:rPr>
          <w:rFonts w:hint="eastAsia" w:ascii="宋体" w:hAnsi="宋体" w:eastAsia="宋体" w:cs="宋体"/>
          <w:color w:val="auto"/>
          <w:sz w:val="24"/>
          <w:highlight w:val="none"/>
          <w:u w:val="single"/>
        </w:rPr>
        <w:t>10000.00</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按本合同约定</w:t>
      </w:r>
      <w:r>
        <w:rPr>
          <w:rFonts w:hint="eastAsia" w:ascii="宋体" w:hAnsi="宋体" w:eastAsia="宋体" w:cs="宋体"/>
          <w:color w:val="auto"/>
          <w:sz w:val="24"/>
          <w:highlight w:val="none"/>
        </w:rPr>
        <w:t>供货期限</w:t>
      </w:r>
      <w:r>
        <w:rPr>
          <w:rFonts w:hint="eastAsia" w:ascii="宋体" w:hAnsi="宋体" w:eastAsia="宋体" w:cs="宋体"/>
          <w:color w:val="auto"/>
          <w:sz w:val="24"/>
          <w:highlight w:val="none"/>
          <w:lang w:val="en-US" w:eastAsia="zh-CN"/>
        </w:rPr>
        <w:t>内耗材累计结算总金额</w:t>
      </w:r>
      <w:r>
        <w:rPr>
          <w:rFonts w:hint="eastAsia" w:ascii="宋体" w:hAnsi="宋体" w:eastAsia="宋体" w:cs="宋体"/>
          <w:color w:val="auto"/>
          <w:sz w:val="24"/>
          <w:highlight w:val="none"/>
          <w:u w:val="single"/>
          <w:lang w:val="en-US" w:eastAsia="zh-CN"/>
        </w:rPr>
        <w:t>10%</w:t>
      </w:r>
      <w:r>
        <w:rPr>
          <w:rFonts w:hint="eastAsia" w:ascii="宋体" w:hAnsi="宋体" w:eastAsia="宋体" w:cs="宋体"/>
          <w:color w:val="auto"/>
          <w:sz w:val="24"/>
          <w:highlight w:val="none"/>
          <w:u w:val="none"/>
          <w:lang w:val="en-US" w:eastAsia="zh-CN"/>
        </w:rPr>
        <w:t>计算的违约金金额。</w:t>
      </w:r>
    </w:p>
    <w:p w14:paraId="2A381A3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u w:val="single"/>
          <w14:textFill>
            <w14:solidFill>
              <w14:schemeClr w14:val="tx1"/>
            </w14:solidFill>
          </w14:textFill>
        </w:rPr>
      </w:pPr>
      <w:r>
        <w:rPr>
          <w:rFonts w:hint="eastAsia" w:ascii="宋体" w:hAnsi="宋体" w:eastAsia="宋体" w:cs="宋体"/>
          <w:b/>
          <w:bCs/>
          <w:color w:val="auto"/>
          <w:sz w:val="24"/>
          <w:highlight w:val="none"/>
          <w:u w:val="single"/>
        </w:rPr>
        <w:t>12.</w:t>
      </w:r>
      <w:r>
        <w:rPr>
          <w:rFonts w:hint="eastAsia" w:ascii="宋体" w:hAnsi="宋体" w:eastAsia="宋体" w:cs="宋体"/>
          <w:b/>
          <w:bCs/>
          <w:color w:val="auto"/>
          <w:sz w:val="24"/>
          <w:highlight w:val="none"/>
          <w:u w:val="single"/>
          <w:lang w:val="en-US" w:eastAsia="zh-CN"/>
        </w:rPr>
        <w:t>5</w:t>
      </w:r>
      <w:r>
        <w:rPr>
          <w:rFonts w:hint="eastAsia" w:ascii="宋体" w:hAnsi="宋体" w:eastAsia="宋体" w:cs="宋体"/>
          <w:b/>
          <w:bCs/>
          <w:color w:val="auto"/>
          <w:sz w:val="24"/>
          <w:highlight w:val="none"/>
          <w:u w:val="single"/>
        </w:rPr>
        <w:t xml:space="preserve"> 无论甲方在任意时候（不限于本合同履行期间）发现存在违反本合同廉洁条款及供应商考核管理制度约定的行为，</w:t>
      </w:r>
      <w:r>
        <w:rPr>
          <w:rFonts w:hint="eastAsia" w:ascii="宋体" w:hAnsi="宋体" w:eastAsia="宋体" w:cs="宋体"/>
          <w:b/>
          <w:bCs/>
          <w:color w:val="auto"/>
          <w:sz w:val="24"/>
          <w:highlight w:val="none"/>
          <w:u w:val="single"/>
          <w:lang w:val="en-US" w:eastAsia="zh-CN"/>
        </w:rPr>
        <w:t>乙方均须向甲方支付一次性惩罚性违约金，该违约金金额按以下较高者确定：（1）按本合同约定供货期限内耗材累计结算总金额10%计算的违约金金额；（2）根据《娄底市中心医院医疗器械供应商考核管理制度》规定计算的廉政违约金金额。</w:t>
      </w:r>
      <w:r>
        <w:rPr>
          <w:rFonts w:hint="eastAsia" w:ascii="宋体" w:hAnsi="宋体" w:eastAsia="宋体" w:cs="宋体"/>
          <w:b/>
          <w:bCs/>
          <w:color w:val="auto"/>
          <w:sz w:val="24"/>
          <w:szCs w:val="24"/>
          <w:highlight w:val="none"/>
          <w:u w:val="single"/>
          <w:lang w:val="en-US" w:eastAsia="zh-CN"/>
        </w:rPr>
        <w:t>如乙方除需承担违反廉洁条款及供应商考核管理制度的违约责任外，同时存在其他违约行为，乙方仍须就其他违约行为承担相应违约</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责任。</w:t>
      </w:r>
    </w:p>
    <w:p w14:paraId="5622B9F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u w:val="single"/>
          <w14:textFill>
            <w14:solidFill>
              <w14:schemeClr w14:val="tx1"/>
            </w14:solidFill>
          </w14:textFill>
        </w:rPr>
        <w:t>12.</w:t>
      </w:r>
      <w:r>
        <w:rPr>
          <w:rFonts w:hint="eastAsia" w:ascii="宋体" w:hAnsi="宋体" w:eastAsia="宋体" w:cs="宋体"/>
          <w:b/>
          <w:bCs/>
          <w:color w:val="000000" w:themeColor="text1"/>
          <w:sz w:val="24"/>
          <w:u w:val="single"/>
          <w:lang w:val="en-US" w:eastAsia="zh-CN"/>
          <w14:textFill>
            <w14:solidFill>
              <w14:schemeClr w14:val="tx1"/>
            </w14:solidFill>
          </w14:textFill>
        </w:rPr>
        <w:t>6</w:t>
      </w:r>
      <w:r>
        <w:rPr>
          <w:rFonts w:hint="eastAsia" w:ascii="宋体" w:hAnsi="宋体" w:eastAsia="宋体" w:cs="宋体"/>
          <w:b/>
          <w:bCs/>
          <w:color w:val="000000" w:themeColor="text1"/>
          <w:sz w:val="24"/>
          <w:u w:val="single"/>
          <w14:textFill>
            <w14:solidFill>
              <w14:schemeClr w14:val="tx1"/>
            </w14:solidFill>
          </w14:textFill>
        </w:rPr>
        <w:t xml:space="preserve"> 依据本合同约定乙方应支付给甲方的违约金，甲方有权在应支付给乙方的任意价款中直接予以扣除，如扣除部分不足，乙方应在接到甲方通知后3日内补足。</w:t>
      </w:r>
    </w:p>
    <w:p w14:paraId="21E9746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w:t>
      </w:r>
      <w:r>
        <w:rPr>
          <w:rFonts w:hint="eastAsia" w:ascii="宋体" w:hAnsi="宋体" w:cs="宋体"/>
          <w:b/>
          <w:bCs/>
          <w:color w:val="000000" w:themeColor="text1"/>
          <w:sz w:val="24"/>
          <w14:textFill>
            <w14:solidFill>
              <w14:schemeClr w14:val="tx1"/>
            </w14:solidFill>
          </w14:textFill>
        </w:rPr>
        <w:t>十三</w:t>
      </w:r>
      <w:r>
        <w:rPr>
          <w:rFonts w:hint="eastAsia" w:ascii="宋体" w:hAnsi="宋体" w:eastAsia="宋体" w:cs="宋体"/>
          <w:b/>
          <w:bCs/>
          <w:color w:val="000000" w:themeColor="text1"/>
          <w:sz w:val="24"/>
          <w14:textFill>
            <w14:solidFill>
              <w14:schemeClr w14:val="tx1"/>
            </w14:solidFill>
          </w14:textFill>
        </w:rPr>
        <w:t>条 争议解决</w:t>
      </w:r>
    </w:p>
    <w:p w14:paraId="5934D42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 本合同适用中华人民共和国法律，并按其解释。</w:t>
      </w:r>
    </w:p>
    <w:p w14:paraId="6BF10A0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 如双方在履行本合同过程中发生争议，双方应先协商解决，协商解决不成的，任一方均可向甲方所在地有管辖权的人民法院提起诉讼解决。</w:t>
      </w:r>
    </w:p>
    <w:p w14:paraId="5884A67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w:t>
      </w:r>
      <w:r>
        <w:rPr>
          <w:rFonts w:hint="eastAsia" w:ascii="宋体" w:hAnsi="宋体" w:cs="宋体"/>
          <w:b/>
          <w:bCs/>
          <w:color w:val="000000" w:themeColor="text1"/>
          <w:sz w:val="24"/>
          <w14:textFill>
            <w14:solidFill>
              <w14:schemeClr w14:val="tx1"/>
            </w14:solidFill>
          </w14:textFill>
        </w:rPr>
        <w:t>四</w:t>
      </w:r>
      <w:r>
        <w:rPr>
          <w:rFonts w:hint="eastAsia" w:ascii="宋体" w:hAnsi="宋体" w:eastAsia="宋体" w:cs="宋体"/>
          <w:b/>
          <w:bCs/>
          <w:color w:val="000000" w:themeColor="text1"/>
          <w:sz w:val="24"/>
          <w14:textFill>
            <w14:solidFill>
              <w14:schemeClr w14:val="tx1"/>
            </w14:solidFill>
          </w14:textFill>
        </w:rPr>
        <w:t>条 附则</w:t>
      </w:r>
    </w:p>
    <w:p w14:paraId="1A07154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lang w:val="en-US" w:eastAsia="zh-CN"/>
        </w:rPr>
        <w:t>4</w:t>
      </w:r>
      <w:r>
        <w:rPr>
          <w:rFonts w:hint="eastAsia" w:ascii="宋体" w:hAnsi="宋体" w:eastAsia="宋体" w:cs="宋体"/>
          <w:color w:val="auto"/>
          <w:sz w:val="24"/>
        </w:rPr>
        <w:t>.</w:t>
      </w:r>
      <w:r>
        <w:rPr>
          <w:rFonts w:hint="eastAsia" w:ascii="宋体" w:hAnsi="宋体" w:eastAsia="宋体" w:cs="宋体"/>
          <w:color w:val="auto"/>
          <w:sz w:val="24"/>
          <w:lang w:val="en-US" w:eastAsia="zh-CN"/>
        </w:rPr>
        <w:t>1 甲方《娄底市中心医院医疗器械供应商考核管理制度》、</w:t>
      </w:r>
      <w:r>
        <w:rPr>
          <w:rFonts w:hint="eastAsia" w:ascii="宋体" w:hAnsi="宋体" w:eastAsia="宋体" w:cs="宋体"/>
          <w:color w:val="auto"/>
          <w:sz w:val="24"/>
          <w:lang w:eastAsia="zh-CN"/>
        </w:rPr>
        <w:t>乙方加盖公章的资质复印件、售后承诺等作为本合同附件。</w:t>
      </w:r>
    </w:p>
    <w:p w14:paraId="730A209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auto"/>
          <w:sz w:val="24"/>
        </w:rPr>
        <w:t>14.</w:t>
      </w:r>
      <w:r>
        <w:rPr>
          <w:rFonts w:hint="eastAsia" w:ascii="宋体" w:hAnsi="宋体" w:eastAsia="宋体" w:cs="宋体"/>
          <w:color w:val="auto"/>
          <w:sz w:val="24"/>
          <w:lang w:val="en-US" w:eastAsia="zh-CN"/>
        </w:rPr>
        <w:t>2</w:t>
      </w:r>
      <w:r>
        <w:rPr>
          <w:rFonts w:hint="eastAsia" w:ascii="宋体" w:hAnsi="宋体" w:eastAsia="宋体" w:cs="宋体"/>
          <w:color w:val="auto"/>
          <w:sz w:val="24"/>
        </w:rPr>
        <w:t xml:space="preserve"> 本合同组成文件和优先解释顺序：</w:t>
      </w:r>
      <w:r>
        <w:rPr>
          <w:rFonts w:hint="eastAsia" w:ascii="宋体" w:hAnsi="宋体" w:eastAsia="宋体" w:cs="宋体"/>
          <w:color w:val="auto"/>
          <w:sz w:val="24"/>
          <w:lang w:eastAsia="zh-CN"/>
        </w:rPr>
        <w:t>乙方在履行本合同中作</w:t>
      </w:r>
      <w:r>
        <w:rPr>
          <w:rFonts w:hint="eastAsia" w:ascii="宋体" w:hAnsi="宋体" w:eastAsia="宋体" w:cs="宋体"/>
          <w:color w:val="000000" w:themeColor="text1"/>
          <w:sz w:val="24"/>
          <w:lang w:eastAsia="zh-CN"/>
          <w14:textFill>
            <w14:solidFill>
              <w14:schemeClr w14:val="tx1"/>
            </w14:solidFill>
          </w14:textFill>
        </w:rPr>
        <w:t>出的书面承诺；</w:t>
      </w:r>
      <w:r>
        <w:rPr>
          <w:rFonts w:hint="eastAsia" w:ascii="宋体" w:hAnsi="宋体" w:eastAsia="宋体" w:cs="宋体"/>
          <w:color w:val="000000" w:themeColor="text1"/>
          <w:sz w:val="24"/>
          <w14:textFill>
            <w14:solidFill>
              <w14:schemeClr w14:val="tx1"/>
            </w14:solidFill>
          </w14:textFill>
        </w:rPr>
        <w:t>本合同补充协议；本合同及附件；</w:t>
      </w:r>
      <w:r>
        <w:rPr>
          <w:rFonts w:hint="eastAsia" w:ascii="宋体" w:hAnsi="宋体" w:eastAsia="宋体" w:cs="宋体"/>
          <w:color w:val="000000" w:themeColor="text1"/>
          <w:sz w:val="24"/>
          <w:lang w:eastAsia="zh-CN"/>
          <w14:textFill>
            <w14:solidFill>
              <w14:schemeClr w14:val="tx1"/>
            </w14:solidFill>
          </w14:textFill>
        </w:rPr>
        <w:t>中标通知书</w:t>
      </w:r>
      <w:r>
        <w:rPr>
          <w:rFonts w:hint="eastAsia" w:ascii="宋体" w:hAnsi="宋体" w:eastAsia="宋体" w:cs="宋体"/>
          <w:color w:val="000000" w:themeColor="text1"/>
          <w:sz w:val="24"/>
          <w:lang w:val="en-US" w:eastAsia="zh-CN"/>
          <w14:textFill>
            <w14:solidFill>
              <w14:schemeClr w14:val="tx1"/>
            </w14:solidFill>
          </w14:textFill>
        </w:rPr>
        <w:t>/成交通知书/</w:t>
      </w:r>
      <w:r>
        <w:rPr>
          <w:rFonts w:hint="eastAsia" w:ascii="宋体" w:hAnsi="宋体" w:eastAsia="宋体" w:cs="宋体"/>
          <w:color w:val="000000" w:themeColor="text1"/>
          <w:sz w:val="24"/>
          <w14:textFill>
            <w14:solidFill>
              <w14:schemeClr w14:val="tx1"/>
            </w14:solidFill>
          </w14:textFill>
        </w:rPr>
        <w:t>议价结果公示</w:t>
      </w:r>
      <w:r>
        <w:rPr>
          <w:rFonts w:hint="eastAsia" w:ascii="宋体" w:hAnsi="宋体" w:eastAsia="宋体" w:cs="宋体"/>
          <w:color w:val="000000" w:themeColor="text1"/>
          <w:sz w:val="24"/>
          <w:lang w:val="en-US" w:eastAsia="zh-CN"/>
          <w14:textFill>
            <w14:solidFill>
              <w14:schemeClr w14:val="tx1"/>
            </w14:solidFill>
          </w14:textFill>
        </w:rPr>
        <w:t>/成交公告</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eastAsia="zh-CN"/>
          <w14:textFill>
            <w14:solidFill>
              <w14:schemeClr w14:val="tx1"/>
            </w14:solidFill>
          </w14:textFill>
        </w:rPr>
        <w:t>投标文件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响应文件；</w:t>
      </w:r>
      <w:r>
        <w:rPr>
          <w:rFonts w:hint="eastAsia" w:ascii="宋体" w:hAnsi="宋体" w:eastAsia="宋体" w:cs="宋体"/>
          <w:color w:val="000000" w:themeColor="text1"/>
          <w:sz w:val="24"/>
          <w:lang w:eastAsia="zh-CN"/>
          <w14:textFill>
            <w14:solidFill>
              <w14:schemeClr w14:val="tx1"/>
            </w14:solidFill>
          </w14:textFill>
        </w:rPr>
        <w:t>招标文件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采购文件</w:t>
      </w:r>
      <w:r>
        <w:rPr>
          <w:rFonts w:hint="eastAsia" w:ascii="宋体" w:hAnsi="宋体" w:eastAsia="宋体" w:cs="宋体"/>
          <w:color w:val="000000" w:themeColor="text1"/>
          <w:sz w:val="24"/>
          <w:lang w:val="en-US" w:eastAsia="zh-CN"/>
          <w14:textFill>
            <w14:solidFill>
              <w14:schemeClr w14:val="tx1"/>
            </w14:solidFill>
          </w14:textFill>
        </w:rPr>
        <w:t>/采购需求</w:t>
      </w:r>
      <w:r>
        <w:rPr>
          <w:rFonts w:hint="eastAsia" w:ascii="宋体" w:hAnsi="宋体" w:eastAsia="宋体" w:cs="宋体"/>
          <w:color w:val="000000" w:themeColor="text1"/>
          <w:sz w:val="24"/>
          <w14:textFill>
            <w14:solidFill>
              <w14:schemeClr w14:val="tx1"/>
            </w14:solidFill>
          </w14:textFill>
        </w:rPr>
        <w:t>；其他与本合同有关的资料。</w:t>
      </w:r>
    </w:p>
    <w:p w14:paraId="711F699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w:t>
      </w:r>
      <w:r>
        <w:rPr>
          <w:rFonts w:hint="eastAsia" w:ascii="宋体" w:hAnsi="宋体" w:eastAsia="宋体" w:cs="宋体"/>
          <w:color w:val="000000" w:themeColor="text1"/>
          <w:sz w:val="24"/>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 xml:space="preserve"> 本合同一式</w:t>
      </w:r>
      <w:r>
        <w:rPr>
          <w:rFonts w:hint="eastAsia" w:ascii="宋体" w:hAnsi="宋体" w:eastAsia="宋体" w:cs="宋体"/>
          <w:color w:val="000000" w:themeColor="text1"/>
          <w:sz w:val="24"/>
          <w:lang w:val="en-US" w:eastAsia="zh-CN"/>
          <w14:textFill>
            <w14:solidFill>
              <w14:schemeClr w14:val="tx1"/>
            </w14:solidFill>
          </w14:textFill>
        </w:rPr>
        <w:t>伍</w:t>
      </w:r>
      <w:r>
        <w:rPr>
          <w:rFonts w:hint="eastAsia" w:ascii="宋体" w:hAnsi="宋体" w:eastAsia="宋体" w:cs="宋体"/>
          <w:color w:val="000000" w:themeColor="text1"/>
          <w:sz w:val="24"/>
          <w14:textFill>
            <w14:solidFill>
              <w14:schemeClr w14:val="tx1"/>
            </w14:solidFill>
          </w14:textFill>
        </w:rPr>
        <w:t>份，甲方执肆份、乙方执壹份，自双方签字并盖章后生效。</w:t>
      </w:r>
    </w:p>
    <w:p w14:paraId="24DE1DB2">
      <w:pPr>
        <w:keepNext w:val="0"/>
        <w:keepLines w:val="0"/>
        <w:pageBreakBefore w:val="0"/>
        <w:widowControl w:val="0"/>
        <w:kinsoku/>
        <w:wordWrap/>
        <w:overflowPunct/>
        <w:topLinePunct w:val="0"/>
        <w:bidi w:val="0"/>
        <w:snapToGrid/>
        <w:spacing w:line="440" w:lineRule="exact"/>
        <w:ind w:firstLine="480" w:firstLineChars="200"/>
        <w:textAlignment w:val="auto"/>
        <w:rPr>
          <w:rFonts w:ascii="宋体" w:hAnsi="宋体" w:eastAsia="宋体" w:cs="宋体"/>
          <w:color w:val="000000" w:themeColor="text1"/>
          <w:sz w:val="24"/>
          <w14:textFill>
            <w14:solidFill>
              <w14:schemeClr w14:val="tx1"/>
            </w14:solidFill>
          </w14:textFill>
        </w:rPr>
      </w:pPr>
    </w:p>
    <w:p w14:paraId="721D91BC">
      <w:pPr>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r>
        <w:rPr>
          <w:rFonts w:ascii="宋体" w:hAnsi="宋体" w:eastAsia="宋体" w:cs="宋体"/>
          <w:color w:val="000000" w:themeColor="text1"/>
          <w:sz w:val="24"/>
          <w14:textFill>
            <w14:solidFill>
              <w14:schemeClr w14:val="tx1"/>
            </w14:solidFill>
          </w14:textFill>
        </w:rPr>
        <w:t>甲方（盖章）：</w:t>
      </w:r>
      <w:r>
        <w:rPr>
          <w:rFonts w:hint="eastAsia" w:ascii="宋体" w:hAnsi="宋体" w:eastAsia="宋体" w:cs="宋体"/>
          <w:color w:val="000000" w:themeColor="text1"/>
          <w:sz w:val="24"/>
          <w14:textFill>
            <w14:solidFill>
              <w14:schemeClr w14:val="tx1"/>
            </w14:solidFill>
          </w14:textFill>
        </w:rPr>
        <w:t>娄底市中心医院</w:t>
      </w:r>
      <w:r>
        <w:rPr>
          <w:rFonts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 乙方（盖章）</w:t>
      </w:r>
      <w:r>
        <w:rPr>
          <w:rFonts w:hint="eastAsia" w:ascii="宋体" w:hAnsi="宋体" w:eastAsia="宋体" w:cs="宋体"/>
          <w:color w:val="000000" w:themeColor="text1"/>
          <w:sz w:val="24"/>
          <w14:textFill>
            <w14:solidFill>
              <w14:schemeClr w14:val="tx1"/>
            </w14:solidFill>
          </w14:textFill>
        </w:rPr>
        <w:t>：</w:t>
      </w:r>
      <w:r>
        <w:rPr>
          <w:rFonts w:hint="eastAsia" w:eastAsia="宋体"/>
          <w:color w:val="000000" w:themeColor="text1"/>
          <w:sz w:val="24"/>
          <w:lang w:val="en-US" w:eastAsia="zh-CN"/>
          <w14:textFill>
            <w14:solidFill>
              <w14:schemeClr w14:val="tx1"/>
            </w14:solidFill>
          </w14:textFill>
        </w:rPr>
        <w:t xml:space="preserve">  </w:t>
      </w:r>
    </w:p>
    <w:p w14:paraId="05B32C9E">
      <w:pPr>
        <w:pStyle w:val="12"/>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p>
    <w:p w14:paraId="2923786E">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法定代表人（签字）：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法定代表人（签字）：  </w:t>
      </w:r>
    </w:p>
    <w:p w14:paraId="47610C90">
      <w:pPr>
        <w:pStyle w:val="12"/>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599B18C0">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或</w:t>
      </w:r>
      <w:r>
        <w:rPr>
          <w:rFonts w:ascii="宋体" w:hAnsi="宋体" w:eastAsia="宋体" w:cs="宋体"/>
          <w:color w:val="000000" w:themeColor="text1"/>
          <w:sz w:val="24"/>
          <w14:textFill>
            <w14:solidFill>
              <w14:schemeClr w14:val="tx1"/>
            </w14:solidFill>
          </w14:textFill>
        </w:rPr>
        <w:t xml:space="preserve">委托代理人（签字）：        </w:t>
      </w:r>
      <w:r>
        <w:rPr>
          <w:rFonts w:hint="eastAsia" w:ascii="宋体" w:hAnsi="宋体" w:eastAsia="宋体" w:cs="宋体"/>
          <w:color w:val="000000" w:themeColor="text1"/>
          <w:sz w:val="24"/>
          <w14:textFill>
            <w14:solidFill>
              <w14:schemeClr w14:val="tx1"/>
            </w14:solidFill>
          </w14:textFill>
        </w:rPr>
        <w:t xml:space="preserve">      或</w:t>
      </w:r>
      <w:r>
        <w:rPr>
          <w:rFonts w:ascii="宋体" w:hAnsi="宋体" w:eastAsia="宋体" w:cs="宋体"/>
          <w:color w:val="000000" w:themeColor="text1"/>
          <w:sz w:val="24"/>
          <w14:textFill>
            <w14:solidFill>
              <w14:schemeClr w14:val="tx1"/>
            </w14:solidFill>
          </w14:textFill>
        </w:rPr>
        <w:t>委托代理人（签字）：</w:t>
      </w:r>
    </w:p>
    <w:p w14:paraId="7E898EB0">
      <w:pPr>
        <w:pStyle w:val="12"/>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3668D6EB">
      <w:pPr>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合同签订地</w:t>
      </w:r>
      <w:r>
        <w:rPr>
          <w:rFonts w:hint="eastAsia" w:ascii="宋体" w:hAnsi="宋体" w:eastAsia="宋体" w:cs="宋体"/>
          <w:color w:val="000000" w:themeColor="text1"/>
          <w:sz w:val="24"/>
          <w14:textFill>
            <w14:solidFill>
              <w14:schemeClr w14:val="tx1"/>
            </w14:solidFill>
          </w14:textFill>
        </w:rPr>
        <w:t>履行地</w:t>
      </w:r>
      <w:r>
        <w:rPr>
          <w:rFonts w:ascii="宋体" w:hAnsi="宋体" w:eastAsia="宋体" w:cs="宋体"/>
          <w:color w:val="000000" w:themeColor="text1"/>
          <w:sz w:val="24"/>
          <w14:textFill>
            <w14:solidFill>
              <w14:schemeClr w14:val="tx1"/>
            </w14:solidFill>
          </w14:textFill>
        </w:rPr>
        <w:t xml:space="preserve">：娄底市娄星区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签订时间：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日</w:t>
      </w:r>
    </w:p>
    <w:p w14:paraId="07E53877">
      <w:pPr>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br w:type="page"/>
      </w:r>
    </w:p>
    <w:p w14:paraId="7622D1F7">
      <w:pPr>
        <w:keepNext w:val="0"/>
        <w:keepLines w:val="0"/>
        <w:pageBreakBefore w:val="0"/>
        <w:widowControl w:val="0"/>
        <w:kinsoku/>
        <w:wordWrap/>
        <w:overflowPunct/>
        <w:topLinePunct w:val="0"/>
        <w:bidi w:val="0"/>
        <w:snapToGrid/>
        <w:spacing w:line="520" w:lineRule="exact"/>
        <w:ind w:firstLine="0" w:firstLineChars="0"/>
        <w:textAlignment w:val="auto"/>
        <w:rPr>
          <w:rFonts w:hint="eastAsia" w:ascii="宋体" w:hAnsi="宋体" w:eastAsia="宋体" w:cs="宋体"/>
          <w:color w:val="000000" w:themeColor="text1"/>
          <w:sz w:val="24"/>
          <w14:textFill>
            <w14:solidFill>
              <w14:schemeClr w14:val="tx1"/>
            </w14:solidFill>
          </w14:textFill>
        </w:rPr>
      </w:pPr>
    </w:p>
    <w:p w14:paraId="275A7B9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1F3CB85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1222004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1655182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4195693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6B06F021">
      <w:pPr>
        <w:spacing w:line="480" w:lineRule="exact"/>
        <w:rPr>
          <w:rFonts w:hint="eastAsia" w:ascii="黑体" w:hAnsi="黑体" w:eastAsia="黑体" w:cs="黑体"/>
          <w:sz w:val="32"/>
          <w:szCs w:val="32"/>
        </w:rPr>
      </w:pPr>
      <w:r>
        <w:rPr>
          <w:rFonts w:ascii="宋体" w:hAnsi="宋体" w:eastAsia="宋体" w:cs="宋体"/>
          <w:sz w:val="24"/>
        </w:rPr>
        <w:drawing>
          <wp:anchor distT="0" distB="0" distL="114300" distR="114300" simplePos="0" relativeHeight="251659264" behindDoc="0" locked="0" layoutInCell="1" allowOverlap="1">
            <wp:simplePos x="0" y="0"/>
            <wp:positionH relativeFrom="column">
              <wp:posOffset>38100</wp:posOffset>
            </wp:positionH>
            <wp:positionV relativeFrom="paragraph">
              <wp:posOffset>377190</wp:posOffset>
            </wp:positionV>
            <wp:extent cx="5615305" cy="7988935"/>
            <wp:effectExtent l="0" t="0" r="4445" b="12065"/>
            <wp:wrapSquare wrapText="bothSides"/>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9"/>
                    <a:stretch>
                      <a:fillRect/>
                    </a:stretch>
                  </pic:blipFill>
                  <pic:spPr>
                    <a:xfrm>
                      <a:off x="0" y="0"/>
                      <a:ext cx="5615305" cy="7988935"/>
                    </a:xfrm>
                    <a:prstGeom prst="rect">
                      <a:avLst/>
                    </a:prstGeom>
                  </pic:spPr>
                </pic:pic>
              </a:graphicData>
            </a:graphic>
          </wp:anchor>
        </w:drawing>
      </w:r>
      <w:r>
        <w:rPr>
          <w:rFonts w:hint="eastAsia" w:ascii="黑体" w:hAnsi="黑体" w:eastAsia="黑体" w:cs="黑体"/>
          <w:sz w:val="32"/>
          <w:szCs w:val="32"/>
        </w:rPr>
        <w:t>附件：</w:t>
      </w:r>
    </w:p>
    <w:p w14:paraId="227001E0">
      <w:pPr>
        <w:spacing w:line="480" w:lineRule="exact"/>
        <w:rPr>
          <w:rFonts w:hint="eastAsia" w:ascii="宋体" w:hAnsi="宋体" w:eastAsia="宋体" w:cs="宋体"/>
          <w:sz w:val="24"/>
        </w:rPr>
      </w:pPr>
    </w:p>
    <w:p w14:paraId="55002253">
      <w:pPr>
        <w:spacing w:line="480" w:lineRule="exact"/>
        <w:rPr>
          <w:rFonts w:hint="eastAsia" w:ascii="宋体" w:hAnsi="宋体" w:eastAsia="宋体" w:cs="宋体"/>
          <w:sz w:val="24"/>
        </w:rPr>
      </w:pPr>
    </w:p>
    <w:p w14:paraId="2848D38D">
      <w:pPr>
        <w:spacing w:line="480" w:lineRule="exact"/>
        <w:rPr>
          <w:rFonts w:hint="eastAsia" w:ascii="宋体" w:hAnsi="宋体" w:eastAsia="宋体" w:cs="宋体"/>
          <w:sz w:val="24"/>
        </w:rPr>
      </w:pPr>
    </w:p>
    <w:p w14:paraId="1609F11D">
      <w:pPr>
        <w:spacing w:line="480" w:lineRule="exact"/>
        <w:rPr>
          <w:rFonts w:hint="eastAsia" w:ascii="宋体" w:hAnsi="宋体" w:eastAsia="宋体" w:cs="宋体"/>
          <w:sz w:val="24"/>
        </w:rPr>
      </w:pPr>
    </w:p>
    <w:p w14:paraId="5531761F">
      <w:pPr>
        <w:spacing w:line="480" w:lineRule="exact"/>
        <w:rPr>
          <w:rFonts w:hint="eastAsia" w:ascii="宋体" w:hAnsi="宋体" w:eastAsia="宋体" w:cs="宋体"/>
          <w:sz w:val="24"/>
        </w:rPr>
      </w:pPr>
    </w:p>
    <w:p w14:paraId="1D5C0BF1">
      <w:pPr>
        <w:spacing w:line="480" w:lineRule="exact"/>
        <w:rPr>
          <w:rFonts w:hint="eastAsia" w:ascii="宋体" w:hAnsi="宋体" w:eastAsia="宋体" w:cs="宋体"/>
          <w:sz w:val="24"/>
        </w:rPr>
      </w:pPr>
    </w:p>
    <w:p w14:paraId="33EAFCC5">
      <w:pPr>
        <w:spacing w:line="480" w:lineRule="exact"/>
        <w:rPr>
          <w:rFonts w:hint="eastAsia" w:ascii="宋体" w:hAnsi="宋体" w:eastAsia="宋体" w:cs="宋体"/>
          <w:sz w:val="24"/>
        </w:rPr>
      </w:pPr>
    </w:p>
    <w:p w14:paraId="0DAE4335">
      <w:pPr>
        <w:spacing w:line="480" w:lineRule="exact"/>
        <w:rPr>
          <w:rFonts w:hint="eastAsia" w:ascii="宋体" w:hAnsi="宋体" w:eastAsia="宋体" w:cs="宋体"/>
          <w:sz w:val="24"/>
        </w:rPr>
      </w:pPr>
    </w:p>
    <w:p w14:paraId="34A2261D">
      <w:pPr>
        <w:spacing w:line="480" w:lineRule="exact"/>
        <w:rPr>
          <w:rFonts w:hint="eastAsia" w:ascii="宋体" w:hAnsi="宋体" w:eastAsia="宋体" w:cs="宋体"/>
          <w:sz w:val="24"/>
        </w:rPr>
      </w:pPr>
    </w:p>
    <w:p w14:paraId="113A1CF0">
      <w:pPr>
        <w:spacing w:line="480" w:lineRule="exact"/>
        <w:rPr>
          <w:rFonts w:hint="eastAsia" w:ascii="宋体" w:hAnsi="宋体" w:eastAsia="宋体" w:cs="宋体"/>
          <w:sz w:val="24"/>
        </w:rPr>
      </w:pPr>
    </w:p>
    <w:p w14:paraId="59E42C74">
      <w:pPr>
        <w:spacing w:line="480" w:lineRule="exact"/>
        <w:rPr>
          <w:rFonts w:hint="eastAsia" w:ascii="宋体" w:hAnsi="宋体" w:eastAsia="宋体" w:cs="宋体"/>
          <w:sz w:val="24"/>
        </w:rPr>
      </w:pPr>
    </w:p>
    <w:p w14:paraId="1D205281">
      <w:pPr>
        <w:spacing w:line="480" w:lineRule="exact"/>
        <w:rPr>
          <w:rFonts w:hint="eastAsia" w:ascii="宋体" w:hAnsi="宋体" w:eastAsia="宋体" w:cs="宋体"/>
          <w:sz w:val="24"/>
        </w:rPr>
      </w:pPr>
    </w:p>
    <w:p w14:paraId="588942DA">
      <w:pPr>
        <w:spacing w:line="480" w:lineRule="exact"/>
        <w:rPr>
          <w:rFonts w:hint="eastAsia" w:ascii="宋体" w:hAnsi="宋体" w:eastAsia="宋体" w:cs="宋体"/>
          <w:sz w:val="24"/>
        </w:rPr>
      </w:pPr>
    </w:p>
    <w:p w14:paraId="14EEB46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2336" behindDoc="0" locked="0" layoutInCell="1" allowOverlap="1">
            <wp:simplePos x="0" y="0"/>
            <wp:positionH relativeFrom="column">
              <wp:posOffset>-116840</wp:posOffset>
            </wp:positionH>
            <wp:positionV relativeFrom="paragraph">
              <wp:posOffset>1338580</wp:posOffset>
            </wp:positionV>
            <wp:extent cx="5888990" cy="8423910"/>
            <wp:effectExtent l="0" t="0" r="16510" b="15240"/>
            <wp:wrapTopAndBottom/>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10"/>
                    <a:stretch>
                      <a:fillRect/>
                    </a:stretch>
                  </pic:blipFill>
                  <pic:spPr>
                    <a:xfrm>
                      <a:off x="0" y="0"/>
                      <a:ext cx="5888990" cy="8423910"/>
                    </a:xfrm>
                    <a:prstGeom prst="rect">
                      <a:avLst/>
                    </a:prstGeom>
                  </pic:spPr>
                </pic:pic>
              </a:graphicData>
            </a:graphic>
          </wp:anchor>
        </w:drawing>
      </w:r>
    </w:p>
    <w:p w14:paraId="58EBEBF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585365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67EF959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70641E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3360" behindDoc="0" locked="0" layoutInCell="1" allowOverlap="1">
            <wp:simplePos x="0" y="0"/>
            <wp:positionH relativeFrom="column">
              <wp:posOffset>-38100</wp:posOffset>
            </wp:positionH>
            <wp:positionV relativeFrom="paragraph">
              <wp:posOffset>224790</wp:posOffset>
            </wp:positionV>
            <wp:extent cx="5995670" cy="8456930"/>
            <wp:effectExtent l="0" t="0" r="5080" b="1270"/>
            <wp:wrapSquare wrapText="bothSides"/>
            <wp:docPr id="9" name="图片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
                    <pic:cNvPicPr>
                      <a:picLocks noChangeAspect="1"/>
                    </pic:cNvPicPr>
                  </pic:nvPicPr>
                  <pic:blipFill>
                    <a:blip r:embed="rId11"/>
                    <a:stretch>
                      <a:fillRect/>
                    </a:stretch>
                  </pic:blipFill>
                  <pic:spPr>
                    <a:xfrm>
                      <a:off x="647700" y="1139190"/>
                      <a:ext cx="5995670" cy="8456930"/>
                    </a:xfrm>
                    <a:prstGeom prst="rect">
                      <a:avLst/>
                    </a:prstGeom>
                  </pic:spPr>
                </pic:pic>
              </a:graphicData>
            </a:graphic>
          </wp:anchor>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1312" behindDoc="0" locked="0" layoutInCell="1" allowOverlap="1">
            <wp:simplePos x="0" y="0"/>
            <wp:positionH relativeFrom="column">
              <wp:posOffset>236220</wp:posOffset>
            </wp:positionH>
            <wp:positionV relativeFrom="paragraph">
              <wp:posOffset>113030</wp:posOffset>
            </wp:positionV>
            <wp:extent cx="5976620" cy="8301355"/>
            <wp:effectExtent l="0" t="0" r="5080" b="4445"/>
            <wp:wrapSquare wrapText="bothSides"/>
            <wp:docPr id="10" name="图片 1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
                    <pic:cNvPicPr>
                      <a:picLocks noChangeAspect="1"/>
                    </pic:cNvPicPr>
                  </pic:nvPicPr>
                  <pic:blipFill>
                    <a:blip r:embed="rId12"/>
                    <a:stretch>
                      <a:fillRect/>
                    </a:stretch>
                  </pic:blipFill>
                  <pic:spPr>
                    <a:xfrm>
                      <a:off x="0" y="0"/>
                      <a:ext cx="5976620" cy="8301355"/>
                    </a:xfrm>
                    <a:prstGeom prst="rect">
                      <a:avLst/>
                    </a:prstGeom>
                  </pic:spPr>
                </pic:pic>
              </a:graphicData>
            </a:graphic>
          </wp:anchor>
        </w:drawing>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auto"/>
          <w:sz w:val="44"/>
          <w:szCs w:val="44"/>
          <w:lang w:val="en-US" w:eastAsia="zh-CN"/>
        </w:rPr>
      </w:pPr>
      <w:bookmarkStart w:id="1" w:name="_Toc16523574"/>
      <w:r>
        <w:rPr>
          <w:rFonts w:hint="eastAsia" w:ascii="方正小标宋简体" w:hAnsi="方正小标宋简体" w:eastAsia="方正小标宋简体" w:cs="方正小标宋简体"/>
          <w:color w:val="auto"/>
          <w:sz w:val="44"/>
          <w:szCs w:val="44"/>
          <w:lang w:val="en-US" w:eastAsia="zh-CN"/>
        </w:rPr>
        <w:t>第三章</w:t>
      </w:r>
      <w:bookmarkStart w:id="2" w:name="_Toc16523573"/>
      <w:r>
        <w:rPr>
          <w:rFonts w:hint="eastAsia" w:ascii="方正小标宋简体" w:hAnsi="方正小标宋简体" w:eastAsia="方正小标宋简体" w:cs="方正小标宋简体"/>
          <w:color w:val="auto"/>
          <w:sz w:val="44"/>
          <w:szCs w:val="44"/>
          <w:lang w:val="en-US" w:eastAsia="zh-CN"/>
        </w:rPr>
        <w:t>评标方法及标准</w:t>
      </w:r>
      <w:bookmarkEnd w:id="2"/>
    </w:p>
    <w:p w14:paraId="6BB39785">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3"/>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45E83D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311A08B8">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32FC8297">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7E7C4B3E">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1E4060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0304112">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59E5B0DB">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70CD61DC">
            <w:pPr>
              <w:jc w:val="center"/>
              <w:rPr>
                <w:rFonts w:hint="eastAsia" w:ascii="仿宋" w:hAnsi="仿宋" w:eastAsia="仿宋" w:cs="仿宋"/>
                <w:sz w:val="24"/>
                <w:szCs w:val="24"/>
              </w:rPr>
            </w:pPr>
            <w:r>
              <w:rPr>
                <w:rFonts w:hint="eastAsia" w:ascii="仿宋" w:hAnsi="仿宋" w:eastAsia="仿宋" w:cs="仿宋"/>
                <w:sz w:val="24"/>
                <w:szCs w:val="24"/>
              </w:rPr>
              <w:t>50%（设备45%+专机耗材5%）</w:t>
            </w:r>
          </w:p>
        </w:tc>
      </w:tr>
      <w:tr w14:paraId="3D8FD6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17EC4995">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59105BC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1A6814C5">
            <w:pPr>
              <w:jc w:val="center"/>
              <w:rPr>
                <w:rFonts w:hint="eastAsia" w:ascii="仿宋" w:hAnsi="仿宋" w:eastAsia="仿宋" w:cs="仿宋"/>
                <w:sz w:val="24"/>
                <w:szCs w:val="24"/>
              </w:rPr>
            </w:pPr>
            <w:r>
              <w:rPr>
                <w:rFonts w:hint="eastAsia" w:ascii="仿宋" w:hAnsi="仿宋" w:eastAsia="仿宋" w:cs="仿宋"/>
                <w:sz w:val="24"/>
                <w:szCs w:val="24"/>
              </w:rPr>
              <w:t>40%</w:t>
            </w:r>
          </w:p>
        </w:tc>
      </w:tr>
      <w:tr w14:paraId="082652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39F7A26">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3C9FEB03">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6BDF92C6">
            <w:pPr>
              <w:jc w:val="center"/>
              <w:rPr>
                <w:rFonts w:hint="eastAsia" w:ascii="仿宋" w:hAnsi="仿宋" w:eastAsia="仿宋" w:cs="仿宋"/>
                <w:sz w:val="24"/>
                <w:szCs w:val="24"/>
              </w:rPr>
            </w:pPr>
            <w:r>
              <w:rPr>
                <w:rFonts w:hint="eastAsia" w:ascii="仿宋" w:hAnsi="仿宋" w:eastAsia="仿宋" w:cs="仿宋"/>
                <w:sz w:val="24"/>
                <w:szCs w:val="24"/>
              </w:rPr>
              <w:t>10%</w:t>
            </w:r>
          </w:p>
        </w:tc>
      </w:tr>
      <w:tr w14:paraId="58AEBB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1C8DD142">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762A933A">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74128E91">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3"/>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75DDCD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79E93CB1">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59" w:type="dxa"/>
            <w:tcBorders>
              <w:top w:val="double" w:color="auto" w:sz="4" w:space="0"/>
              <w:left w:val="single" w:color="auto" w:sz="4" w:space="0"/>
              <w:bottom w:val="single" w:color="auto" w:sz="6" w:space="0"/>
              <w:right w:val="single" w:color="auto" w:sz="4" w:space="0"/>
            </w:tcBorders>
            <w:noWrap w:val="0"/>
            <w:vAlign w:val="center"/>
          </w:tcPr>
          <w:p w14:paraId="7022934C">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49" w:type="dxa"/>
            <w:tcBorders>
              <w:top w:val="double" w:color="auto" w:sz="4" w:space="0"/>
              <w:left w:val="single" w:color="auto" w:sz="4" w:space="0"/>
              <w:bottom w:val="single" w:color="auto" w:sz="6" w:space="0"/>
              <w:right w:val="double" w:color="auto" w:sz="4" w:space="0"/>
            </w:tcBorders>
            <w:noWrap w:val="0"/>
            <w:vAlign w:val="center"/>
          </w:tcPr>
          <w:p w14:paraId="37483CF0">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5AD308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4B7BF88D">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59" w:type="dxa"/>
            <w:tcBorders>
              <w:top w:val="single" w:color="auto" w:sz="6" w:space="0"/>
              <w:left w:val="single" w:color="auto" w:sz="4" w:space="0"/>
              <w:bottom w:val="single" w:color="auto" w:sz="6" w:space="0"/>
              <w:right w:val="single" w:color="auto" w:sz="4" w:space="0"/>
            </w:tcBorders>
            <w:noWrap w:val="0"/>
            <w:vAlign w:val="center"/>
          </w:tcPr>
          <w:p w14:paraId="7DC1D78A">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6E17972E">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249" w:type="dxa"/>
            <w:tcBorders>
              <w:top w:val="single" w:color="auto" w:sz="6" w:space="0"/>
              <w:left w:val="single" w:color="auto" w:sz="4" w:space="0"/>
              <w:bottom w:val="single" w:color="auto" w:sz="6" w:space="0"/>
              <w:right w:val="double" w:color="auto" w:sz="4" w:space="0"/>
            </w:tcBorders>
            <w:noWrap w:val="0"/>
            <w:vAlign w:val="center"/>
          </w:tcPr>
          <w:p w14:paraId="5E0DFD2F">
            <w:pPr>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满足招标文件要求且投标报价中最低的投标报价为评标基准价其价格分为满分；设备价格权值占比为45%，专机专用耗材价格权值占比为5%；报价总分＝设备报价得分＋专机专用耗材报价得分。投标人的价格分统一按照以下公式计算：</w:t>
            </w:r>
          </w:p>
          <w:p w14:paraId="3199592E">
            <w:pPr>
              <w:jc w:val="left"/>
              <w:rPr>
                <w:rFonts w:hint="eastAsia" w:ascii="仿宋" w:hAnsi="仿宋" w:eastAsia="仿宋" w:cs="仿宋"/>
                <w:sz w:val="24"/>
                <w:szCs w:val="24"/>
              </w:rPr>
            </w:pPr>
            <w:r>
              <w:rPr>
                <w:rFonts w:hint="eastAsia" w:ascii="仿宋" w:hAnsi="仿宋" w:eastAsia="仿宋" w:cs="仿宋"/>
                <w:sz w:val="24"/>
                <w:szCs w:val="24"/>
              </w:rPr>
              <w:t>设备投标报价得分=（评标基准价/投标报价）×价格权值×100</w:t>
            </w:r>
          </w:p>
          <w:p w14:paraId="4B9AECCA">
            <w:pPr>
              <w:jc w:val="left"/>
              <w:rPr>
                <w:rFonts w:hint="eastAsia" w:ascii="仿宋" w:hAnsi="仿宋" w:eastAsia="仿宋" w:cs="仿宋"/>
                <w:sz w:val="24"/>
                <w:szCs w:val="24"/>
              </w:rPr>
            </w:pPr>
            <w:r>
              <w:rPr>
                <w:rFonts w:hint="eastAsia" w:ascii="仿宋" w:hAnsi="仿宋" w:eastAsia="仿宋" w:cs="仿宋"/>
                <w:sz w:val="24"/>
                <w:szCs w:val="24"/>
              </w:rPr>
              <w:t>专机专用耗材投标报价得分=（评标基准价/投标报价）×价格权值×100</w:t>
            </w:r>
          </w:p>
          <w:p w14:paraId="1C0BBCE7">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EF0CFF1">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0727BE38">
      <w:pPr>
        <w:jc w:val="center"/>
        <w:rPr>
          <w:rFonts w:hint="eastAsia" w:ascii="仿宋" w:hAnsi="仿宋" w:eastAsia="仿宋" w:cs="仿宋"/>
          <w:sz w:val="24"/>
          <w:szCs w:val="24"/>
        </w:rPr>
      </w:pPr>
    </w:p>
    <w:p w14:paraId="44B6AE09">
      <w:pPr>
        <w:jc w:val="center"/>
        <w:rPr>
          <w:rFonts w:hint="eastAsia" w:ascii="仿宋" w:hAnsi="仿宋" w:eastAsia="仿宋" w:cs="仿宋"/>
          <w:sz w:val="24"/>
          <w:szCs w:val="24"/>
        </w:rPr>
      </w:pPr>
    </w:p>
    <w:p w14:paraId="5AA7DFCF">
      <w:pPr>
        <w:jc w:val="center"/>
        <w:rPr>
          <w:rFonts w:hint="eastAsia" w:ascii="仿宋" w:hAnsi="仿宋" w:eastAsia="仿宋" w:cs="仿宋"/>
          <w:sz w:val="24"/>
          <w:szCs w:val="24"/>
        </w:rPr>
      </w:pPr>
    </w:p>
    <w:p w14:paraId="64289275">
      <w:pPr>
        <w:jc w:val="center"/>
        <w:rPr>
          <w:rFonts w:hint="eastAsia" w:ascii="仿宋" w:hAnsi="仿宋" w:eastAsia="仿宋" w:cs="仿宋"/>
          <w:sz w:val="24"/>
          <w:szCs w:val="24"/>
        </w:rPr>
      </w:pPr>
    </w:p>
    <w:p w14:paraId="0013F47A">
      <w:pPr>
        <w:jc w:val="center"/>
        <w:rPr>
          <w:rFonts w:hint="eastAsia" w:ascii="仿宋" w:hAnsi="仿宋" w:eastAsia="仿宋" w:cs="仿宋"/>
          <w:sz w:val="24"/>
          <w:szCs w:val="24"/>
        </w:rPr>
      </w:pPr>
      <w:r>
        <w:rPr>
          <w:rFonts w:hint="eastAsia" w:ascii="仿宋" w:hAnsi="仿宋" w:eastAsia="仿宋" w:cs="仿宋"/>
          <w:sz w:val="24"/>
          <w:szCs w:val="24"/>
        </w:rPr>
        <w:br w:type="page"/>
      </w:r>
    </w:p>
    <w:p w14:paraId="4BE42FB4">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3"/>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5225F3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1287594A">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60" w:type="dxa"/>
            <w:tcBorders>
              <w:top w:val="double" w:color="auto" w:sz="4" w:space="0"/>
              <w:left w:val="single" w:color="auto" w:sz="4" w:space="0"/>
              <w:bottom w:val="single" w:color="auto" w:sz="6" w:space="0"/>
              <w:right w:val="single" w:color="auto" w:sz="4" w:space="0"/>
            </w:tcBorders>
            <w:noWrap w:val="0"/>
            <w:vAlign w:val="center"/>
          </w:tcPr>
          <w:p w14:paraId="49DBC2E4">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77" w:type="dxa"/>
            <w:gridSpan w:val="3"/>
            <w:tcBorders>
              <w:top w:val="double" w:color="auto" w:sz="4" w:space="0"/>
              <w:left w:val="single" w:color="auto" w:sz="4" w:space="0"/>
              <w:bottom w:val="single" w:color="auto" w:sz="6" w:space="0"/>
              <w:right w:val="double" w:color="auto" w:sz="4" w:space="0"/>
            </w:tcBorders>
            <w:noWrap w:val="0"/>
            <w:vAlign w:val="center"/>
          </w:tcPr>
          <w:p w14:paraId="3F52ACDD">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6E6A96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3152DABB">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60" w:type="dxa"/>
            <w:tcBorders>
              <w:top w:val="single" w:color="auto" w:sz="6" w:space="0"/>
              <w:left w:val="single" w:color="auto" w:sz="4" w:space="0"/>
              <w:bottom w:val="single" w:color="auto" w:sz="6" w:space="0"/>
              <w:right w:val="single" w:color="auto" w:sz="6" w:space="0"/>
            </w:tcBorders>
            <w:noWrap w:val="0"/>
            <w:vAlign w:val="center"/>
          </w:tcPr>
          <w:p w14:paraId="288CC65D">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0A98C903">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73" w:type="dxa"/>
            <w:tcBorders>
              <w:top w:val="single" w:color="auto" w:sz="6" w:space="0"/>
              <w:left w:val="single" w:color="auto" w:sz="6" w:space="0"/>
              <w:bottom w:val="single" w:color="auto" w:sz="6" w:space="0"/>
              <w:right w:val="single" w:color="auto" w:sz="4" w:space="0"/>
            </w:tcBorders>
            <w:noWrap w:val="0"/>
            <w:vAlign w:val="center"/>
          </w:tcPr>
          <w:p w14:paraId="3352F0FB">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772" w:type="dxa"/>
            <w:tcBorders>
              <w:top w:val="single" w:color="auto" w:sz="6" w:space="0"/>
              <w:left w:val="single" w:color="auto" w:sz="4" w:space="0"/>
              <w:bottom w:val="single" w:color="auto" w:sz="6" w:space="0"/>
              <w:right w:val="single" w:color="auto" w:sz="6" w:space="0"/>
            </w:tcBorders>
            <w:noWrap w:val="0"/>
            <w:vAlign w:val="center"/>
          </w:tcPr>
          <w:p w14:paraId="60E1E997">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4732" w:type="dxa"/>
            <w:tcBorders>
              <w:top w:val="single" w:color="auto" w:sz="6" w:space="0"/>
              <w:left w:val="single" w:color="auto" w:sz="6" w:space="0"/>
              <w:bottom w:val="single" w:color="auto" w:sz="6" w:space="0"/>
              <w:right w:val="double" w:color="auto" w:sz="4" w:space="0"/>
            </w:tcBorders>
            <w:noWrap w:val="0"/>
            <w:vAlign w:val="center"/>
          </w:tcPr>
          <w:p w14:paraId="10797FEE">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02240174">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06EF5DB5">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5EE3098D">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03638B64">
            <w:pPr>
              <w:jc w:val="left"/>
              <w:rPr>
                <w:rFonts w:hint="eastAsia" w:ascii="仿宋" w:hAnsi="仿宋" w:eastAsia="仿宋" w:cs="仿宋"/>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为实质性条款，任何一条负偏离视为无效投标</w:t>
            </w:r>
            <w:r>
              <w:rPr>
                <w:rFonts w:hint="eastAsia" w:ascii="仿宋" w:hAnsi="仿宋" w:eastAsia="仿宋" w:cs="仿宋"/>
                <w:sz w:val="24"/>
                <w:szCs w:val="24"/>
              </w:rPr>
              <w:t>）</w:t>
            </w:r>
          </w:p>
        </w:tc>
      </w:tr>
    </w:tbl>
    <w:p w14:paraId="187EF861">
      <w:pPr>
        <w:jc w:val="center"/>
        <w:rPr>
          <w:rFonts w:hint="eastAsia" w:ascii="仿宋" w:hAnsi="仿宋" w:eastAsia="仿宋" w:cs="仿宋"/>
          <w:sz w:val="24"/>
          <w:szCs w:val="24"/>
        </w:rPr>
      </w:pPr>
    </w:p>
    <w:p w14:paraId="5C102FCD">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3"/>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877"/>
        <w:gridCol w:w="820"/>
        <w:gridCol w:w="810"/>
        <w:gridCol w:w="4975"/>
      </w:tblGrid>
      <w:tr w14:paraId="52D3697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60BC9247">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877" w:type="dxa"/>
            <w:tcBorders>
              <w:tl2br w:val="nil"/>
              <w:tr2bl w:val="nil"/>
            </w:tcBorders>
            <w:noWrap w:val="0"/>
            <w:vAlign w:val="center"/>
          </w:tcPr>
          <w:p w14:paraId="301A1CB2">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605" w:type="dxa"/>
            <w:gridSpan w:val="3"/>
            <w:tcBorders>
              <w:tl2br w:val="nil"/>
              <w:tr2bl w:val="nil"/>
            </w:tcBorders>
            <w:noWrap w:val="0"/>
            <w:vAlign w:val="center"/>
          </w:tcPr>
          <w:p w14:paraId="44F7BB9F">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0CD9F8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14D39F96">
            <w:pPr>
              <w:jc w:val="center"/>
              <w:rPr>
                <w:rFonts w:hint="eastAsia" w:ascii="仿宋" w:hAnsi="仿宋" w:eastAsia="仿宋" w:cs="仿宋"/>
                <w:sz w:val="24"/>
                <w:szCs w:val="24"/>
              </w:rPr>
            </w:pPr>
            <w:r>
              <w:rPr>
                <w:rFonts w:hint="eastAsia" w:ascii="仿宋" w:hAnsi="仿宋" w:eastAsia="仿宋" w:cs="仿宋"/>
                <w:sz w:val="24"/>
                <w:szCs w:val="24"/>
              </w:rPr>
              <w:t>1</w:t>
            </w:r>
          </w:p>
        </w:tc>
        <w:tc>
          <w:tcPr>
            <w:tcW w:w="1877" w:type="dxa"/>
            <w:vMerge w:val="restart"/>
            <w:tcBorders>
              <w:tl2br w:val="nil"/>
              <w:tr2bl w:val="nil"/>
            </w:tcBorders>
            <w:noWrap w:val="0"/>
            <w:vAlign w:val="center"/>
          </w:tcPr>
          <w:p w14:paraId="72251E89">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29EF4DC7">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820" w:type="dxa"/>
            <w:tcBorders>
              <w:tl2br w:val="nil"/>
              <w:tr2bl w:val="nil"/>
            </w:tcBorders>
            <w:noWrap w:val="0"/>
            <w:vAlign w:val="center"/>
          </w:tcPr>
          <w:p w14:paraId="678009CD">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810" w:type="dxa"/>
            <w:tcBorders>
              <w:tl2br w:val="nil"/>
              <w:tr2bl w:val="nil"/>
            </w:tcBorders>
            <w:noWrap w:val="0"/>
            <w:vAlign w:val="center"/>
          </w:tcPr>
          <w:p w14:paraId="1CD8BBD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4975" w:type="dxa"/>
            <w:tcBorders>
              <w:tl2br w:val="nil"/>
              <w:tr2bl w:val="nil"/>
            </w:tcBorders>
            <w:noWrap w:val="0"/>
            <w:vAlign w:val="center"/>
          </w:tcPr>
          <w:p w14:paraId="73624C65">
            <w:pPr>
              <w:jc w:val="left"/>
              <w:rPr>
                <w:rFonts w:hint="eastAsia" w:ascii="仿宋" w:hAnsi="仿宋" w:eastAsia="仿宋" w:cs="仿宋"/>
                <w:color w:val="FF0000"/>
                <w:sz w:val="24"/>
                <w:szCs w:val="24"/>
                <w:lang w:val="en-US" w:eastAsia="zh-CN"/>
              </w:rPr>
            </w:pPr>
            <w:r>
              <w:rPr>
                <w:rFonts w:hint="eastAsia" w:ascii="仿宋" w:hAnsi="仿宋" w:eastAsia="仿宋" w:cs="仿宋"/>
                <w:sz w:val="24"/>
                <w:szCs w:val="24"/>
              </w:rPr>
              <w:t>1、</w:t>
            </w:r>
            <w:r>
              <w:rPr>
                <w:rFonts w:hint="eastAsia" w:ascii="仿宋" w:hAnsi="仿宋" w:eastAsia="仿宋" w:cs="仿宋"/>
                <w:color w:val="FF0000"/>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5EABF063">
            <w:pPr>
              <w:jc w:val="left"/>
              <w:rPr>
                <w:rFonts w:hint="eastAsia" w:ascii="仿宋" w:hAnsi="仿宋" w:eastAsia="仿宋" w:cs="仿宋"/>
                <w:color w:val="FF0000"/>
                <w:sz w:val="24"/>
                <w:szCs w:val="24"/>
                <w:lang w:val="en-US" w:eastAsia="zh-CN"/>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17CCBCB1">
            <w:pPr>
              <w:jc w:val="left"/>
              <w:rPr>
                <w:rFonts w:hint="eastAsia" w:ascii="仿宋" w:hAnsi="仿宋" w:eastAsia="仿宋" w:cs="仿宋"/>
                <w:sz w:val="24"/>
                <w:szCs w:val="24"/>
              </w:rPr>
            </w:pPr>
            <w:r>
              <w:rPr>
                <w:rFonts w:hint="eastAsia" w:ascii="仿宋" w:hAnsi="仿宋" w:eastAsia="仿宋" w:cs="仿宋"/>
                <w:sz w:val="24"/>
                <w:szCs w:val="24"/>
              </w:rPr>
              <w:t>2、质保期在招标要求基础上再增加1年的加10分，增加2年以上的加20分，最高可加20分。</w:t>
            </w:r>
          </w:p>
        </w:tc>
      </w:tr>
      <w:tr w14:paraId="5A8E80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3B1D42D6">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4AD20699">
            <w:pPr>
              <w:jc w:val="center"/>
              <w:rPr>
                <w:rFonts w:hint="eastAsia" w:ascii="仿宋" w:hAnsi="仿宋" w:eastAsia="仿宋" w:cs="仿宋"/>
                <w:sz w:val="24"/>
                <w:szCs w:val="24"/>
              </w:rPr>
            </w:pPr>
          </w:p>
        </w:tc>
        <w:tc>
          <w:tcPr>
            <w:tcW w:w="820" w:type="dxa"/>
            <w:tcBorders>
              <w:tl2br w:val="nil"/>
              <w:tr2bl w:val="nil"/>
            </w:tcBorders>
            <w:noWrap w:val="0"/>
            <w:vAlign w:val="center"/>
          </w:tcPr>
          <w:p w14:paraId="4C50928C">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810" w:type="dxa"/>
            <w:tcBorders>
              <w:tl2br w:val="nil"/>
              <w:tr2bl w:val="nil"/>
            </w:tcBorders>
            <w:noWrap w:val="0"/>
            <w:vAlign w:val="center"/>
          </w:tcPr>
          <w:p w14:paraId="5BC54872">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4975" w:type="dxa"/>
            <w:tcBorders>
              <w:tl2br w:val="nil"/>
              <w:tr2bl w:val="nil"/>
            </w:tcBorders>
            <w:noWrap w:val="0"/>
            <w:vAlign w:val="center"/>
          </w:tcPr>
          <w:p w14:paraId="5F5351EE">
            <w:pPr>
              <w:jc w:val="left"/>
              <w:rPr>
                <w:rFonts w:hint="eastAsia" w:ascii="仿宋" w:hAnsi="仿宋" w:eastAsia="仿宋" w:cs="仿宋"/>
                <w:color w:val="FF0000"/>
                <w:sz w:val="24"/>
                <w:szCs w:val="24"/>
              </w:rPr>
            </w:pPr>
            <w:r>
              <w:rPr>
                <w:rFonts w:hint="eastAsia" w:ascii="仿宋" w:hAnsi="仿宋" w:eastAsia="仿宋" w:cs="仿宋"/>
                <w:color w:val="FF0000"/>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4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④</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rPr>
              <w:t>培训</w:t>
            </w:r>
            <w:r>
              <w:rPr>
                <w:rFonts w:hint="eastAsia" w:ascii="仿宋" w:hAnsi="仿宋" w:eastAsia="仿宋" w:cs="仿宋"/>
                <w:color w:val="FF0000"/>
                <w:sz w:val="24"/>
                <w:szCs w:val="24"/>
                <w:lang w:eastAsia="zh-CN"/>
              </w:rPr>
              <w:t>计划安排</w:t>
            </w:r>
            <w:r>
              <w:rPr>
                <w:rFonts w:hint="eastAsia" w:ascii="仿宋" w:hAnsi="仿宋" w:eastAsia="仿宋" w:cs="仿宋"/>
                <w:color w:val="FF0000"/>
                <w:sz w:val="24"/>
                <w:szCs w:val="24"/>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5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⑤</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lang w:eastAsia="zh-CN"/>
              </w:rPr>
              <w:t>培训效果</w:t>
            </w:r>
            <w:r>
              <w:rPr>
                <w:rFonts w:hint="eastAsia" w:ascii="仿宋" w:hAnsi="仿宋" w:eastAsia="仿宋" w:cs="仿宋"/>
                <w:color w:val="FF0000"/>
                <w:sz w:val="24"/>
                <w:szCs w:val="24"/>
              </w:rPr>
              <w:t>等。</w:t>
            </w:r>
          </w:p>
          <w:p w14:paraId="03C5559E">
            <w:pPr>
              <w:jc w:val="left"/>
              <w:rPr>
                <w:rFonts w:hint="eastAsia" w:ascii="仿宋" w:hAnsi="仿宋" w:eastAsia="仿宋" w:cs="仿宋"/>
                <w:sz w:val="24"/>
                <w:szCs w:val="24"/>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104F886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1AB0A25B">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54CA1F2E">
            <w:pPr>
              <w:jc w:val="center"/>
              <w:rPr>
                <w:rFonts w:hint="eastAsia" w:ascii="仿宋" w:hAnsi="仿宋" w:eastAsia="仿宋" w:cs="仿宋"/>
                <w:sz w:val="24"/>
                <w:szCs w:val="24"/>
              </w:rPr>
            </w:pPr>
          </w:p>
        </w:tc>
        <w:tc>
          <w:tcPr>
            <w:tcW w:w="820" w:type="dxa"/>
            <w:tcBorders>
              <w:tl2br w:val="nil"/>
              <w:tr2bl w:val="nil"/>
            </w:tcBorders>
            <w:noWrap w:val="0"/>
            <w:vAlign w:val="center"/>
          </w:tcPr>
          <w:p w14:paraId="4A695C3E">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810" w:type="dxa"/>
            <w:tcBorders>
              <w:tl2br w:val="nil"/>
              <w:tr2bl w:val="nil"/>
            </w:tcBorders>
            <w:noWrap w:val="0"/>
            <w:vAlign w:val="center"/>
          </w:tcPr>
          <w:p w14:paraId="4233DE86">
            <w:pPr>
              <w:jc w:val="center"/>
              <w:rPr>
                <w:rFonts w:hint="eastAsia" w:ascii="仿宋" w:hAnsi="仿宋" w:eastAsia="仿宋" w:cs="仿宋"/>
                <w:sz w:val="24"/>
                <w:szCs w:val="24"/>
              </w:rPr>
            </w:pPr>
            <w:r>
              <w:rPr>
                <w:rFonts w:hint="eastAsia" w:ascii="仿宋" w:hAnsi="仿宋" w:eastAsia="仿宋" w:cs="仿宋"/>
                <w:sz w:val="24"/>
                <w:szCs w:val="24"/>
              </w:rPr>
              <w:t>30</w:t>
            </w:r>
          </w:p>
        </w:tc>
        <w:tc>
          <w:tcPr>
            <w:tcW w:w="4975" w:type="dxa"/>
            <w:tcBorders>
              <w:tl2br w:val="nil"/>
              <w:tr2bl w:val="nil"/>
            </w:tcBorders>
            <w:noWrap w:val="0"/>
            <w:vAlign w:val="center"/>
          </w:tcPr>
          <w:p w14:paraId="6725617A">
            <w:pPr>
              <w:jc w:val="left"/>
              <w:rPr>
                <w:rFonts w:hint="eastAsia" w:ascii="仿宋" w:hAnsi="仿宋" w:eastAsia="仿宋" w:cs="仿宋"/>
                <w:sz w:val="24"/>
                <w:szCs w:val="24"/>
              </w:rPr>
            </w:pPr>
            <w:r>
              <w:rPr>
                <w:rFonts w:hint="eastAsia" w:ascii="仿宋" w:hAnsi="仿宋" w:eastAsia="仿宋" w:cs="仿宋"/>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sz w:val="24"/>
                <w:szCs w:val="24"/>
                <w:lang w:val="en-US" w:eastAsia="zh-CN"/>
              </w:rPr>
              <w:t>5</w:t>
            </w:r>
            <w:r>
              <w:rPr>
                <w:rFonts w:hint="eastAsia" w:ascii="仿宋" w:hAnsi="仿宋" w:eastAsia="仿宋" w:cs="仿宋"/>
                <w:sz w:val="24"/>
                <w:szCs w:val="24"/>
              </w:rPr>
              <w:t>分，计满30分为止，未按要求提供不得分。</w:t>
            </w:r>
          </w:p>
        </w:tc>
      </w:tr>
    </w:tbl>
    <w:p w14:paraId="055C1246">
      <w:pPr>
        <w:pStyle w:val="2"/>
        <w:numPr>
          <w:ilvl w:val="0"/>
          <w:numId w:val="0"/>
        </w:numPr>
        <w:spacing w:line="240" w:lineRule="auto"/>
        <w:jc w:val="both"/>
        <w:rPr>
          <w:rFonts w:hint="eastAsia" w:ascii="宋体" w:hAnsi="宋体" w:cs="宋体"/>
          <w:color w:val="auto"/>
          <w:sz w:val="30"/>
          <w:szCs w:val="30"/>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第四章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left"/>
        <w:rPr>
          <w:rFonts w:hint="eastAsia" w:eastAsia="宋体"/>
          <w:b/>
          <w:color w:val="auto"/>
          <w:sz w:val="24"/>
          <w:lang w:eastAsia="zh-CN"/>
        </w:rPr>
      </w:pPr>
      <w:r>
        <w:rPr>
          <w:rFonts w:hint="eastAsia"/>
          <w:b/>
          <w:color w:val="auto"/>
          <w:sz w:val="24"/>
          <w:lang w:val="en-US" w:eastAsia="zh-CN"/>
        </w:rPr>
        <w:t xml:space="preserve">           </w:t>
      </w:r>
      <w:r>
        <w:rPr>
          <w:rFonts w:hint="eastAsia"/>
          <w:b/>
          <w:color w:val="auto"/>
          <w:sz w:val="24"/>
          <w:lang w:eastAsia="zh-CN"/>
        </w:rPr>
        <w:t>注：此项内容需包含投标商品和配套专用耗材名称、数量、品牌、型号、单价、总价、等信息</w:t>
      </w:r>
    </w:p>
    <w:p w14:paraId="6EE9D265">
      <w:pPr>
        <w:pStyle w:val="19"/>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8"/>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w:t>
      </w:r>
      <w:r>
        <w:rPr>
          <w:rFonts w:hint="eastAsia" w:ascii="宋体" w:hAnsi="宋体" w:cs="Times New Roman"/>
          <w:b w:val="0"/>
          <w:bCs w:val="0"/>
          <w:color w:val="auto"/>
          <w:kern w:val="2"/>
          <w:sz w:val="24"/>
          <w:szCs w:val="24"/>
          <w:lang w:val="en-US" w:eastAsia="zh-CN" w:bidi="ar-SA"/>
        </w:rPr>
        <w:t xml:space="preserve">    </w:t>
      </w:r>
      <w:r>
        <w:rPr>
          <w:rFonts w:hint="eastAsia" w:ascii="宋体" w:hAnsi="宋体" w:eastAsia="宋体" w:cs="Times New Roman"/>
          <w:b w:val="0"/>
          <w:bCs w:val="0"/>
          <w:color w:val="auto"/>
          <w:kern w:val="2"/>
          <w:sz w:val="24"/>
          <w:szCs w:val="24"/>
          <w:lang w:val="en-US" w:eastAsia="zh-CN" w:bidi="ar-SA"/>
        </w:rPr>
        <w:t xml:space="preserve">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1C1C7AD1">
      <w:pPr>
        <w:pStyle w:val="2"/>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41F48F73">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134583E1">
      <w:pPr>
        <w:rPr>
          <w:rFonts w:hint="eastAsia" w:ascii="宋体" w:hAnsi="宋体" w:cs="宋体"/>
          <w:color w:val="auto"/>
        </w:rPr>
      </w:pPr>
    </w:p>
    <w:p w14:paraId="0C36B7E3">
      <w:pPr>
        <w:rPr>
          <w:rFonts w:hint="eastAsia"/>
          <w:color w:val="auto"/>
        </w:rPr>
      </w:pPr>
    </w:p>
    <w:p w14:paraId="642A6E11">
      <w:pPr>
        <w:jc w:val="center"/>
        <w:rPr>
          <w:b/>
          <w:color w:val="auto"/>
          <w:sz w:val="24"/>
        </w:rPr>
      </w:pPr>
      <w:r>
        <w:rPr>
          <w:b/>
          <w:color w:val="auto"/>
          <w:sz w:val="28"/>
          <w:szCs w:val="28"/>
        </w:rPr>
        <w:t>第一部分、开标一览表</w:t>
      </w:r>
    </w:p>
    <w:p w14:paraId="31CF1AE0">
      <w:pPr>
        <w:jc w:val="center"/>
        <w:rPr>
          <w:b/>
          <w:color w:val="auto"/>
          <w:sz w:val="24"/>
        </w:rPr>
      </w:pPr>
    </w:p>
    <w:p w14:paraId="6D74B725">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5F8096E0">
      <w:pPr>
        <w:pStyle w:val="19"/>
        <w:rPr>
          <w:color w:val="auto"/>
        </w:rPr>
      </w:pPr>
    </w:p>
    <w:p w14:paraId="3009323F">
      <w:pPr>
        <w:adjustRightInd w:val="0"/>
        <w:snapToGrid w:val="0"/>
        <w:spacing w:line="360" w:lineRule="auto"/>
        <w:jc w:val="center"/>
        <w:rPr>
          <w:rFonts w:hint="eastAsia" w:ascii="宋体" w:hAnsi="宋体" w:cs="宋体"/>
          <w:b/>
          <w:color w:val="auto"/>
          <w:sz w:val="28"/>
          <w:szCs w:val="28"/>
        </w:rPr>
      </w:pPr>
    </w:p>
    <w:p w14:paraId="60B9049D">
      <w:pPr>
        <w:adjustRightInd w:val="0"/>
        <w:snapToGrid w:val="0"/>
        <w:spacing w:line="360" w:lineRule="auto"/>
        <w:jc w:val="center"/>
        <w:rPr>
          <w:rFonts w:hint="eastAsia" w:ascii="宋体" w:hAnsi="宋体" w:cs="宋体"/>
          <w:b/>
          <w:color w:val="auto"/>
          <w:sz w:val="28"/>
          <w:szCs w:val="28"/>
        </w:rPr>
      </w:pPr>
    </w:p>
    <w:p w14:paraId="47A9E7E6">
      <w:pPr>
        <w:adjustRightInd w:val="0"/>
        <w:snapToGrid w:val="0"/>
        <w:spacing w:line="360" w:lineRule="auto"/>
        <w:jc w:val="center"/>
        <w:rPr>
          <w:rFonts w:hint="eastAsia" w:ascii="宋体" w:hAnsi="宋体" w:cs="宋体"/>
          <w:b/>
          <w:color w:val="auto"/>
          <w:sz w:val="28"/>
          <w:szCs w:val="28"/>
        </w:rPr>
      </w:pPr>
    </w:p>
    <w:p w14:paraId="0B851203">
      <w:pPr>
        <w:adjustRightInd w:val="0"/>
        <w:snapToGrid w:val="0"/>
        <w:spacing w:line="360" w:lineRule="auto"/>
        <w:jc w:val="center"/>
        <w:rPr>
          <w:rFonts w:hint="eastAsia" w:ascii="宋体" w:hAnsi="宋体" w:cs="宋体"/>
          <w:b/>
          <w:color w:val="auto"/>
          <w:sz w:val="28"/>
          <w:szCs w:val="28"/>
        </w:rPr>
      </w:pPr>
    </w:p>
    <w:p w14:paraId="5B522B1B">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6BE0168">
      <w:pPr>
        <w:pStyle w:val="18"/>
        <w:rPr>
          <w:rFonts w:hint="eastAsia"/>
          <w:lang w:eastAsia="zh-CN"/>
        </w:rPr>
      </w:pPr>
    </w:p>
    <w:p w14:paraId="1C4CE19E">
      <w:pPr>
        <w:adjustRightInd w:val="0"/>
        <w:snapToGrid w:val="0"/>
        <w:spacing w:line="360" w:lineRule="auto"/>
        <w:jc w:val="center"/>
        <w:rPr>
          <w:rFonts w:hint="eastAsia" w:ascii="宋体" w:hAnsi="宋体" w:cs="宋体"/>
          <w:b/>
          <w:color w:val="auto"/>
          <w:sz w:val="24"/>
          <w:szCs w:val="20"/>
        </w:rPr>
      </w:pPr>
    </w:p>
    <w:p w14:paraId="5F76F163">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CD8A2E9">
      <w:pPr>
        <w:adjustRightInd w:val="0"/>
        <w:snapToGrid w:val="0"/>
        <w:spacing w:line="360" w:lineRule="auto"/>
        <w:rPr>
          <w:rFonts w:hint="eastAsia" w:ascii="宋体" w:hAnsi="宋体" w:cs="宋体"/>
          <w:b/>
          <w:color w:val="auto"/>
          <w:sz w:val="28"/>
          <w:szCs w:val="28"/>
        </w:rPr>
      </w:pPr>
    </w:p>
    <w:p w14:paraId="57FDFFD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5DC957A3">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8EF331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9B331C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387948B">
      <w:pPr>
        <w:adjustRightInd w:val="0"/>
        <w:snapToGrid w:val="0"/>
        <w:spacing w:line="360" w:lineRule="auto"/>
        <w:ind w:firstLine="480" w:firstLineChars="200"/>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FD0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5E52C6EF">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346FCCD3">
      <w:pPr>
        <w:adjustRightInd w:val="0"/>
        <w:snapToGrid w:val="0"/>
        <w:spacing w:line="360" w:lineRule="auto"/>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7CB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44E9FC1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1ED57AA">
      <w:pPr>
        <w:adjustRightInd w:val="0"/>
        <w:snapToGrid w:val="0"/>
        <w:spacing w:line="360" w:lineRule="auto"/>
        <w:rPr>
          <w:rFonts w:hint="eastAsia" w:ascii="宋体" w:hAnsi="宋体" w:cs="宋体"/>
          <w:color w:val="auto"/>
          <w:sz w:val="24"/>
        </w:rPr>
      </w:pPr>
    </w:p>
    <w:p w14:paraId="73683F9B">
      <w:pPr>
        <w:adjustRightInd w:val="0"/>
        <w:snapToGrid w:val="0"/>
        <w:spacing w:line="360" w:lineRule="auto"/>
        <w:rPr>
          <w:rFonts w:hint="eastAsia" w:ascii="宋体" w:hAnsi="宋体" w:cs="宋体"/>
          <w:color w:val="auto"/>
          <w:sz w:val="24"/>
        </w:rPr>
      </w:pPr>
    </w:p>
    <w:p w14:paraId="74E54024">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1F56670">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83F8CB4">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24EF6AB7">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E41FF70">
      <w:pPr>
        <w:adjustRightInd w:val="0"/>
        <w:snapToGrid w:val="0"/>
        <w:spacing w:line="360" w:lineRule="auto"/>
        <w:rPr>
          <w:rFonts w:hint="eastAsia" w:ascii="宋体" w:hAnsi="宋体" w:cs="宋体"/>
          <w:b/>
          <w:color w:val="auto"/>
          <w:sz w:val="28"/>
          <w:szCs w:val="28"/>
        </w:rPr>
      </w:pPr>
    </w:p>
    <w:p w14:paraId="0F5DBA54">
      <w:pPr>
        <w:rPr>
          <w:rFonts w:hint="eastAsia" w:ascii="宋体" w:hAnsi="宋体" w:cs="宋体"/>
          <w:b/>
          <w:color w:val="auto"/>
          <w:sz w:val="24"/>
          <w:szCs w:val="20"/>
        </w:rPr>
      </w:pPr>
      <w:r>
        <w:rPr>
          <w:rFonts w:hint="eastAsia" w:ascii="宋体" w:hAnsi="宋体" w:cs="宋体"/>
          <w:b/>
          <w:color w:val="auto"/>
          <w:sz w:val="24"/>
          <w:szCs w:val="20"/>
        </w:rPr>
        <w:br w:type="page"/>
      </w:r>
    </w:p>
    <w:p w14:paraId="2A1D0F17">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09B775A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DD6DC6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0DB7BF5D">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53678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98527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218121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265A087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2E36ED8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E4EEB9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0226D39D">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35752034">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60EB918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024C14A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ADBE667">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64DDD70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55D549B2">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2C3DEF84">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6F3D623">
      <w:pPr>
        <w:adjustRightInd w:val="0"/>
        <w:snapToGrid w:val="0"/>
        <w:spacing w:line="360" w:lineRule="auto"/>
        <w:jc w:val="center"/>
        <w:rPr>
          <w:rFonts w:hint="eastAsia" w:ascii="宋体" w:hAnsi="宋体" w:cs="宋体"/>
          <w:b/>
          <w:color w:val="auto"/>
          <w:sz w:val="24"/>
          <w:szCs w:val="20"/>
        </w:rPr>
      </w:pPr>
    </w:p>
    <w:p w14:paraId="40F1283F">
      <w:pPr>
        <w:adjustRightInd w:val="0"/>
        <w:snapToGrid w:val="0"/>
        <w:spacing w:line="360" w:lineRule="auto"/>
        <w:rPr>
          <w:rFonts w:hint="eastAsia" w:ascii="宋体" w:hAnsi="宋体" w:cs="宋体"/>
          <w:b/>
          <w:color w:val="auto"/>
          <w:sz w:val="24"/>
          <w:szCs w:val="20"/>
        </w:rPr>
      </w:pPr>
    </w:p>
    <w:p w14:paraId="5128EA67">
      <w:pPr>
        <w:adjustRightInd w:val="0"/>
        <w:snapToGrid w:val="0"/>
        <w:spacing w:line="360" w:lineRule="auto"/>
        <w:rPr>
          <w:rFonts w:hint="eastAsia" w:ascii="宋体" w:hAnsi="宋体" w:cs="宋体"/>
          <w:b/>
          <w:color w:val="auto"/>
          <w:sz w:val="24"/>
          <w:szCs w:val="20"/>
        </w:rPr>
      </w:pPr>
    </w:p>
    <w:p w14:paraId="27E5A23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78E56FA9">
      <w:pPr>
        <w:adjustRightInd w:val="0"/>
        <w:snapToGrid w:val="0"/>
        <w:spacing w:line="360" w:lineRule="auto"/>
        <w:jc w:val="center"/>
        <w:rPr>
          <w:rFonts w:hint="eastAsia" w:ascii="宋体" w:hAnsi="宋体" w:cs="宋体"/>
          <w:b/>
          <w:color w:val="auto"/>
          <w:sz w:val="24"/>
          <w:szCs w:val="20"/>
        </w:rPr>
      </w:pPr>
    </w:p>
    <w:p w14:paraId="675A77B9">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3EFCC07C">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802804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9A5AFCB">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8865E0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D7A1C86">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8FD500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6D76AF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6755BE39">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2DEE6198">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663AA6F9">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15BE5D0A">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CEF50E">
      <w:pPr>
        <w:jc w:val="left"/>
        <w:rPr>
          <w:rFonts w:hint="eastAsia" w:ascii="宋体" w:hAnsi="宋体" w:eastAsia="宋体" w:cs="Times New Roman"/>
          <w:b w:val="0"/>
          <w:bCs w:val="0"/>
          <w:color w:val="auto"/>
          <w:kern w:val="2"/>
          <w:sz w:val="24"/>
          <w:szCs w:val="24"/>
          <w:lang w:val="en-US" w:eastAsia="zh-CN" w:bidi="ar-SA"/>
        </w:rPr>
      </w:pPr>
    </w:p>
    <w:p w14:paraId="30756FE5">
      <w:pPr>
        <w:jc w:val="left"/>
        <w:rPr>
          <w:rFonts w:hint="eastAsia" w:ascii="宋体" w:hAnsi="宋体" w:eastAsia="宋体" w:cs="Times New Roman"/>
          <w:b w:val="0"/>
          <w:bCs w:val="0"/>
          <w:color w:val="auto"/>
          <w:kern w:val="2"/>
          <w:sz w:val="24"/>
          <w:szCs w:val="24"/>
          <w:lang w:val="en-US" w:eastAsia="zh-CN" w:bidi="ar-SA"/>
        </w:rPr>
      </w:pPr>
    </w:p>
    <w:p w14:paraId="15990E6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97D7B90">
      <w:pPr>
        <w:jc w:val="center"/>
        <w:rPr>
          <w:rFonts w:hint="eastAsia" w:ascii="宋体" w:hAnsi="宋体" w:cs="宋体"/>
          <w:b/>
          <w:color w:val="auto"/>
          <w:sz w:val="24"/>
        </w:rPr>
        <w:sectPr>
          <w:headerReference r:id="rId5" w:type="default"/>
          <w:footerReference r:id="rId6" w:type="default"/>
          <w:pgSz w:w="11906" w:h="16838"/>
          <w:pgMar w:top="1440" w:right="1080" w:bottom="1440" w:left="1080" w:header="567" w:footer="283" w:gutter="0"/>
          <w:pgNumType w:fmt="decimal" w:start="1"/>
          <w:cols w:space="720" w:num="1"/>
          <w:docGrid w:linePitch="312" w:charSpace="0"/>
        </w:sectPr>
      </w:pPr>
    </w:p>
    <w:p w14:paraId="2D0C4DC7">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14:paraId="62A84631">
      <w:pPr>
        <w:pStyle w:val="18"/>
        <w:rPr>
          <w:rFonts w:hint="eastAsia"/>
          <w:lang w:eastAsia="zh-CN"/>
        </w:rPr>
      </w:pPr>
    </w:p>
    <w:p w14:paraId="7C3A650F">
      <w:pPr>
        <w:spacing w:before="120" w:beforeLines="50" w:after="120" w:afterLines="50" w:line="276" w:lineRule="auto"/>
        <w:jc w:val="center"/>
        <w:rPr>
          <w:b/>
          <w:color w:val="auto"/>
          <w:sz w:val="24"/>
        </w:rPr>
      </w:pPr>
      <w:r>
        <w:rPr>
          <w:b/>
          <w:color w:val="auto"/>
          <w:sz w:val="24"/>
        </w:rPr>
        <w:t>采购需求响应/偏离表</w:t>
      </w:r>
    </w:p>
    <w:p w14:paraId="08E5B6D6">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7E6D2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35B2D26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2E39D26F">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08D2C1B3">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515E670">
            <w:pPr>
              <w:adjustRightInd w:val="0"/>
              <w:snapToGrid w:val="0"/>
              <w:spacing w:before="50" w:line="360" w:lineRule="auto"/>
              <w:jc w:val="center"/>
              <w:rPr>
                <w:color w:val="auto"/>
              </w:rPr>
            </w:pPr>
            <w:r>
              <w:rPr>
                <w:color w:val="auto"/>
              </w:rPr>
              <w:t>投标文件应答</w:t>
            </w:r>
          </w:p>
        </w:tc>
        <w:tc>
          <w:tcPr>
            <w:tcW w:w="1513" w:type="dxa"/>
            <w:noWrap w:val="0"/>
            <w:vAlign w:val="center"/>
          </w:tcPr>
          <w:p w14:paraId="5FDFAC2D">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52B13AE">
            <w:pPr>
              <w:adjustRightInd w:val="0"/>
              <w:snapToGrid w:val="0"/>
              <w:spacing w:before="50" w:line="360" w:lineRule="auto"/>
              <w:ind w:left="-88" w:leftChars="-42"/>
              <w:jc w:val="center"/>
              <w:rPr>
                <w:color w:val="auto"/>
                <w:szCs w:val="21"/>
              </w:rPr>
            </w:pPr>
            <w:r>
              <w:rPr>
                <w:color w:val="auto"/>
                <w:szCs w:val="21"/>
              </w:rPr>
              <w:t>偏离说明</w:t>
            </w:r>
          </w:p>
        </w:tc>
      </w:tr>
      <w:tr w14:paraId="36F3D4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29A584E">
            <w:pPr>
              <w:adjustRightInd w:val="0"/>
              <w:snapToGrid w:val="0"/>
              <w:spacing w:before="50" w:line="360" w:lineRule="auto"/>
              <w:ind w:left="-88" w:leftChars="-42"/>
              <w:jc w:val="center"/>
              <w:rPr>
                <w:color w:val="auto"/>
                <w:szCs w:val="21"/>
              </w:rPr>
            </w:pPr>
          </w:p>
        </w:tc>
        <w:tc>
          <w:tcPr>
            <w:tcW w:w="1877" w:type="dxa"/>
            <w:noWrap w:val="0"/>
            <w:vAlign w:val="center"/>
          </w:tcPr>
          <w:p w14:paraId="04FA1F79">
            <w:pPr>
              <w:adjustRightInd w:val="0"/>
              <w:snapToGrid w:val="0"/>
              <w:spacing w:before="50" w:line="360" w:lineRule="auto"/>
              <w:ind w:left="-88" w:leftChars="-42"/>
              <w:jc w:val="center"/>
              <w:rPr>
                <w:color w:val="auto"/>
                <w:szCs w:val="21"/>
              </w:rPr>
            </w:pPr>
          </w:p>
        </w:tc>
        <w:tc>
          <w:tcPr>
            <w:tcW w:w="1671" w:type="dxa"/>
            <w:noWrap w:val="0"/>
            <w:vAlign w:val="center"/>
          </w:tcPr>
          <w:p w14:paraId="111429EA">
            <w:pPr>
              <w:adjustRightInd w:val="0"/>
              <w:snapToGrid w:val="0"/>
              <w:spacing w:before="50" w:line="360" w:lineRule="auto"/>
              <w:ind w:left="-88" w:leftChars="-42"/>
              <w:jc w:val="center"/>
              <w:rPr>
                <w:color w:val="auto"/>
                <w:szCs w:val="21"/>
              </w:rPr>
            </w:pPr>
          </w:p>
        </w:tc>
        <w:tc>
          <w:tcPr>
            <w:tcW w:w="1608" w:type="dxa"/>
            <w:noWrap w:val="0"/>
            <w:vAlign w:val="center"/>
          </w:tcPr>
          <w:p w14:paraId="3F5C712D">
            <w:pPr>
              <w:adjustRightInd w:val="0"/>
              <w:snapToGrid w:val="0"/>
              <w:spacing w:before="50" w:line="360" w:lineRule="auto"/>
              <w:ind w:left="-88" w:leftChars="-42"/>
              <w:jc w:val="center"/>
              <w:rPr>
                <w:color w:val="auto"/>
                <w:szCs w:val="21"/>
              </w:rPr>
            </w:pPr>
          </w:p>
        </w:tc>
        <w:tc>
          <w:tcPr>
            <w:tcW w:w="1513" w:type="dxa"/>
            <w:noWrap w:val="0"/>
            <w:vAlign w:val="center"/>
          </w:tcPr>
          <w:p w14:paraId="1FD267E1">
            <w:pPr>
              <w:adjustRightInd w:val="0"/>
              <w:snapToGrid w:val="0"/>
              <w:spacing w:before="50" w:line="360" w:lineRule="auto"/>
              <w:ind w:left="-88" w:leftChars="-42"/>
              <w:jc w:val="center"/>
              <w:rPr>
                <w:color w:val="auto"/>
                <w:szCs w:val="21"/>
              </w:rPr>
            </w:pPr>
          </w:p>
        </w:tc>
        <w:tc>
          <w:tcPr>
            <w:tcW w:w="1061" w:type="dxa"/>
            <w:noWrap w:val="0"/>
            <w:vAlign w:val="center"/>
          </w:tcPr>
          <w:p w14:paraId="1B0463B5">
            <w:pPr>
              <w:adjustRightInd w:val="0"/>
              <w:snapToGrid w:val="0"/>
              <w:spacing w:before="50" w:line="360" w:lineRule="auto"/>
              <w:ind w:left="-88" w:leftChars="-42"/>
              <w:jc w:val="center"/>
              <w:rPr>
                <w:color w:val="auto"/>
                <w:szCs w:val="21"/>
              </w:rPr>
            </w:pPr>
          </w:p>
        </w:tc>
      </w:tr>
      <w:tr w14:paraId="3C6C57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DE623C7">
            <w:pPr>
              <w:adjustRightInd w:val="0"/>
              <w:snapToGrid w:val="0"/>
              <w:spacing w:before="50" w:line="360" w:lineRule="auto"/>
              <w:ind w:left="-88" w:leftChars="-42"/>
              <w:jc w:val="center"/>
              <w:rPr>
                <w:color w:val="auto"/>
                <w:szCs w:val="21"/>
              </w:rPr>
            </w:pPr>
          </w:p>
        </w:tc>
        <w:tc>
          <w:tcPr>
            <w:tcW w:w="1877" w:type="dxa"/>
            <w:noWrap w:val="0"/>
            <w:vAlign w:val="center"/>
          </w:tcPr>
          <w:p w14:paraId="0139CDB7">
            <w:pPr>
              <w:adjustRightInd w:val="0"/>
              <w:snapToGrid w:val="0"/>
              <w:spacing w:before="50" w:line="360" w:lineRule="auto"/>
              <w:ind w:left="-88" w:leftChars="-42"/>
              <w:jc w:val="center"/>
              <w:rPr>
                <w:color w:val="auto"/>
                <w:szCs w:val="21"/>
              </w:rPr>
            </w:pPr>
          </w:p>
        </w:tc>
        <w:tc>
          <w:tcPr>
            <w:tcW w:w="1671" w:type="dxa"/>
            <w:noWrap w:val="0"/>
            <w:vAlign w:val="center"/>
          </w:tcPr>
          <w:p w14:paraId="74FA9D80">
            <w:pPr>
              <w:adjustRightInd w:val="0"/>
              <w:snapToGrid w:val="0"/>
              <w:spacing w:before="50" w:line="360" w:lineRule="auto"/>
              <w:ind w:left="-88" w:leftChars="-42"/>
              <w:jc w:val="center"/>
              <w:rPr>
                <w:color w:val="auto"/>
                <w:szCs w:val="21"/>
              </w:rPr>
            </w:pPr>
          </w:p>
        </w:tc>
        <w:tc>
          <w:tcPr>
            <w:tcW w:w="1608" w:type="dxa"/>
            <w:noWrap w:val="0"/>
            <w:vAlign w:val="center"/>
          </w:tcPr>
          <w:p w14:paraId="4DF49294">
            <w:pPr>
              <w:adjustRightInd w:val="0"/>
              <w:snapToGrid w:val="0"/>
              <w:spacing w:before="50" w:line="360" w:lineRule="auto"/>
              <w:ind w:left="-88" w:leftChars="-42"/>
              <w:jc w:val="center"/>
              <w:rPr>
                <w:color w:val="auto"/>
                <w:szCs w:val="21"/>
              </w:rPr>
            </w:pPr>
          </w:p>
        </w:tc>
        <w:tc>
          <w:tcPr>
            <w:tcW w:w="1513" w:type="dxa"/>
            <w:noWrap w:val="0"/>
            <w:vAlign w:val="center"/>
          </w:tcPr>
          <w:p w14:paraId="72CDE795">
            <w:pPr>
              <w:adjustRightInd w:val="0"/>
              <w:snapToGrid w:val="0"/>
              <w:spacing w:before="50" w:line="360" w:lineRule="auto"/>
              <w:ind w:left="-88" w:leftChars="-42"/>
              <w:jc w:val="center"/>
              <w:rPr>
                <w:color w:val="auto"/>
                <w:szCs w:val="21"/>
              </w:rPr>
            </w:pPr>
          </w:p>
        </w:tc>
        <w:tc>
          <w:tcPr>
            <w:tcW w:w="1061" w:type="dxa"/>
            <w:noWrap w:val="0"/>
            <w:vAlign w:val="center"/>
          </w:tcPr>
          <w:p w14:paraId="35D7F53B">
            <w:pPr>
              <w:adjustRightInd w:val="0"/>
              <w:snapToGrid w:val="0"/>
              <w:spacing w:before="50" w:line="360" w:lineRule="auto"/>
              <w:ind w:left="-88" w:leftChars="-42"/>
              <w:jc w:val="center"/>
              <w:rPr>
                <w:color w:val="auto"/>
                <w:szCs w:val="21"/>
              </w:rPr>
            </w:pPr>
          </w:p>
        </w:tc>
      </w:tr>
      <w:tr w14:paraId="6DCDB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05" w:hRule="atLeast"/>
          <w:jc w:val="center"/>
        </w:trPr>
        <w:tc>
          <w:tcPr>
            <w:tcW w:w="627" w:type="dxa"/>
            <w:noWrap w:val="0"/>
            <w:vAlign w:val="center"/>
          </w:tcPr>
          <w:p w14:paraId="77C5504F">
            <w:pPr>
              <w:adjustRightInd w:val="0"/>
              <w:snapToGrid w:val="0"/>
              <w:spacing w:before="50" w:line="360" w:lineRule="auto"/>
              <w:ind w:left="-88" w:leftChars="-42"/>
              <w:jc w:val="center"/>
              <w:rPr>
                <w:color w:val="auto"/>
                <w:szCs w:val="21"/>
              </w:rPr>
            </w:pPr>
          </w:p>
        </w:tc>
        <w:tc>
          <w:tcPr>
            <w:tcW w:w="1877" w:type="dxa"/>
            <w:noWrap w:val="0"/>
            <w:vAlign w:val="center"/>
          </w:tcPr>
          <w:p w14:paraId="3FC5B1D9">
            <w:pPr>
              <w:adjustRightInd w:val="0"/>
              <w:snapToGrid w:val="0"/>
              <w:spacing w:before="50" w:line="360" w:lineRule="auto"/>
              <w:ind w:left="-88" w:leftChars="-42"/>
              <w:jc w:val="center"/>
              <w:rPr>
                <w:color w:val="auto"/>
                <w:szCs w:val="21"/>
              </w:rPr>
            </w:pPr>
          </w:p>
        </w:tc>
        <w:tc>
          <w:tcPr>
            <w:tcW w:w="1671" w:type="dxa"/>
            <w:noWrap w:val="0"/>
            <w:vAlign w:val="center"/>
          </w:tcPr>
          <w:p w14:paraId="6B2107E1">
            <w:pPr>
              <w:adjustRightInd w:val="0"/>
              <w:snapToGrid w:val="0"/>
              <w:spacing w:before="50" w:line="360" w:lineRule="auto"/>
              <w:ind w:left="-88" w:leftChars="-42"/>
              <w:jc w:val="center"/>
              <w:rPr>
                <w:color w:val="auto"/>
                <w:szCs w:val="21"/>
              </w:rPr>
            </w:pPr>
          </w:p>
        </w:tc>
        <w:tc>
          <w:tcPr>
            <w:tcW w:w="1608" w:type="dxa"/>
            <w:noWrap w:val="0"/>
            <w:vAlign w:val="center"/>
          </w:tcPr>
          <w:p w14:paraId="50438157">
            <w:pPr>
              <w:adjustRightInd w:val="0"/>
              <w:snapToGrid w:val="0"/>
              <w:spacing w:before="50" w:line="360" w:lineRule="auto"/>
              <w:ind w:left="-88" w:leftChars="-42"/>
              <w:jc w:val="center"/>
              <w:rPr>
                <w:color w:val="auto"/>
                <w:szCs w:val="21"/>
              </w:rPr>
            </w:pPr>
          </w:p>
        </w:tc>
        <w:tc>
          <w:tcPr>
            <w:tcW w:w="1513" w:type="dxa"/>
            <w:noWrap w:val="0"/>
            <w:vAlign w:val="center"/>
          </w:tcPr>
          <w:p w14:paraId="2617429B">
            <w:pPr>
              <w:adjustRightInd w:val="0"/>
              <w:snapToGrid w:val="0"/>
              <w:spacing w:before="50" w:line="360" w:lineRule="auto"/>
              <w:ind w:left="-88" w:leftChars="-42"/>
              <w:jc w:val="center"/>
              <w:rPr>
                <w:color w:val="auto"/>
                <w:szCs w:val="21"/>
              </w:rPr>
            </w:pPr>
          </w:p>
        </w:tc>
        <w:tc>
          <w:tcPr>
            <w:tcW w:w="1061" w:type="dxa"/>
            <w:noWrap w:val="0"/>
            <w:vAlign w:val="center"/>
          </w:tcPr>
          <w:p w14:paraId="469BAD0E">
            <w:pPr>
              <w:adjustRightInd w:val="0"/>
              <w:snapToGrid w:val="0"/>
              <w:spacing w:before="50" w:line="360" w:lineRule="auto"/>
              <w:ind w:left="-88" w:leftChars="-42"/>
              <w:jc w:val="center"/>
              <w:rPr>
                <w:color w:val="auto"/>
                <w:szCs w:val="21"/>
              </w:rPr>
            </w:pPr>
          </w:p>
        </w:tc>
      </w:tr>
      <w:tr w14:paraId="46674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497E606C">
            <w:pPr>
              <w:rPr>
                <w:b/>
                <w:color w:val="auto"/>
              </w:rPr>
            </w:pPr>
          </w:p>
        </w:tc>
      </w:tr>
    </w:tbl>
    <w:p w14:paraId="40556A6B">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48C94C08">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7C43CBC0">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075DFE47">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本项目为综合评分法，所有参数必须在响应表中逐条应答。</w:t>
      </w:r>
    </w:p>
    <w:p w14:paraId="0DA40BA3">
      <w:pPr>
        <w:pStyle w:val="19"/>
        <w:rPr>
          <w:color w:val="auto"/>
        </w:rPr>
      </w:pPr>
    </w:p>
    <w:p w14:paraId="0EFEE20B">
      <w:pPr>
        <w:pStyle w:val="18"/>
        <w:rPr>
          <w:rFonts w:hint="eastAsia"/>
          <w:lang w:eastAsia="zh-CN"/>
        </w:rPr>
      </w:pPr>
    </w:p>
    <w:p w14:paraId="2CB8A4F5"/>
    <w:p w14:paraId="58D1B8B1">
      <w:pPr>
        <w:pStyle w:val="19"/>
        <w:rPr>
          <w:color w:val="auto"/>
        </w:rPr>
      </w:pPr>
    </w:p>
    <w:p w14:paraId="43E00E01">
      <w:pPr>
        <w:pStyle w:val="18"/>
        <w:rPr>
          <w:rFonts w:hint="eastAsia"/>
          <w:lang w:eastAsia="zh-CN"/>
        </w:rPr>
      </w:pPr>
    </w:p>
    <w:p w14:paraId="53FA0AAC"/>
    <w:p w14:paraId="36507233"/>
    <w:p w14:paraId="5AA899CA"/>
    <w:p w14:paraId="2936BFC4"/>
    <w:p w14:paraId="740A0EF9"/>
    <w:p w14:paraId="57A7D16B"/>
    <w:p w14:paraId="003C5A4F"/>
    <w:sectPr>
      <w:footerReference r:id="rId7"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9"/>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59C88">
    <w:pPr>
      <w:pStyle w:val="9"/>
      <w:rPr>
        <w:rFonts w:hint="eastAsia" w:ascii="仿宋_GB2312" w:eastAsia="仿宋_GB2312"/>
        <w:bCs/>
        <w:u w:val="single"/>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20831">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D20831">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1A9478CC">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9"/>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10"/>
      <w:ind w:left="8280" w:hanging="8280" w:hangingChars="4600"/>
      <w:jc w:val="both"/>
      <w:rPr>
        <w:rFonts w:hint="eastAsia"/>
      </w:rPr>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4788">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BD7ABD19"/>
    <w:multiLevelType w:val="singleLevel"/>
    <w:tmpl w:val="BD7ABD19"/>
    <w:lvl w:ilvl="0" w:tentative="0">
      <w:start w:val="1"/>
      <w:numFmt w:val="decimal"/>
      <w:suff w:val="nothing"/>
      <w:lvlText w:val="%1、"/>
      <w:lvlJc w:val="left"/>
    </w:lvl>
  </w:abstractNum>
  <w:abstractNum w:abstractNumId="2">
    <w:nsid w:val="EB67FE42"/>
    <w:multiLevelType w:val="singleLevel"/>
    <w:tmpl w:val="EB67FE42"/>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8A74D4"/>
    <w:rsid w:val="0CAD77BD"/>
    <w:rsid w:val="0E331420"/>
    <w:rsid w:val="0EDD1643"/>
    <w:rsid w:val="0FB9029C"/>
    <w:rsid w:val="10897B23"/>
    <w:rsid w:val="10914EF9"/>
    <w:rsid w:val="10B8663C"/>
    <w:rsid w:val="114A6E83"/>
    <w:rsid w:val="12080B62"/>
    <w:rsid w:val="12994AC5"/>
    <w:rsid w:val="129F447F"/>
    <w:rsid w:val="12C86253"/>
    <w:rsid w:val="15060AC8"/>
    <w:rsid w:val="15125EAE"/>
    <w:rsid w:val="15675A4C"/>
    <w:rsid w:val="17F91BB8"/>
    <w:rsid w:val="193E7D91"/>
    <w:rsid w:val="1943608F"/>
    <w:rsid w:val="19E91315"/>
    <w:rsid w:val="1AF56B46"/>
    <w:rsid w:val="1D5071B5"/>
    <w:rsid w:val="1DD7486D"/>
    <w:rsid w:val="1E79119D"/>
    <w:rsid w:val="1F334F58"/>
    <w:rsid w:val="1F796B24"/>
    <w:rsid w:val="1FC602A8"/>
    <w:rsid w:val="1FE73549"/>
    <w:rsid w:val="2038045E"/>
    <w:rsid w:val="20AF0900"/>
    <w:rsid w:val="20B41DA7"/>
    <w:rsid w:val="21C61C7A"/>
    <w:rsid w:val="2383771E"/>
    <w:rsid w:val="23F374DB"/>
    <w:rsid w:val="24881A32"/>
    <w:rsid w:val="24E375C9"/>
    <w:rsid w:val="25266F96"/>
    <w:rsid w:val="267547DF"/>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66241E2"/>
    <w:rsid w:val="36B66AAC"/>
    <w:rsid w:val="36E47928"/>
    <w:rsid w:val="372F7378"/>
    <w:rsid w:val="37BA0809"/>
    <w:rsid w:val="37DE919F"/>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3FEF41F9"/>
    <w:rsid w:val="3FF36FC1"/>
    <w:rsid w:val="403B4B34"/>
    <w:rsid w:val="4140452A"/>
    <w:rsid w:val="414D7889"/>
    <w:rsid w:val="41BB0BAE"/>
    <w:rsid w:val="425629F5"/>
    <w:rsid w:val="4284152B"/>
    <w:rsid w:val="429A4992"/>
    <w:rsid w:val="435B161D"/>
    <w:rsid w:val="43B25DAC"/>
    <w:rsid w:val="44771DFD"/>
    <w:rsid w:val="45D569C3"/>
    <w:rsid w:val="475F9F54"/>
    <w:rsid w:val="479B74B7"/>
    <w:rsid w:val="48735221"/>
    <w:rsid w:val="49E92B05"/>
    <w:rsid w:val="4A354E62"/>
    <w:rsid w:val="4AEE1A11"/>
    <w:rsid w:val="4B7F39F4"/>
    <w:rsid w:val="4BAE646F"/>
    <w:rsid w:val="4CAC1559"/>
    <w:rsid w:val="4D1D09A0"/>
    <w:rsid w:val="4D754257"/>
    <w:rsid w:val="4DCD6AB3"/>
    <w:rsid w:val="4E334DF1"/>
    <w:rsid w:val="4EE7662F"/>
    <w:rsid w:val="50216DCD"/>
    <w:rsid w:val="50540C20"/>
    <w:rsid w:val="506258C6"/>
    <w:rsid w:val="51AC28BD"/>
    <w:rsid w:val="52183ACC"/>
    <w:rsid w:val="5275566D"/>
    <w:rsid w:val="53238E8B"/>
    <w:rsid w:val="53B55872"/>
    <w:rsid w:val="544055F2"/>
    <w:rsid w:val="54AD4386"/>
    <w:rsid w:val="55D8243C"/>
    <w:rsid w:val="575FAF7E"/>
    <w:rsid w:val="581A7C72"/>
    <w:rsid w:val="583A4BD7"/>
    <w:rsid w:val="59C74B1F"/>
    <w:rsid w:val="5A886F59"/>
    <w:rsid w:val="5BDF167E"/>
    <w:rsid w:val="5F153ADC"/>
    <w:rsid w:val="604D5946"/>
    <w:rsid w:val="611B6B1B"/>
    <w:rsid w:val="62C222C2"/>
    <w:rsid w:val="632D7C40"/>
    <w:rsid w:val="63F39F53"/>
    <w:rsid w:val="64133D6A"/>
    <w:rsid w:val="64245572"/>
    <w:rsid w:val="674A3DD5"/>
    <w:rsid w:val="678E4F5D"/>
    <w:rsid w:val="67F3562A"/>
    <w:rsid w:val="67FFBBE3"/>
    <w:rsid w:val="680E122C"/>
    <w:rsid w:val="6A4E1D63"/>
    <w:rsid w:val="6C486FE4"/>
    <w:rsid w:val="6CA409DF"/>
    <w:rsid w:val="6DE375E4"/>
    <w:rsid w:val="6E8E5287"/>
    <w:rsid w:val="6FAC3B48"/>
    <w:rsid w:val="6FAD463B"/>
    <w:rsid w:val="6FBE332C"/>
    <w:rsid w:val="6FFF67CC"/>
    <w:rsid w:val="70CE0BC9"/>
    <w:rsid w:val="71554367"/>
    <w:rsid w:val="71584067"/>
    <w:rsid w:val="71F26E91"/>
    <w:rsid w:val="735201FF"/>
    <w:rsid w:val="737B50A4"/>
    <w:rsid w:val="73F40E72"/>
    <w:rsid w:val="74566F5C"/>
    <w:rsid w:val="74D6FB2A"/>
    <w:rsid w:val="750117A8"/>
    <w:rsid w:val="755B2270"/>
    <w:rsid w:val="75E27514"/>
    <w:rsid w:val="76920D75"/>
    <w:rsid w:val="76C47877"/>
    <w:rsid w:val="77423DFF"/>
    <w:rsid w:val="77FD832A"/>
    <w:rsid w:val="783B5EA9"/>
    <w:rsid w:val="78B114A6"/>
    <w:rsid w:val="79EB699D"/>
    <w:rsid w:val="79FFEA3A"/>
    <w:rsid w:val="7A3E5854"/>
    <w:rsid w:val="7ABA298D"/>
    <w:rsid w:val="7B0620DE"/>
    <w:rsid w:val="7B7D7C18"/>
    <w:rsid w:val="7BBF44BB"/>
    <w:rsid w:val="7BF15CE4"/>
    <w:rsid w:val="7C3A27E5"/>
    <w:rsid w:val="7D9727DD"/>
    <w:rsid w:val="7EFB4F6E"/>
    <w:rsid w:val="7F164138"/>
    <w:rsid w:val="7F1A5E95"/>
    <w:rsid w:val="7FFB0877"/>
    <w:rsid w:val="7FFE88A1"/>
    <w:rsid w:val="AFDF5C35"/>
    <w:rsid w:val="BFF77D2B"/>
    <w:rsid w:val="DBDE3CFA"/>
    <w:rsid w:val="DFF97BBC"/>
    <w:rsid w:val="DFFF05F4"/>
    <w:rsid w:val="ED6D9162"/>
    <w:rsid w:val="EF7B1925"/>
    <w:rsid w:val="FB6F87D3"/>
    <w:rsid w:val="FBBD03F1"/>
    <w:rsid w:val="FDF7EAA8"/>
    <w:rsid w:val="FDFF9C76"/>
    <w:rsid w:val="FEAFF452"/>
    <w:rsid w:val="FEE34724"/>
    <w:rsid w:val="FF1EFC35"/>
    <w:rsid w:val="FFC8EF32"/>
    <w:rsid w:val="FFD76697"/>
    <w:rsid w:val="FFE136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qFormat/>
    <w:uiPriority w:val="0"/>
    <w:pPr>
      <w:keepNext/>
      <w:keepLines/>
      <w:spacing w:line="360" w:lineRule="auto"/>
      <w:outlineLvl w:val="1"/>
    </w:pPr>
    <w:rPr>
      <w:b/>
      <w:bCs/>
      <w:sz w:val="24"/>
      <w:szCs w:val="32"/>
    </w:rPr>
  </w:style>
  <w:style w:type="paragraph" w:styleId="4">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Body Text Indent"/>
    <w:basedOn w:val="1"/>
    <w:autoRedefine/>
    <w:qFormat/>
    <w:uiPriority w:val="99"/>
    <w:pPr>
      <w:spacing w:line="400" w:lineRule="exact"/>
      <w:ind w:left="630"/>
    </w:pPr>
    <w:rPr>
      <w:rFonts w:ascii="楷体_GB2312"/>
      <w:sz w:val="30"/>
      <w:szCs w:val="30"/>
    </w:rPr>
  </w:style>
  <w:style w:type="paragraph" w:styleId="8">
    <w:name w:val="Date"/>
    <w:basedOn w:val="1"/>
    <w:next w:val="1"/>
    <w:qFormat/>
    <w:uiPriority w:val="0"/>
    <w:rPr>
      <w:color w:val="000000"/>
      <w:kern w:val="0"/>
      <w:sz w:val="30"/>
    </w:rPr>
  </w:style>
  <w:style w:type="paragraph" w:styleId="9">
    <w:name w:val="footer"/>
    <w:basedOn w:val="1"/>
    <w:autoRedefine/>
    <w:qFormat/>
    <w:uiPriority w:val="0"/>
    <w:pPr>
      <w:tabs>
        <w:tab w:val="center" w:pos="4153"/>
        <w:tab w:val="right" w:pos="8306"/>
      </w:tabs>
      <w:snapToGrid w:val="0"/>
      <w:jc w:val="left"/>
    </w:pPr>
    <w:rPr>
      <w:kern w:val="0"/>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autoRedefine/>
    <w:qFormat/>
    <w:uiPriority w:val="0"/>
    <w:rPr>
      <w:sz w:val="24"/>
    </w:rPr>
  </w:style>
  <w:style w:type="paragraph" w:styleId="12">
    <w:name w:val="Body Text First Indent 2"/>
    <w:basedOn w:val="7"/>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大标题"/>
    <w:basedOn w:val="1"/>
    <w:next w:val="12"/>
    <w:autoRedefine/>
    <w:qFormat/>
    <w:uiPriority w:val="0"/>
    <w:pPr>
      <w:jc w:val="center"/>
    </w:pPr>
    <w:rPr>
      <w:rFonts w:ascii="Arial" w:hAnsi="Arial" w:eastAsia="宋体"/>
      <w:b/>
      <w:sz w:val="28"/>
      <w:szCs w:val="24"/>
    </w:rPr>
  </w:style>
  <w:style w:type="paragraph" w:customStyle="1" w:styleId="17">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8">
    <w:name w:val="列出段落1"/>
    <w:basedOn w:val="1"/>
    <w:autoRedefine/>
    <w:qFormat/>
    <w:uiPriority w:val="99"/>
    <w:pPr>
      <w:ind w:firstLine="420" w:firstLineChars="200"/>
    </w:pPr>
  </w:style>
  <w:style w:type="paragraph" w:customStyle="1" w:styleId="19">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0">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2828</Words>
  <Characters>3174</Characters>
  <Lines>0</Lines>
  <Paragraphs>0</Paragraphs>
  <TotalTime>0</TotalTime>
  <ScaleCrop>false</ScaleCrop>
  <LinksUpToDate>false</LinksUpToDate>
  <CharactersWithSpaces>3216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2023-07-19T17:45:00Z</dcterms:created>
  <dc:creator>是小豹子</dc:creator>
  <cp:lastModifiedBy>沁sqr</cp:lastModifiedBy>
  <dcterms:modified xsi:type="dcterms:W3CDTF">2026-06-23T14:11:28Z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