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5"/>
        <w:snapToGrid w:val="0"/>
        <w:jc w:val="center"/>
        <w:rPr>
          <w:rFonts w:hint="eastAsia" w:ascii="Arial" w:hAnsi="Arial" w:eastAsia="方正小标宋简体" w:cs="Arial"/>
          <w:color w:val="auto"/>
          <w:sz w:val="72"/>
          <w:szCs w:val="72"/>
          <w:lang w:eastAsia="zh-CN"/>
        </w:rPr>
      </w:pPr>
      <w:bookmarkStart w:id="0" w:name="_Toc16523570"/>
    </w:p>
    <w:p w14:paraId="624C34B6">
      <w:pPr>
        <w:pStyle w:val="5"/>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5"/>
        <w:snapToGrid w:val="0"/>
        <w:jc w:val="center"/>
        <w:rPr>
          <w:rFonts w:hint="eastAsia" w:ascii="Arial" w:hAnsi="Arial" w:eastAsia="方正小标宋简体" w:cs="Arial"/>
          <w:sz w:val="72"/>
          <w:szCs w:val="72"/>
        </w:rPr>
      </w:pPr>
    </w:p>
    <w:p w14:paraId="16E58BC0">
      <w:pPr>
        <w:pStyle w:val="5"/>
        <w:snapToGrid w:val="0"/>
        <w:jc w:val="center"/>
        <w:rPr>
          <w:rFonts w:hint="eastAsia" w:ascii="Arial" w:hAnsi="Arial" w:eastAsia="方正小标宋简体" w:cs="Arial"/>
          <w:sz w:val="72"/>
          <w:szCs w:val="72"/>
        </w:rPr>
      </w:pPr>
    </w:p>
    <w:p w14:paraId="7D3C3256">
      <w:pPr>
        <w:pStyle w:val="5"/>
        <w:snapToGrid w:val="0"/>
        <w:jc w:val="center"/>
        <w:rPr>
          <w:rFonts w:hint="eastAsia" w:ascii="Arial" w:hAnsi="Arial" w:eastAsia="方正小标宋简体" w:cs="Arial"/>
          <w:sz w:val="72"/>
          <w:szCs w:val="72"/>
        </w:rPr>
      </w:pPr>
    </w:p>
    <w:p w14:paraId="11608FC0">
      <w:pPr>
        <w:pStyle w:val="5"/>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5"/>
        <w:snapToGrid w:val="0"/>
        <w:jc w:val="center"/>
        <w:rPr>
          <w:rFonts w:ascii="Arial" w:hAnsi="Arial" w:cs="Arial"/>
          <w:sz w:val="32"/>
          <w:szCs w:val="32"/>
        </w:rPr>
      </w:pPr>
    </w:p>
    <w:p w14:paraId="46311545">
      <w:pPr>
        <w:pStyle w:val="18"/>
        <w:rPr>
          <w:rFonts w:ascii="Arial" w:hAnsi="Arial" w:cs="Arial"/>
          <w:sz w:val="32"/>
          <w:szCs w:val="32"/>
        </w:rPr>
      </w:pPr>
    </w:p>
    <w:p w14:paraId="5F00027D">
      <w:pPr>
        <w:pStyle w:val="12"/>
        <w:rPr>
          <w:rFonts w:ascii="Arial" w:hAnsi="Arial" w:cs="Arial"/>
          <w:sz w:val="32"/>
          <w:szCs w:val="32"/>
        </w:rPr>
      </w:pPr>
    </w:p>
    <w:p w14:paraId="790E99FE">
      <w:pPr>
        <w:pStyle w:val="12"/>
        <w:rPr>
          <w:rFonts w:ascii="Arial" w:hAnsi="Arial" w:cs="Arial"/>
          <w:sz w:val="32"/>
          <w:szCs w:val="32"/>
        </w:rPr>
      </w:pPr>
    </w:p>
    <w:p w14:paraId="6D6CF557">
      <w:pPr>
        <w:pStyle w:val="12"/>
        <w:rPr>
          <w:rFonts w:ascii="Arial" w:hAnsi="Arial" w:cs="Arial"/>
          <w:sz w:val="32"/>
          <w:szCs w:val="32"/>
        </w:rPr>
      </w:pPr>
    </w:p>
    <w:p w14:paraId="77BABE1C">
      <w:pPr>
        <w:pStyle w:val="12"/>
        <w:rPr>
          <w:rFonts w:ascii="Arial" w:hAnsi="Arial" w:cs="Arial"/>
          <w:sz w:val="32"/>
          <w:szCs w:val="32"/>
        </w:rPr>
      </w:pPr>
    </w:p>
    <w:p w14:paraId="1C0FB295">
      <w:pPr>
        <w:pStyle w:val="12"/>
        <w:rPr>
          <w:rFonts w:ascii="Arial" w:hAnsi="Arial" w:cs="Arial"/>
          <w:sz w:val="32"/>
          <w:szCs w:val="32"/>
        </w:rPr>
      </w:pPr>
    </w:p>
    <w:p w14:paraId="4C96CB97">
      <w:pPr>
        <w:pStyle w:val="12"/>
        <w:rPr>
          <w:rFonts w:ascii="Arial" w:hAnsi="Arial" w:cs="Arial"/>
          <w:sz w:val="32"/>
          <w:szCs w:val="32"/>
        </w:rPr>
      </w:pPr>
    </w:p>
    <w:p w14:paraId="1825AAC5">
      <w:pPr>
        <w:pStyle w:val="12"/>
        <w:rPr>
          <w:rFonts w:ascii="Arial" w:hAnsi="Arial" w:cs="Arial"/>
          <w:sz w:val="32"/>
          <w:szCs w:val="32"/>
        </w:rPr>
      </w:pPr>
    </w:p>
    <w:p w14:paraId="1B92FFA5">
      <w:pPr>
        <w:pStyle w:val="5"/>
        <w:snapToGrid w:val="0"/>
        <w:jc w:val="center"/>
        <w:rPr>
          <w:rFonts w:ascii="Arial" w:hAnsi="Arial" w:cs="Arial"/>
          <w:sz w:val="32"/>
          <w:szCs w:val="32"/>
        </w:rPr>
      </w:pPr>
    </w:p>
    <w:p w14:paraId="3EB4A47A">
      <w:pPr>
        <w:pStyle w:val="5"/>
        <w:snapToGrid w:val="0"/>
        <w:jc w:val="center"/>
        <w:rPr>
          <w:rFonts w:ascii="Arial" w:hAnsi="Arial" w:cs="Arial"/>
          <w:sz w:val="32"/>
          <w:szCs w:val="32"/>
        </w:rPr>
      </w:pPr>
    </w:p>
    <w:p w14:paraId="487767A3">
      <w:pPr>
        <w:spacing w:line="360" w:lineRule="auto"/>
        <w:rPr>
          <w:rFonts w:hint="eastAsia"/>
          <w:bCs/>
          <w:sz w:val="32"/>
          <w:szCs w:val="32"/>
        </w:rPr>
      </w:pPr>
    </w:p>
    <w:p w14:paraId="6D36AD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lang w:val="en-US" w:eastAsia="zh-CN"/>
        </w:rPr>
      </w:pPr>
      <w:r>
        <w:rPr>
          <w:rFonts w:hint="eastAsia"/>
          <w:bCs/>
          <w:sz w:val="32"/>
          <w:szCs w:val="32"/>
        </w:rPr>
        <w:t>项目名称：</w:t>
      </w:r>
      <w:r>
        <w:rPr>
          <w:rFonts w:hint="eastAsia"/>
          <w:bCs/>
          <w:sz w:val="32"/>
          <w:szCs w:val="32"/>
          <w:lang w:val="en-US" w:eastAsia="zh-CN"/>
        </w:rPr>
        <w:t>娄底市中心医院设备科采购项目</w:t>
      </w:r>
    </w:p>
    <w:p w14:paraId="5CF2881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default" w:ascii="Times New Roman" w:hAnsi="Times New Roman" w:eastAsia="宋体" w:cs="Times New Roman"/>
          <w:bCs/>
          <w:sz w:val="32"/>
          <w:szCs w:val="32"/>
          <w:lang w:val="en-US" w:eastAsia="zh-CN"/>
        </w:rPr>
      </w:pPr>
      <w:r>
        <w:rPr>
          <w:rFonts w:hint="eastAsia"/>
          <w:bCs/>
          <w:sz w:val="32"/>
          <w:szCs w:val="32"/>
          <w:lang w:val="en-US" w:eastAsia="zh-CN"/>
        </w:rPr>
        <w:t>[</w:t>
      </w:r>
      <w:r>
        <w:rPr>
          <w:rFonts w:hint="eastAsia" w:ascii="Times New Roman" w:hAnsi="Times New Roman" w:eastAsia="宋体" w:cs="Times New Roman"/>
          <w:bCs/>
          <w:sz w:val="32"/>
          <w:szCs w:val="32"/>
          <w:lang w:val="en-US" w:eastAsia="zh-CN"/>
        </w:rPr>
        <w:t>生物刺激反馈仪(筛查治疗两用)医院公开挂网]</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bookmarkStart w:id="4" w:name="_GoBack"/>
      <w:bookmarkEnd w:id="4"/>
      <w:r>
        <w:rPr>
          <w:rFonts w:hint="eastAsia" w:ascii="宋体" w:hAnsi="宋体" w:cs="宋体"/>
          <w:bCs/>
          <w:sz w:val="32"/>
          <w:szCs w:val="32"/>
          <w:lang w:val="en-US" w:eastAsia="zh-CN"/>
        </w:rPr>
        <w:t>六</w:t>
      </w:r>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 w:val="0"/>
          <w:bCs/>
          <w:color w:val="auto"/>
          <w:sz w:val="24"/>
          <w:szCs w:val="24"/>
          <w:u w:val="single"/>
          <w:lang w:val="en-US" w:eastAsia="zh-CN"/>
        </w:rPr>
        <w:t>生物刺激反馈仪(筛查治疗两用)</w:t>
      </w:r>
      <w:r>
        <w:rPr>
          <w:rFonts w:hint="eastAsia" w:asciiTheme="minorEastAsia" w:hAnsiTheme="minorEastAsia" w:eastAsiaTheme="minorEastAsia" w:cstheme="minorEastAsia"/>
          <w:b w:val="0"/>
          <w:bCs/>
          <w:color w:val="auto"/>
          <w:sz w:val="24"/>
          <w:szCs w:val="24"/>
          <w:lang w:val="en-US" w:eastAsia="zh-CN"/>
        </w:rPr>
        <w:t>项目进行医院公开挂网，</w:t>
      </w:r>
      <w:r>
        <w:rPr>
          <w:rFonts w:hint="eastAsia" w:asciiTheme="minorEastAsia" w:hAnsiTheme="minorEastAsia" w:eastAsiaTheme="minorEastAsia" w:cstheme="minorEastAsia"/>
          <w:bCs/>
          <w:color w:val="auto"/>
          <w:sz w:val="24"/>
          <w:szCs w:val="24"/>
          <w:lang w:val="en-US" w:eastAsia="zh-CN"/>
        </w:rPr>
        <w:t>将事项公告如下：</w:t>
      </w:r>
    </w:p>
    <w:p w14:paraId="435321EC">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 w:val="0"/>
          <w:bCs/>
          <w:color w:val="auto"/>
          <w:sz w:val="24"/>
          <w:szCs w:val="24"/>
          <w:u w:val="single"/>
          <w:lang w:val="en-US" w:eastAsia="zh-CN"/>
        </w:rPr>
        <w:t>生物刺激反馈仪(筛查治疗两用)</w:t>
      </w:r>
      <w:r>
        <w:rPr>
          <w:rFonts w:hint="eastAsia" w:asciiTheme="minorEastAsia" w:hAnsiTheme="minorEastAsia" w:eastAsiaTheme="minorEastAsia" w:cstheme="minorEastAsia"/>
          <w:b w:val="0"/>
          <w:bCs/>
          <w:color w:val="auto"/>
          <w:sz w:val="24"/>
          <w:szCs w:val="24"/>
          <w:lang w:val="en-US" w:eastAsia="zh-CN"/>
        </w:rPr>
        <w:t>项目</w:t>
      </w:r>
    </w:p>
    <w:p w14:paraId="0AC8FEC7">
      <w:pPr>
        <w:pStyle w:val="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2383CB8">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6、中标人配合医院完成湖南省电子卖场直购程序；</w:t>
      </w:r>
    </w:p>
    <w:p w14:paraId="12B84378">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275849F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2、联系人及联系方式：孙沁忍 16673869902</w:t>
      </w:r>
    </w:p>
    <w:p w14:paraId="31227066">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2.2、经评标委员会评审后，有效投标人少于3家的。</w:t>
      </w:r>
    </w:p>
    <w:p w14:paraId="1D69A94E">
      <w:pPr>
        <w:pStyle w:val="18"/>
        <w:rPr>
          <w:rFonts w:hint="eastAsia"/>
          <w:lang w:val="en-US" w:eastAsia="zh-CN"/>
        </w:rPr>
      </w:pPr>
    </w:p>
    <w:p w14:paraId="687E9235">
      <w:pPr>
        <w:pStyle w:val="18"/>
        <w:jc w:val="both"/>
        <w:rPr>
          <w:rFonts w:hint="default"/>
          <w:lang w:val="en-US" w:eastAsia="zh-CN"/>
        </w:rPr>
      </w:pPr>
    </w:p>
    <w:p w14:paraId="7AECD5DA">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88F41C4">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F1A0BE1">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DFCDC16">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  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3"/>
        <w:tblW w:w="968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386"/>
      </w:tblGrid>
      <w:tr w14:paraId="20CC542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B022375">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8C42CFF">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DFBA065">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02A107C">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77B7E320">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是否允许进口产品</w:t>
            </w:r>
          </w:p>
        </w:tc>
      </w:tr>
      <w:tr w14:paraId="4C6A9AF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632E86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7B4A00D">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生物刺激反馈仪(筛查治疗两用)</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C5513F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76CDE9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6.3</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425ABB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否</w:t>
            </w:r>
          </w:p>
        </w:tc>
      </w:tr>
    </w:tbl>
    <w:p w14:paraId="45296353">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686681D9">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eastAsia" w:ascii="华文宋体" w:hAnsi="华文宋体" w:eastAsia="华文宋体" w:cs="华文宋体"/>
          <w:b/>
          <w:bCs/>
          <w:sz w:val="24"/>
          <w:szCs w:val="24"/>
          <w:lang w:val="en-US" w:eastAsia="zh-CN"/>
        </w:rPr>
      </w:pPr>
      <w:r>
        <w:rPr>
          <w:rFonts w:hint="eastAsia" w:ascii="华文宋体" w:hAnsi="华文宋体" w:eastAsia="华文宋体" w:cs="华文宋体"/>
          <w:b/>
          <w:bCs/>
          <w:sz w:val="24"/>
          <w:szCs w:val="24"/>
          <w:lang w:val="en-US" w:eastAsia="zh-CN"/>
        </w:rPr>
        <w:t>(一）适用范围</w:t>
      </w:r>
    </w:p>
    <w:p w14:paraId="695A529D">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对患者表面肌电信号、压力信号进行采集、分析和生物反馈训练，通过电刺激和肌电触发电刺激进行肌肉功能障碍的治疗；适用于产后盆底功能康复治疗，提升肌肉健康状态；治疗轻度、中度压力性尿失禁、以压力性尿失禁为主的混合性尿失禁；便秘的辅助治疗；治疗盆腔器官脱垂；慢性盆腔疼痛的缓解，慢性盆腔炎的辅助治疗；治疗阴道松弛症，女性性功能障碍的辅助治疗。</w:t>
      </w:r>
    </w:p>
    <w:p w14:paraId="31B40421">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eastAsia" w:ascii="华文宋体" w:hAnsi="华文宋体" w:eastAsia="华文宋体" w:cs="华文宋体"/>
          <w:b/>
          <w:bCs/>
          <w:sz w:val="24"/>
          <w:szCs w:val="24"/>
          <w:lang w:val="en-US" w:eastAsia="zh-CN"/>
        </w:rPr>
      </w:pPr>
      <w:r>
        <w:rPr>
          <w:rFonts w:hint="eastAsia" w:ascii="华文宋体" w:hAnsi="华文宋体" w:eastAsia="华文宋体" w:cs="华文宋体"/>
          <w:b/>
          <w:bCs/>
          <w:sz w:val="24"/>
          <w:szCs w:val="24"/>
          <w:lang w:val="en-US" w:eastAsia="zh-CN"/>
        </w:rPr>
        <w:t>（二）技术参数：</w:t>
      </w:r>
    </w:p>
    <w:p w14:paraId="152C7661">
      <w:pPr>
        <w:keepNext w:val="0"/>
        <w:keepLines w:val="0"/>
        <w:pageBreakBefore w:val="0"/>
        <w:numPr>
          <w:ilvl w:val="0"/>
          <w:numId w:val="2"/>
        </w:numPr>
        <w:kinsoku/>
        <w:wordWrap/>
        <w:overflowPunct/>
        <w:topLinePunct w:val="0"/>
        <w:autoSpaceDE/>
        <w:autoSpaceDN/>
        <w:bidi w:val="0"/>
        <w:adjustRightInd/>
        <w:spacing w:line="360" w:lineRule="auto"/>
        <w:ind w:leftChars="0" w:firstLine="480" w:firstLineChars="200"/>
        <w:jc w:val="left"/>
        <w:textAlignment w:val="auto"/>
        <w:rPr>
          <w:rFonts w:hint="eastAsia" w:ascii="华文宋体" w:hAnsi="华文宋体" w:eastAsia="华文宋体" w:cs="华文宋体"/>
          <w:b/>
          <w:bCs/>
          <w:color w:val="auto"/>
          <w:kern w:val="0"/>
          <w:sz w:val="24"/>
          <w:szCs w:val="24"/>
          <w:lang w:val="en-US" w:eastAsia="zh-CN"/>
        </w:rPr>
      </w:pPr>
      <w:r>
        <w:rPr>
          <w:rFonts w:hint="eastAsia" w:ascii="华文宋体" w:hAnsi="华文宋体" w:eastAsia="华文宋体" w:cs="华文宋体"/>
          <w:b w:val="0"/>
          <w:bCs w:val="0"/>
          <w:color w:val="auto"/>
          <w:kern w:val="0"/>
          <w:sz w:val="24"/>
          <w:szCs w:val="24"/>
          <w:lang w:val="en-US" w:eastAsia="zh-CN"/>
        </w:rPr>
        <w:t>主机≥4个电刺激通道</w:t>
      </w:r>
    </w:p>
    <w:p w14:paraId="6992B97B">
      <w:pPr>
        <w:keepNext w:val="0"/>
        <w:keepLines w:val="0"/>
        <w:pageBreakBefore w:val="0"/>
        <w:numPr>
          <w:ilvl w:val="0"/>
          <w:numId w:val="2"/>
        </w:numPr>
        <w:kinsoku/>
        <w:wordWrap/>
        <w:overflowPunct/>
        <w:topLinePunct w:val="0"/>
        <w:autoSpaceDE/>
        <w:autoSpaceDN/>
        <w:bidi w:val="0"/>
        <w:adjustRightInd/>
        <w:spacing w:line="360" w:lineRule="auto"/>
        <w:ind w:leftChars="0" w:firstLine="480" w:firstLineChars="200"/>
        <w:jc w:val="left"/>
        <w:textAlignment w:val="auto"/>
        <w:rPr>
          <w:rFonts w:hint="eastAsia" w:ascii="华文宋体" w:hAnsi="华文宋体" w:eastAsia="华文宋体" w:cs="华文宋体"/>
          <w:b/>
          <w:bCs/>
          <w:color w:val="auto"/>
          <w:kern w:val="0"/>
          <w:sz w:val="24"/>
          <w:szCs w:val="24"/>
          <w:lang w:val="en-US" w:eastAsia="zh-CN"/>
        </w:rPr>
      </w:pPr>
      <w:r>
        <w:rPr>
          <w:rFonts w:hint="eastAsia" w:ascii="华文宋体" w:hAnsi="华文宋体" w:eastAsia="华文宋体" w:cs="华文宋体"/>
          <w:b w:val="0"/>
          <w:bCs w:val="0"/>
          <w:color w:val="auto"/>
          <w:kern w:val="0"/>
          <w:sz w:val="24"/>
          <w:szCs w:val="24"/>
          <w:lang w:val="en-US" w:eastAsia="zh-CN"/>
        </w:rPr>
        <w:t>设备配置独立显示屏幕2个，主机为≥13寸触控屏，其中副屏尺寸≥23寸</w:t>
      </w:r>
    </w:p>
    <w:p w14:paraId="759D2693">
      <w:pPr>
        <w:keepNext w:val="0"/>
        <w:keepLines w:val="0"/>
        <w:pageBreakBefore w:val="0"/>
        <w:numPr>
          <w:ilvl w:val="0"/>
          <w:numId w:val="2"/>
        </w:numPr>
        <w:kinsoku/>
        <w:wordWrap/>
        <w:overflowPunct/>
        <w:topLinePunct w:val="0"/>
        <w:autoSpaceDE/>
        <w:autoSpaceDN/>
        <w:bidi w:val="0"/>
        <w:adjustRightInd/>
        <w:spacing w:line="360" w:lineRule="auto"/>
        <w:ind w:leftChars="0" w:firstLine="480" w:firstLineChars="200"/>
        <w:jc w:val="left"/>
        <w:textAlignment w:val="auto"/>
        <w:rPr>
          <w:rFonts w:hint="eastAsia" w:ascii="华文宋体" w:hAnsi="华文宋体" w:eastAsia="华文宋体" w:cs="华文宋体"/>
          <w:b w:val="0"/>
          <w:bCs w:val="0"/>
          <w:color w:val="auto"/>
          <w:kern w:val="0"/>
          <w:sz w:val="24"/>
          <w:szCs w:val="24"/>
          <w:lang w:val="en-US" w:eastAsia="zh-CN"/>
        </w:rPr>
      </w:pPr>
      <w:r>
        <w:rPr>
          <w:rFonts w:hint="eastAsia" w:ascii="华文宋体" w:hAnsi="华文宋体" w:eastAsia="华文宋体" w:cs="华文宋体"/>
          <w:b w:val="0"/>
          <w:bCs w:val="0"/>
          <w:color w:val="auto"/>
          <w:kern w:val="0"/>
          <w:sz w:val="24"/>
          <w:szCs w:val="24"/>
          <w:lang w:val="en-US" w:eastAsia="zh-CN"/>
        </w:rPr>
        <w:t>设备具备压力通道</w:t>
      </w:r>
    </w:p>
    <w:p w14:paraId="076C6B9B">
      <w:pPr>
        <w:keepNext w:val="0"/>
        <w:keepLines w:val="0"/>
        <w:pageBreakBefore w:val="0"/>
        <w:numPr>
          <w:ilvl w:val="0"/>
          <w:numId w:val="2"/>
        </w:numPr>
        <w:kinsoku/>
        <w:wordWrap/>
        <w:overflowPunct/>
        <w:topLinePunct w:val="0"/>
        <w:autoSpaceDE/>
        <w:autoSpaceDN/>
        <w:bidi w:val="0"/>
        <w:adjustRightInd/>
        <w:spacing w:line="360" w:lineRule="auto"/>
        <w:ind w:leftChars="0" w:firstLine="480" w:firstLineChars="200"/>
        <w:jc w:val="left"/>
        <w:textAlignment w:val="auto"/>
        <w:rPr>
          <w:rFonts w:hint="eastAsia" w:ascii="华文宋体" w:hAnsi="华文宋体" w:eastAsia="华文宋体" w:cs="华文宋体"/>
          <w:b w:val="0"/>
          <w:bCs w:val="0"/>
          <w:color w:val="auto"/>
          <w:kern w:val="0"/>
          <w:sz w:val="24"/>
          <w:szCs w:val="24"/>
          <w:lang w:val="en-US" w:eastAsia="zh-CN"/>
        </w:rPr>
      </w:pPr>
      <w:r>
        <w:rPr>
          <w:rFonts w:hint="eastAsia" w:ascii="华文宋体" w:hAnsi="华文宋体" w:eastAsia="华文宋体" w:cs="华文宋体"/>
          <w:b w:val="0"/>
          <w:bCs w:val="0"/>
          <w:color w:val="auto"/>
          <w:kern w:val="0"/>
          <w:sz w:val="24"/>
          <w:szCs w:val="24"/>
          <w:highlight w:val="none"/>
          <w:lang w:val="en-US" w:eastAsia="zh-CN"/>
        </w:rPr>
        <w:t>电刺激调节旋钮≤1个，支持一键调节电流强度</w:t>
      </w:r>
    </w:p>
    <w:p w14:paraId="2CE3E1A2">
      <w:pPr>
        <w:keepNext w:val="0"/>
        <w:keepLines w:val="0"/>
        <w:pageBreakBefore w:val="0"/>
        <w:numPr>
          <w:ilvl w:val="0"/>
          <w:numId w:val="2"/>
        </w:numPr>
        <w:kinsoku/>
        <w:wordWrap/>
        <w:overflowPunct/>
        <w:topLinePunct w:val="0"/>
        <w:autoSpaceDE/>
        <w:autoSpaceDN/>
        <w:bidi w:val="0"/>
        <w:adjustRightInd/>
        <w:spacing w:line="360" w:lineRule="auto"/>
        <w:ind w:left="0" w:leftChars="0" w:firstLine="480" w:firstLineChars="200"/>
        <w:jc w:val="left"/>
        <w:textAlignment w:val="auto"/>
        <w:rPr>
          <w:rFonts w:hint="eastAsia" w:ascii="华文宋体" w:hAnsi="华文宋体" w:eastAsia="华文宋体" w:cs="华文宋体"/>
          <w:color w:val="auto"/>
          <w:kern w:val="0"/>
          <w:sz w:val="24"/>
          <w:szCs w:val="24"/>
          <w:lang w:val="en-US" w:eastAsia="zh-CN"/>
        </w:rPr>
      </w:pPr>
      <w:r>
        <w:rPr>
          <w:rFonts w:hint="eastAsia" w:ascii="华文宋体" w:hAnsi="华文宋体" w:eastAsia="华文宋体" w:cs="华文宋体"/>
          <w:color w:val="auto"/>
          <w:kern w:val="0"/>
          <w:sz w:val="24"/>
          <w:szCs w:val="24"/>
          <w:lang w:val="en-US" w:eastAsia="zh-CN"/>
        </w:rPr>
        <w:t>肌电采集测量范围：2-2500μV</w:t>
      </w:r>
    </w:p>
    <w:p w14:paraId="3B39DD43">
      <w:pPr>
        <w:keepNext w:val="0"/>
        <w:keepLines w:val="0"/>
        <w:pageBreakBefore w:val="0"/>
        <w:numPr>
          <w:ilvl w:val="0"/>
          <w:numId w:val="2"/>
        </w:numPr>
        <w:kinsoku/>
        <w:wordWrap/>
        <w:overflowPunct/>
        <w:topLinePunct w:val="0"/>
        <w:autoSpaceDE/>
        <w:autoSpaceDN/>
        <w:bidi w:val="0"/>
        <w:adjustRightInd/>
        <w:spacing w:line="360" w:lineRule="auto"/>
        <w:ind w:left="0" w:leftChars="0" w:firstLine="480" w:firstLineChars="200"/>
        <w:jc w:val="left"/>
        <w:textAlignment w:val="auto"/>
        <w:rPr>
          <w:rFonts w:hint="eastAsia" w:ascii="华文宋体" w:hAnsi="华文宋体" w:eastAsia="华文宋体" w:cs="华文宋体"/>
          <w:color w:val="auto"/>
          <w:kern w:val="0"/>
          <w:sz w:val="24"/>
          <w:szCs w:val="24"/>
          <w:lang w:val="en-US" w:eastAsia="zh-CN"/>
        </w:rPr>
      </w:pPr>
      <w:r>
        <w:rPr>
          <w:rFonts w:hint="eastAsia" w:ascii="华文宋体" w:hAnsi="华文宋体" w:eastAsia="华文宋体" w:cs="华文宋体"/>
          <w:color w:val="auto"/>
          <w:kern w:val="0"/>
          <w:sz w:val="24"/>
          <w:szCs w:val="24"/>
          <w:lang w:val="en-US" w:eastAsia="zh-CN"/>
        </w:rPr>
        <w:t>分辨率：≤1μV</w:t>
      </w:r>
    </w:p>
    <w:p w14:paraId="246D1E74">
      <w:pPr>
        <w:keepNext w:val="0"/>
        <w:keepLines w:val="0"/>
        <w:pageBreakBefore w:val="0"/>
        <w:numPr>
          <w:ilvl w:val="0"/>
          <w:numId w:val="2"/>
        </w:numPr>
        <w:kinsoku/>
        <w:wordWrap/>
        <w:overflowPunct/>
        <w:topLinePunct w:val="0"/>
        <w:autoSpaceDE/>
        <w:autoSpaceDN/>
        <w:bidi w:val="0"/>
        <w:adjustRightInd/>
        <w:spacing w:line="360" w:lineRule="auto"/>
        <w:ind w:left="0" w:leftChars="0" w:firstLine="480" w:firstLineChars="200"/>
        <w:jc w:val="left"/>
        <w:textAlignment w:val="auto"/>
        <w:rPr>
          <w:rFonts w:hint="eastAsia" w:ascii="华文宋体" w:hAnsi="华文宋体" w:eastAsia="华文宋体" w:cs="华文宋体"/>
          <w:color w:val="auto"/>
          <w:kern w:val="0"/>
          <w:sz w:val="24"/>
          <w:szCs w:val="24"/>
          <w:lang w:val="en-US" w:eastAsia="zh-CN"/>
        </w:rPr>
      </w:pPr>
      <w:r>
        <w:rPr>
          <w:rFonts w:hint="eastAsia" w:ascii="华文宋体" w:hAnsi="华文宋体" w:eastAsia="华文宋体" w:cs="华文宋体"/>
          <w:color w:val="auto"/>
          <w:kern w:val="0"/>
          <w:sz w:val="24"/>
          <w:szCs w:val="24"/>
        </w:rPr>
        <w:t>通频带：</w:t>
      </w:r>
      <w:r>
        <w:rPr>
          <w:rFonts w:hint="eastAsia" w:ascii="华文宋体" w:hAnsi="华文宋体" w:eastAsia="华文宋体" w:cs="华文宋体"/>
          <w:color w:val="auto"/>
          <w:kern w:val="0"/>
          <w:sz w:val="24"/>
          <w:szCs w:val="24"/>
          <w:lang w:val="en-US" w:eastAsia="zh-CN"/>
        </w:rPr>
        <w:t>不窄于</w:t>
      </w:r>
      <w:r>
        <w:rPr>
          <w:rFonts w:hint="eastAsia" w:ascii="华文宋体" w:hAnsi="华文宋体" w:eastAsia="华文宋体" w:cs="华文宋体"/>
          <w:color w:val="auto"/>
          <w:kern w:val="0"/>
          <w:sz w:val="24"/>
          <w:szCs w:val="24"/>
        </w:rPr>
        <w:t>20</w:t>
      </w:r>
      <w:r>
        <w:rPr>
          <w:rFonts w:hint="eastAsia" w:ascii="华文宋体" w:hAnsi="华文宋体" w:eastAsia="华文宋体" w:cs="华文宋体"/>
          <w:color w:val="auto"/>
          <w:kern w:val="0"/>
          <w:sz w:val="24"/>
          <w:szCs w:val="24"/>
          <w:lang w:val="en-US" w:eastAsia="zh-CN"/>
        </w:rPr>
        <w:t>-50</w:t>
      </w:r>
      <w:r>
        <w:rPr>
          <w:rFonts w:hint="eastAsia" w:ascii="华文宋体" w:hAnsi="华文宋体" w:eastAsia="华文宋体" w:cs="华文宋体"/>
          <w:color w:val="auto"/>
          <w:kern w:val="0"/>
          <w:sz w:val="24"/>
          <w:szCs w:val="24"/>
        </w:rPr>
        <w:t>0Hz</w:t>
      </w:r>
    </w:p>
    <w:p w14:paraId="1D405888">
      <w:pPr>
        <w:keepNext w:val="0"/>
        <w:keepLines w:val="0"/>
        <w:pageBreakBefore w:val="0"/>
        <w:numPr>
          <w:ilvl w:val="0"/>
          <w:numId w:val="2"/>
        </w:numPr>
        <w:kinsoku/>
        <w:wordWrap/>
        <w:overflowPunct/>
        <w:topLinePunct w:val="0"/>
        <w:autoSpaceDE/>
        <w:autoSpaceDN/>
        <w:bidi w:val="0"/>
        <w:adjustRightInd/>
        <w:spacing w:line="360" w:lineRule="auto"/>
        <w:ind w:leftChars="0" w:firstLine="480" w:firstLineChars="200"/>
        <w:jc w:val="left"/>
        <w:textAlignment w:val="auto"/>
        <w:rPr>
          <w:rFonts w:hint="eastAsia" w:ascii="华文宋体" w:hAnsi="华文宋体" w:eastAsia="华文宋体" w:cs="华文宋体"/>
          <w:b w:val="0"/>
          <w:bCs w:val="0"/>
          <w:color w:val="auto"/>
          <w:kern w:val="0"/>
          <w:sz w:val="24"/>
          <w:szCs w:val="24"/>
          <w:lang w:val="en-US" w:eastAsia="zh-CN"/>
        </w:rPr>
      </w:pPr>
      <w:r>
        <w:rPr>
          <w:rFonts w:hint="eastAsia" w:ascii="华文宋体" w:hAnsi="华文宋体" w:eastAsia="华文宋体" w:cs="华文宋体"/>
          <w:b w:val="0"/>
          <w:bCs w:val="0"/>
          <w:color w:val="auto"/>
          <w:kern w:val="0"/>
          <w:sz w:val="24"/>
          <w:szCs w:val="24"/>
          <w:lang w:val="en-US" w:eastAsia="zh-CN"/>
        </w:rPr>
        <w:t>低频刺激强度：0-100mA，最小可调节步长≤0.5mA</w:t>
      </w:r>
    </w:p>
    <w:p w14:paraId="2B7120AD">
      <w:pPr>
        <w:keepNext w:val="0"/>
        <w:keepLines w:val="0"/>
        <w:pageBreakBefore w:val="0"/>
        <w:numPr>
          <w:ilvl w:val="0"/>
          <w:numId w:val="2"/>
        </w:numPr>
        <w:kinsoku/>
        <w:wordWrap/>
        <w:overflowPunct/>
        <w:topLinePunct w:val="0"/>
        <w:autoSpaceDE/>
        <w:autoSpaceDN/>
        <w:bidi w:val="0"/>
        <w:adjustRightInd/>
        <w:spacing w:line="360" w:lineRule="auto"/>
        <w:ind w:leftChars="0" w:firstLine="480" w:firstLineChars="200"/>
        <w:jc w:val="left"/>
        <w:textAlignment w:val="auto"/>
        <w:rPr>
          <w:rFonts w:hint="eastAsia" w:ascii="华文宋体" w:hAnsi="华文宋体" w:eastAsia="华文宋体" w:cs="华文宋体"/>
          <w:b w:val="0"/>
          <w:bCs w:val="0"/>
          <w:color w:val="auto"/>
          <w:kern w:val="0"/>
          <w:sz w:val="24"/>
          <w:szCs w:val="24"/>
          <w:lang w:val="en-US" w:eastAsia="zh-CN"/>
        </w:rPr>
      </w:pPr>
      <w:r>
        <w:rPr>
          <w:rFonts w:hint="eastAsia" w:ascii="华文宋体" w:hAnsi="华文宋体" w:eastAsia="华文宋体" w:cs="华文宋体"/>
          <w:b w:val="0"/>
          <w:bCs w:val="0"/>
          <w:color w:val="auto"/>
          <w:kern w:val="0"/>
          <w:sz w:val="24"/>
          <w:szCs w:val="24"/>
          <w:lang w:val="en-US" w:eastAsia="zh-CN"/>
        </w:rPr>
        <w:t>低频刺激频率：1-1000Hz范围内均可调，最小可调节步长≤1Hz</w:t>
      </w:r>
    </w:p>
    <w:p w14:paraId="050F2433">
      <w:pPr>
        <w:keepNext w:val="0"/>
        <w:keepLines w:val="0"/>
        <w:pageBreakBefore w:val="0"/>
        <w:numPr>
          <w:ilvl w:val="0"/>
          <w:numId w:val="2"/>
        </w:numPr>
        <w:kinsoku/>
        <w:wordWrap/>
        <w:overflowPunct/>
        <w:topLinePunct w:val="0"/>
        <w:autoSpaceDE/>
        <w:autoSpaceDN/>
        <w:bidi w:val="0"/>
        <w:adjustRightInd/>
        <w:spacing w:line="360" w:lineRule="auto"/>
        <w:ind w:leftChars="0" w:firstLine="480" w:firstLineChars="200"/>
        <w:jc w:val="left"/>
        <w:textAlignment w:val="auto"/>
        <w:rPr>
          <w:rFonts w:hint="eastAsia" w:ascii="华文宋体" w:hAnsi="华文宋体" w:eastAsia="华文宋体" w:cs="华文宋体"/>
          <w:b/>
          <w:bCs/>
          <w:color w:val="auto"/>
          <w:kern w:val="0"/>
          <w:sz w:val="24"/>
          <w:szCs w:val="24"/>
          <w:lang w:val="en-US" w:eastAsia="zh-CN"/>
        </w:rPr>
      </w:pPr>
      <w:r>
        <w:rPr>
          <w:rFonts w:hint="eastAsia" w:ascii="华文宋体" w:hAnsi="华文宋体" w:eastAsia="华文宋体" w:cs="华文宋体"/>
          <w:b w:val="0"/>
          <w:bCs w:val="0"/>
          <w:color w:val="auto"/>
          <w:kern w:val="0"/>
          <w:sz w:val="24"/>
          <w:szCs w:val="24"/>
          <w:lang w:val="en-US" w:eastAsia="zh-CN"/>
        </w:rPr>
        <w:t>输出脉冲宽度：≥2000μs同时最小可调节步长≤50μs调节</w:t>
      </w:r>
    </w:p>
    <w:p w14:paraId="142BE922">
      <w:pPr>
        <w:keepNext w:val="0"/>
        <w:keepLines w:val="0"/>
        <w:pageBreakBefore w:val="0"/>
        <w:numPr>
          <w:ilvl w:val="0"/>
          <w:numId w:val="2"/>
        </w:numPr>
        <w:kinsoku/>
        <w:wordWrap/>
        <w:overflowPunct/>
        <w:topLinePunct w:val="0"/>
        <w:autoSpaceDE/>
        <w:autoSpaceDN/>
        <w:bidi w:val="0"/>
        <w:adjustRightInd/>
        <w:spacing w:line="360" w:lineRule="auto"/>
        <w:ind w:leftChars="0" w:firstLine="480" w:firstLineChars="200"/>
        <w:jc w:val="left"/>
        <w:textAlignment w:val="auto"/>
        <w:rPr>
          <w:rFonts w:hint="eastAsia" w:ascii="华文宋体" w:hAnsi="华文宋体" w:eastAsia="华文宋体" w:cs="华文宋体"/>
          <w:b/>
          <w:bCs/>
          <w:color w:val="auto"/>
          <w:kern w:val="0"/>
          <w:sz w:val="24"/>
          <w:szCs w:val="24"/>
          <w:lang w:val="en-US" w:eastAsia="zh-CN"/>
        </w:rPr>
      </w:pPr>
      <w:r>
        <w:rPr>
          <w:rFonts w:hint="eastAsia" w:ascii="华文宋体" w:hAnsi="华文宋体" w:eastAsia="华文宋体" w:cs="华文宋体"/>
          <w:b w:val="0"/>
          <w:bCs w:val="0"/>
          <w:color w:val="auto"/>
          <w:kern w:val="0"/>
          <w:sz w:val="24"/>
          <w:szCs w:val="24"/>
          <w:lang w:val="en-US" w:eastAsia="zh-CN"/>
        </w:rPr>
        <w:t>中频刺激频率：可输出中频频率至少包含≥2500Hz及以上频率</w:t>
      </w:r>
    </w:p>
    <w:p w14:paraId="66507990">
      <w:pPr>
        <w:keepNext w:val="0"/>
        <w:keepLines w:val="0"/>
        <w:pageBreakBefore w:val="0"/>
        <w:numPr>
          <w:ilvl w:val="0"/>
          <w:numId w:val="2"/>
        </w:numPr>
        <w:kinsoku/>
        <w:wordWrap/>
        <w:overflowPunct/>
        <w:topLinePunct w:val="0"/>
        <w:autoSpaceDE/>
        <w:autoSpaceDN/>
        <w:bidi w:val="0"/>
        <w:adjustRightInd/>
        <w:spacing w:line="360" w:lineRule="auto"/>
        <w:ind w:leftChars="0" w:firstLine="480" w:firstLineChars="200"/>
        <w:jc w:val="left"/>
        <w:textAlignment w:val="auto"/>
        <w:rPr>
          <w:rFonts w:hint="eastAsia" w:ascii="华文宋体" w:hAnsi="华文宋体" w:eastAsia="华文宋体" w:cs="华文宋体"/>
          <w:b w:val="0"/>
          <w:bCs w:val="0"/>
          <w:color w:val="auto"/>
          <w:kern w:val="0"/>
          <w:sz w:val="24"/>
          <w:szCs w:val="24"/>
          <w:lang w:val="en-US" w:eastAsia="zh-CN"/>
        </w:rPr>
      </w:pPr>
      <w:r>
        <w:rPr>
          <w:rFonts w:hint="eastAsia" w:ascii="华文宋体" w:hAnsi="华文宋体" w:eastAsia="华文宋体" w:cs="华文宋体"/>
          <w:b w:val="0"/>
          <w:bCs w:val="0"/>
          <w:color w:val="auto"/>
          <w:kern w:val="0"/>
          <w:sz w:val="24"/>
          <w:szCs w:val="24"/>
          <w:lang w:val="en-US" w:eastAsia="zh-CN"/>
        </w:rPr>
        <w:t>压力模块测量范围不低于0-240mmHg，测量分辨率≤0.1mmHg</w:t>
      </w:r>
    </w:p>
    <w:p w14:paraId="20BD4B04">
      <w:pPr>
        <w:keepNext w:val="0"/>
        <w:keepLines w:val="0"/>
        <w:pageBreakBefore w:val="0"/>
        <w:numPr>
          <w:ilvl w:val="0"/>
          <w:numId w:val="2"/>
        </w:numPr>
        <w:kinsoku/>
        <w:wordWrap/>
        <w:overflowPunct/>
        <w:topLinePunct w:val="0"/>
        <w:autoSpaceDE/>
        <w:autoSpaceDN/>
        <w:bidi w:val="0"/>
        <w:adjustRightInd/>
        <w:spacing w:line="360" w:lineRule="auto"/>
        <w:ind w:leftChars="0" w:firstLine="480" w:firstLineChars="200"/>
        <w:jc w:val="left"/>
        <w:textAlignment w:val="auto"/>
        <w:rPr>
          <w:rFonts w:hint="eastAsia" w:ascii="华文宋体" w:hAnsi="华文宋体" w:eastAsia="华文宋体" w:cs="华文宋体"/>
          <w:b w:val="0"/>
          <w:bCs w:val="0"/>
          <w:color w:val="auto"/>
          <w:kern w:val="0"/>
          <w:sz w:val="24"/>
          <w:szCs w:val="24"/>
          <w:lang w:val="en-US" w:eastAsia="zh-CN"/>
        </w:rPr>
      </w:pPr>
      <w:r>
        <w:rPr>
          <w:rFonts w:hint="eastAsia" w:ascii="华文宋体" w:hAnsi="华文宋体" w:eastAsia="华文宋体" w:cs="华文宋体"/>
          <w:b w:val="0"/>
          <w:bCs w:val="0"/>
          <w:color w:val="auto"/>
          <w:kern w:val="0"/>
          <w:sz w:val="24"/>
          <w:szCs w:val="24"/>
          <w:lang w:val="en-US" w:eastAsia="zh-CN"/>
        </w:rPr>
        <w:t>多种盆底评估模式：至少包括Glazer评估、一分钟评估、三分钟评估、控尿评估、腰背痛评估等</w:t>
      </w:r>
    </w:p>
    <w:p w14:paraId="1A6C1BDF">
      <w:pPr>
        <w:keepNext w:val="0"/>
        <w:keepLines w:val="0"/>
        <w:pageBreakBefore w:val="0"/>
        <w:numPr>
          <w:ilvl w:val="0"/>
          <w:numId w:val="2"/>
        </w:numPr>
        <w:kinsoku/>
        <w:wordWrap/>
        <w:overflowPunct/>
        <w:topLinePunct w:val="0"/>
        <w:autoSpaceDE/>
        <w:autoSpaceDN/>
        <w:bidi w:val="0"/>
        <w:adjustRightInd/>
        <w:spacing w:line="360" w:lineRule="auto"/>
        <w:ind w:leftChars="0" w:firstLine="480" w:firstLineChars="200"/>
        <w:jc w:val="left"/>
        <w:textAlignment w:val="auto"/>
        <w:rPr>
          <w:rFonts w:hint="eastAsia" w:ascii="华文宋体" w:hAnsi="华文宋体" w:eastAsia="华文宋体" w:cs="华文宋体"/>
          <w:b w:val="0"/>
          <w:bCs w:val="0"/>
          <w:color w:val="auto"/>
          <w:kern w:val="0"/>
          <w:sz w:val="24"/>
          <w:szCs w:val="24"/>
          <w:lang w:val="en-US" w:eastAsia="zh-CN"/>
        </w:rPr>
      </w:pPr>
      <w:r>
        <w:rPr>
          <w:rFonts w:hint="eastAsia" w:ascii="华文宋体" w:hAnsi="华文宋体" w:eastAsia="华文宋体" w:cs="华文宋体"/>
          <w:b w:val="0"/>
          <w:bCs w:val="0"/>
          <w:color w:val="auto"/>
          <w:kern w:val="0"/>
          <w:sz w:val="24"/>
          <w:szCs w:val="24"/>
          <w:lang w:val="en-US" w:eastAsia="zh-CN"/>
        </w:rPr>
        <w:t>Glazer评估自动解读报告，以评估结果和患者症状为依据，智能推荐个性化的处方治疗方案；实现全程闭环、动态、高效的盆底康复</w:t>
      </w:r>
    </w:p>
    <w:p w14:paraId="4AE9CE11">
      <w:pPr>
        <w:keepNext w:val="0"/>
        <w:keepLines w:val="0"/>
        <w:pageBreakBefore w:val="0"/>
        <w:numPr>
          <w:ilvl w:val="0"/>
          <w:numId w:val="2"/>
        </w:numPr>
        <w:kinsoku/>
        <w:wordWrap/>
        <w:overflowPunct/>
        <w:topLinePunct w:val="0"/>
        <w:autoSpaceDE/>
        <w:autoSpaceDN/>
        <w:bidi w:val="0"/>
        <w:adjustRightInd/>
        <w:spacing w:line="360" w:lineRule="auto"/>
        <w:ind w:leftChars="0" w:firstLine="480" w:firstLineChars="200"/>
        <w:jc w:val="left"/>
        <w:textAlignment w:val="auto"/>
        <w:rPr>
          <w:rFonts w:hint="eastAsia" w:ascii="华文宋体" w:hAnsi="华文宋体" w:eastAsia="华文宋体" w:cs="华文宋体"/>
          <w:b w:val="0"/>
          <w:bCs w:val="0"/>
          <w:color w:val="auto"/>
          <w:kern w:val="0"/>
          <w:sz w:val="24"/>
          <w:szCs w:val="24"/>
          <w:lang w:val="en-US" w:eastAsia="zh-CN"/>
        </w:rPr>
      </w:pPr>
      <w:r>
        <w:rPr>
          <w:rFonts w:hint="eastAsia" w:ascii="华文宋体" w:hAnsi="华文宋体" w:eastAsia="华文宋体" w:cs="华文宋体"/>
          <w:color w:val="auto"/>
          <w:kern w:val="0"/>
          <w:sz w:val="24"/>
          <w:szCs w:val="24"/>
          <w:lang w:val="en-US" w:eastAsia="zh-CN"/>
        </w:rPr>
        <w:t>系统可根据评估结果自动生成针对不同患者的疗程化盆底训练方案</w:t>
      </w:r>
    </w:p>
    <w:p w14:paraId="2C37FC3A">
      <w:pPr>
        <w:keepNext w:val="0"/>
        <w:keepLines w:val="0"/>
        <w:pageBreakBefore w:val="0"/>
        <w:numPr>
          <w:ilvl w:val="0"/>
          <w:numId w:val="2"/>
        </w:numPr>
        <w:kinsoku/>
        <w:wordWrap/>
        <w:overflowPunct/>
        <w:topLinePunct w:val="0"/>
        <w:autoSpaceDE/>
        <w:autoSpaceDN/>
        <w:bidi w:val="0"/>
        <w:adjustRightInd/>
        <w:spacing w:line="360" w:lineRule="auto"/>
        <w:ind w:leftChars="0" w:firstLine="480" w:firstLineChars="200"/>
        <w:jc w:val="left"/>
        <w:textAlignment w:val="auto"/>
        <w:rPr>
          <w:rFonts w:hint="eastAsia" w:ascii="华文宋体" w:hAnsi="华文宋体" w:eastAsia="华文宋体" w:cs="华文宋体"/>
          <w:b w:val="0"/>
          <w:bCs w:val="0"/>
          <w:color w:val="auto"/>
          <w:kern w:val="0"/>
          <w:sz w:val="24"/>
          <w:szCs w:val="24"/>
          <w:lang w:val="en-US" w:eastAsia="zh-CN"/>
        </w:rPr>
      </w:pPr>
      <w:r>
        <w:rPr>
          <w:rFonts w:hint="eastAsia" w:ascii="华文宋体" w:hAnsi="华文宋体" w:eastAsia="华文宋体" w:cs="华文宋体"/>
          <w:b w:val="0"/>
          <w:bCs w:val="0"/>
          <w:color w:val="auto"/>
          <w:kern w:val="0"/>
          <w:sz w:val="24"/>
          <w:szCs w:val="24"/>
          <w:lang w:val="en-US" w:eastAsia="zh-CN"/>
        </w:rPr>
        <w:t>模块化评估报告，根据勾选不同专科病历模块进行评估报告的自定义排版，包含盆底肌肌电图、腹肌肌电图、盆底肌分型、专科病历模块等</w:t>
      </w:r>
    </w:p>
    <w:p w14:paraId="45DB4B55">
      <w:pPr>
        <w:keepNext w:val="0"/>
        <w:keepLines w:val="0"/>
        <w:pageBreakBefore w:val="0"/>
        <w:numPr>
          <w:ilvl w:val="0"/>
          <w:numId w:val="2"/>
        </w:numPr>
        <w:kinsoku/>
        <w:wordWrap/>
        <w:overflowPunct/>
        <w:topLinePunct w:val="0"/>
        <w:autoSpaceDE/>
        <w:autoSpaceDN/>
        <w:bidi w:val="0"/>
        <w:adjustRightInd/>
        <w:spacing w:line="360" w:lineRule="auto"/>
        <w:ind w:leftChars="0" w:firstLine="480" w:firstLineChars="200"/>
        <w:jc w:val="left"/>
        <w:textAlignment w:val="auto"/>
        <w:rPr>
          <w:rFonts w:hint="eastAsia" w:ascii="华文宋体" w:hAnsi="华文宋体" w:eastAsia="华文宋体" w:cs="华文宋体"/>
          <w:color w:val="auto"/>
          <w:sz w:val="24"/>
          <w:szCs w:val="24"/>
          <w:highlight w:val="none"/>
          <w:lang w:val="en-US" w:eastAsia="zh-CN"/>
        </w:rPr>
      </w:pPr>
      <w:r>
        <w:rPr>
          <w:rFonts w:hint="eastAsia" w:ascii="华文宋体" w:hAnsi="华文宋体" w:eastAsia="华文宋体" w:cs="华文宋体"/>
          <w:color w:val="auto"/>
          <w:sz w:val="24"/>
          <w:szCs w:val="24"/>
          <w:highlight w:val="none"/>
          <w:lang w:val="en-US" w:eastAsia="zh-CN"/>
        </w:rPr>
        <w:t>输出脉冲电刺激波形可调，在基本脉冲波形正弦波、方波的基础上可用三角波、指数波等调制不少于36种波形</w:t>
      </w:r>
    </w:p>
    <w:p w14:paraId="2D487F00">
      <w:pPr>
        <w:keepNext w:val="0"/>
        <w:keepLines w:val="0"/>
        <w:pageBreakBefore w:val="0"/>
        <w:numPr>
          <w:ilvl w:val="0"/>
          <w:numId w:val="2"/>
        </w:numPr>
        <w:kinsoku/>
        <w:wordWrap/>
        <w:overflowPunct/>
        <w:topLinePunct w:val="0"/>
        <w:autoSpaceDE/>
        <w:autoSpaceDN/>
        <w:bidi w:val="0"/>
        <w:adjustRightInd/>
        <w:spacing w:line="360" w:lineRule="auto"/>
        <w:ind w:leftChars="0" w:firstLine="480" w:firstLineChars="200"/>
        <w:jc w:val="left"/>
        <w:textAlignment w:val="auto"/>
        <w:rPr>
          <w:rFonts w:hint="eastAsia" w:ascii="华文宋体" w:hAnsi="华文宋体" w:eastAsia="华文宋体" w:cs="华文宋体"/>
          <w:b/>
          <w:bCs/>
          <w:color w:val="auto"/>
          <w:sz w:val="24"/>
          <w:szCs w:val="24"/>
          <w:lang w:val="en-US" w:eastAsia="zh-CN"/>
        </w:rPr>
      </w:pPr>
      <w:r>
        <w:rPr>
          <w:rFonts w:hint="eastAsia" w:ascii="华文宋体" w:hAnsi="华文宋体" w:eastAsia="华文宋体" w:cs="华文宋体"/>
          <w:color w:val="auto"/>
          <w:sz w:val="24"/>
          <w:szCs w:val="24"/>
          <w:lang w:val="en-US" w:eastAsia="zh-CN"/>
        </w:rPr>
        <w:t>调制中频电刺激利用载波为中频电流其穿透力强的特点将调制波送入人体，以实现深度治疗的作用</w:t>
      </w:r>
    </w:p>
    <w:p w14:paraId="244B5477">
      <w:pPr>
        <w:keepNext w:val="0"/>
        <w:keepLines w:val="0"/>
        <w:pageBreakBefore w:val="0"/>
        <w:numPr>
          <w:ilvl w:val="0"/>
          <w:numId w:val="2"/>
        </w:numPr>
        <w:kinsoku/>
        <w:wordWrap/>
        <w:overflowPunct/>
        <w:topLinePunct w:val="0"/>
        <w:autoSpaceDE/>
        <w:autoSpaceDN/>
        <w:bidi w:val="0"/>
        <w:adjustRightInd/>
        <w:spacing w:line="360" w:lineRule="auto"/>
        <w:ind w:leftChars="0" w:firstLine="480" w:firstLineChars="200"/>
        <w:jc w:val="left"/>
        <w:textAlignment w:val="auto"/>
        <w:rPr>
          <w:rFonts w:hint="eastAsia" w:ascii="华文宋体" w:hAnsi="华文宋体" w:eastAsia="华文宋体" w:cs="华文宋体"/>
          <w:b/>
          <w:bCs/>
          <w:color w:val="auto"/>
          <w:sz w:val="24"/>
          <w:szCs w:val="24"/>
          <w:lang w:val="en-US" w:eastAsia="zh-CN"/>
        </w:rPr>
      </w:pPr>
      <w:r>
        <w:rPr>
          <w:rFonts w:hint="eastAsia" w:ascii="华文宋体" w:hAnsi="华文宋体" w:eastAsia="华文宋体" w:cs="华文宋体"/>
          <w:b w:val="0"/>
          <w:bCs w:val="0"/>
          <w:color w:val="auto"/>
          <w:kern w:val="0"/>
          <w:sz w:val="24"/>
          <w:szCs w:val="24"/>
          <w:highlight w:val="none"/>
          <w:lang w:val="en-US" w:eastAsia="zh-CN"/>
        </w:rPr>
        <w:t>主机支持双供电模式，主机锂电池容量≥6000mAh</w:t>
      </w:r>
    </w:p>
    <w:p w14:paraId="74208321">
      <w:pPr>
        <w:keepNext w:val="0"/>
        <w:keepLines w:val="0"/>
        <w:pageBreakBefore w:val="0"/>
        <w:numPr>
          <w:ilvl w:val="0"/>
          <w:numId w:val="2"/>
        </w:numPr>
        <w:kinsoku/>
        <w:wordWrap/>
        <w:overflowPunct/>
        <w:topLinePunct w:val="0"/>
        <w:autoSpaceDE/>
        <w:autoSpaceDN/>
        <w:bidi w:val="0"/>
        <w:adjustRightInd/>
        <w:spacing w:line="360" w:lineRule="auto"/>
        <w:ind w:leftChars="0" w:firstLine="480" w:firstLineChars="200"/>
        <w:jc w:val="left"/>
        <w:textAlignment w:val="auto"/>
        <w:rPr>
          <w:rFonts w:hint="eastAsia" w:ascii="华文宋体" w:hAnsi="华文宋体" w:eastAsia="华文宋体" w:cs="华文宋体"/>
          <w:b w:val="0"/>
          <w:bCs w:val="0"/>
          <w:color w:val="auto"/>
          <w:kern w:val="0"/>
          <w:sz w:val="24"/>
          <w:szCs w:val="24"/>
          <w:lang w:val="en-US" w:eastAsia="zh-CN"/>
        </w:rPr>
      </w:pPr>
      <w:r>
        <w:rPr>
          <w:rFonts w:hint="eastAsia" w:ascii="华文宋体" w:hAnsi="华文宋体" w:eastAsia="华文宋体" w:cs="华文宋体"/>
          <w:color w:val="auto"/>
          <w:sz w:val="24"/>
          <w:szCs w:val="24"/>
          <w:lang w:val="en-US" w:eastAsia="zh-CN"/>
        </w:rPr>
        <w:t>系统支持自动生成磁电联合疗程化治疗方案，并实现与同品牌磁刺激类设备的实时数据同步共享</w:t>
      </w:r>
    </w:p>
    <w:p w14:paraId="67369BDD">
      <w:pPr>
        <w:keepNext w:val="0"/>
        <w:keepLines w:val="0"/>
        <w:pageBreakBefore w:val="0"/>
        <w:numPr>
          <w:ilvl w:val="0"/>
          <w:numId w:val="2"/>
        </w:numPr>
        <w:kinsoku/>
        <w:wordWrap/>
        <w:overflowPunct/>
        <w:topLinePunct w:val="0"/>
        <w:autoSpaceDE/>
        <w:autoSpaceDN/>
        <w:bidi w:val="0"/>
        <w:adjustRightInd/>
        <w:spacing w:line="360" w:lineRule="auto"/>
        <w:ind w:left="0" w:leftChars="0" w:firstLine="480" w:firstLineChars="200"/>
        <w:jc w:val="left"/>
        <w:textAlignment w:val="auto"/>
        <w:rPr>
          <w:rFonts w:hint="eastAsia" w:ascii="华文宋体" w:hAnsi="华文宋体" w:eastAsia="华文宋体" w:cs="华文宋体"/>
          <w:sz w:val="24"/>
          <w:szCs w:val="24"/>
        </w:rPr>
      </w:pPr>
      <w:r>
        <w:rPr>
          <w:rFonts w:hint="eastAsia" w:ascii="华文宋体" w:hAnsi="华文宋体" w:eastAsia="华文宋体" w:cs="华文宋体"/>
          <w:color w:val="auto"/>
          <w:kern w:val="0"/>
          <w:sz w:val="24"/>
          <w:szCs w:val="24"/>
          <w:lang w:val="en-US" w:eastAsia="zh-CN"/>
        </w:rPr>
        <w:t>系统支持扫码读取患者信息，标配扫描器，通过扫描器可识别患者在手机端填写的基本信息，实现扫码后读取所填写的全部信息并在设备中自动建立病患档案</w:t>
      </w:r>
    </w:p>
    <w:p w14:paraId="26CBF969">
      <w:pPr>
        <w:keepNext w:val="0"/>
        <w:keepLines w:val="0"/>
        <w:pageBreakBefore w:val="0"/>
        <w:numPr>
          <w:ilvl w:val="0"/>
          <w:numId w:val="2"/>
        </w:numPr>
        <w:kinsoku/>
        <w:wordWrap/>
        <w:overflowPunct/>
        <w:topLinePunct w:val="0"/>
        <w:autoSpaceDE/>
        <w:autoSpaceDN/>
        <w:bidi w:val="0"/>
        <w:adjustRightInd/>
        <w:spacing w:line="360" w:lineRule="auto"/>
        <w:ind w:left="0" w:leftChars="0" w:firstLine="480" w:firstLineChars="200"/>
        <w:jc w:val="left"/>
        <w:textAlignment w:val="auto"/>
        <w:rPr>
          <w:rFonts w:hint="eastAsia" w:ascii="华文宋体" w:hAnsi="华文宋体" w:eastAsia="华文宋体" w:cs="华文宋体"/>
          <w:color w:val="auto"/>
          <w:sz w:val="24"/>
          <w:szCs w:val="24"/>
          <w:lang w:val="en-US" w:eastAsia="zh-CN"/>
        </w:rPr>
      </w:pPr>
      <w:r>
        <w:rPr>
          <w:rFonts w:hint="eastAsia" w:ascii="华文宋体" w:hAnsi="华文宋体" w:eastAsia="华文宋体" w:cs="华文宋体"/>
          <w:sz w:val="24"/>
          <w:szCs w:val="24"/>
          <w:lang w:val="en-US" w:eastAsia="zh-CN"/>
        </w:rPr>
        <w:t>使用年限大于9年</w:t>
      </w:r>
    </w:p>
    <w:p w14:paraId="33E69BFA">
      <w:pPr>
        <w:keepNext w:val="0"/>
        <w:keepLines w:val="0"/>
        <w:pageBreakBefore w:val="0"/>
        <w:widowControl w:val="0"/>
        <w:kinsoku/>
        <w:wordWrap/>
        <w:overflowPunct/>
        <w:topLinePunct w:val="0"/>
        <w:autoSpaceDE/>
        <w:autoSpaceDN/>
        <w:bidi w:val="0"/>
        <w:adjustRightInd/>
        <w:snapToGrid/>
        <w:spacing w:line="560" w:lineRule="exact"/>
        <w:ind w:firstLine="602" w:firstLineChars="200"/>
        <w:jc w:val="left"/>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（三）配置清单</w:t>
      </w:r>
    </w:p>
    <w:tbl>
      <w:tblPr>
        <w:tblStyle w:val="14"/>
        <w:tblW w:w="81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4"/>
        <w:gridCol w:w="5111"/>
        <w:gridCol w:w="1234"/>
        <w:gridCol w:w="926"/>
      </w:tblGrid>
      <w:tr w14:paraId="027C5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tblHeader/>
          <w:jc w:val="center"/>
        </w:trPr>
        <w:tc>
          <w:tcPr>
            <w:tcW w:w="802" w:type="dxa"/>
            <w:vAlign w:val="center"/>
          </w:tcPr>
          <w:p w14:paraId="07CD48D5">
            <w:pPr>
              <w:keepNext w:val="0"/>
              <w:keepLines w:val="0"/>
              <w:pageBreakBefore w:val="0"/>
              <w:kinsoku/>
              <w:wordWrap/>
              <w:overflowPunct/>
              <w:topLinePunct w:val="0"/>
              <w:autoSpaceDE/>
              <w:autoSpaceDN/>
              <w:bidi w:val="0"/>
              <w:adjustRightInd/>
              <w:snapToGrid w:val="0"/>
              <w:ind w:right="0" w:rightChars="0"/>
              <w:jc w:val="center"/>
              <w:textAlignment w:val="auto"/>
              <w:rPr>
                <w:rFonts w:hint="default"/>
                <w:b w:val="0"/>
                <w:bCs/>
                <w:vertAlign w:val="baseline"/>
                <w:lang w:val="en-US" w:eastAsia="zh-CN"/>
              </w:rPr>
            </w:pPr>
            <w:r>
              <w:rPr>
                <w:rFonts w:hint="eastAsia"/>
                <w:b w:val="0"/>
                <w:bCs/>
                <w:vertAlign w:val="baseline"/>
                <w:lang w:val="en-US" w:eastAsia="zh-CN"/>
              </w:rPr>
              <w:t>序号</w:t>
            </w:r>
          </w:p>
        </w:tc>
        <w:tc>
          <w:tcPr>
            <w:tcW w:w="5203" w:type="dxa"/>
            <w:vAlign w:val="center"/>
          </w:tcPr>
          <w:p w14:paraId="51DD0152">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物料名称</w:t>
            </w:r>
          </w:p>
        </w:tc>
        <w:tc>
          <w:tcPr>
            <w:tcW w:w="1244" w:type="dxa"/>
            <w:vAlign w:val="center"/>
          </w:tcPr>
          <w:p w14:paraId="1E2BE6CF">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单位</w:t>
            </w:r>
          </w:p>
        </w:tc>
        <w:tc>
          <w:tcPr>
            <w:tcW w:w="926" w:type="dxa"/>
            <w:vAlign w:val="center"/>
          </w:tcPr>
          <w:p w14:paraId="2972740A">
            <w:pPr>
              <w:keepNext w:val="0"/>
              <w:keepLines w:val="0"/>
              <w:pageBreakBefore w:val="0"/>
              <w:kinsoku/>
              <w:wordWrap/>
              <w:overflowPunct/>
              <w:topLinePunct w:val="0"/>
              <w:autoSpaceDE/>
              <w:autoSpaceDN/>
              <w:bidi w:val="0"/>
              <w:adjustRightInd/>
              <w:snapToGrid w:val="0"/>
              <w:ind w:right="0" w:rightChars="0"/>
              <w:jc w:val="both"/>
              <w:textAlignment w:val="auto"/>
              <w:rPr>
                <w:rFonts w:hint="default"/>
                <w:b w:val="0"/>
                <w:bCs/>
                <w:vertAlign w:val="baseline"/>
                <w:lang w:val="en-US" w:eastAsia="zh-CN"/>
              </w:rPr>
            </w:pPr>
            <w:r>
              <w:rPr>
                <w:rFonts w:hint="eastAsia"/>
                <w:b w:val="0"/>
                <w:bCs/>
                <w:vertAlign w:val="baseline"/>
                <w:lang w:val="en-US" w:eastAsia="zh-CN"/>
              </w:rPr>
              <w:t>数量</w:t>
            </w:r>
          </w:p>
        </w:tc>
      </w:tr>
      <w:tr w14:paraId="69AC0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02" w:type="dxa"/>
            <w:vAlign w:val="center"/>
          </w:tcPr>
          <w:p w14:paraId="1F7B08A6">
            <w:pPr>
              <w:keepNext w:val="0"/>
              <w:keepLines w:val="0"/>
              <w:pageBreakBefore w:val="0"/>
              <w:kinsoku/>
              <w:wordWrap/>
              <w:overflowPunct/>
              <w:topLinePunct w:val="0"/>
              <w:autoSpaceDE/>
              <w:autoSpaceDN/>
              <w:bidi w:val="0"/>
              <w:adjustRightInd/>
              <w:snapToGrid w:val="0"/>
              <w:ind w:right="0" w:rightChars="0"/>
              <w:jc w:val="center"/>
              <w:textAlignment w:val="auto"/>
              <w:rPr>
                <w:rFonts w:hint="default"/>
                <w:b w:val="0"/>
                <w:bCs/>
                <w:vertAlign w:val="baseline"/>
                <w:lang w:val="en-US" w:eastAsia="zh-CN"/>
              </w:rPr>
            </w:pPr>
            <w:r>
              <w:rPr>
                <w:rFonts w:hint="eastAsia"/>
                <w:b w:val="0"/>
                <w:bCs/>
                <w:vertAlign w:val="baseline"/>
                <w:lang w:val="en-US" w:eastAsia="zh-CN"/>
              </w:rPr>
              <w:t>1</w:t>
            </w:r>
          </w:p>
        </w:tc>
        <w:tc>
          <w:tcPr>
            <w:tcW w:w="5203" w:type="dxa"/>
            <w:vAlign w:val="center"/>
          </w:tcPr>
          <w:p w14:paraId="080FB2DE">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主机（GC-4）</w:t>
            </w:r>
          </w:p>
        </w:tc>
        <w:tc>
          <w:tcPr>
            <w:tcW w:w="1244" w:type="dxa"/>
            <w:vAlign w:val="center"/>
          </w:tcPr>
          <w:p w14:paraId="441E2838">
            <w:pPr>
              <w:keepNext w:val="0"/>
              <w:keepLines w:val="0"/>
              <w:pageBreakBefore w:val="0"/>
              <w:kinsoku/>
              <w:wordWrap/>
              <w:overflowPunct/>
              <w:topLinePunct w:val="0"/>
              <w:autoSpaceDE/>
              <w:autoSpaceDN/>
              <w:bidi w:val="0"/>
              <w:adjustRightInd/>
              <w:snapToGrid w:val="0"/>
              <w:ind w:left="0" w:leftChars="0" w:right="0" w:rightChars="0" w:firstLine="420" w:firstLineChars="200"/>
              <w:jc w:val="left"/>
              <w:textAlignment w:val="auto"/>
              <w:rPr>
                <w:rFonts w:hint="default"/>
                <w:b w:val="0"/>
                <w:bCs/>
                <w:vertAlign w:val="baseline"/>
                <w:lang w:val="en-US" w:eastAsia="zh-CN"/>
              </w:rPr>
            </w:pPr>
            <w:r>
              <w:rPr>
                <w:rFonts w:hint="eastAsia"/>
                <w:b w:val="0"/>
                <w:bCs/>
                <w:vertAlign w:val="baseline"/>
                <w:lang w:val="en-US" w:eastAsia="zh-CN"/>
              </w:rPr>
              <w:t>台</w:t>
            </w:r>
          </w:p>
        </w:tc>
        <w:tc>
          <w:tcPr>
            <w:tcW w:w="926" w:type="dxa"/>
            <w:vAlign w:val="center"/>
          </w:tcPr>
          <w:p w14:paraId="522A0B58">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1</w:t>
            </w:r>
          </w:p>
        </w:tc>
      </w:tr>
      <w:tr w14:paraId="66E08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02" w:type="dxa"/>
            <w:vAlign w:val="center"/>
          </w:tcPr>
          <w:p w14:paraId="07C648ED">
            <w:pPr>
              <w:keepNext w:val="0"/>
              <w:keepLines w:val="0"/>
              <w:pageBreakBefore w:val="0"/>
              <w:kinsoku/>
              <w:wordWrap/>
              <w:overflowPunct/>
              <w:topLinePunct w:val="0"/>
              <w:autoSpaceDE/>
              <w:autoSpaceDN/>
              <w:bidi w:val="0"/>
              <w:adjustRightInd/>
              <w:snapToGrid w:val="0"/>
              <w:ind w:right="0" w:rightChars="0"/>
              <w:jc w:val="center"/>
              <w:textAlignment w:val="auto"/>
              <w:rPr>
                <w:rFonts w:hint="default"/>
                <w:b w:val="0"/>
                <w:bCs/>
                <w:vertAlign w:val="baseline"/>
                <w:lang w:val="en-US" w:eastAsia="zh-CN"/>
              </w:rPr>
            </w:pPr>
            <w:r>
              <w:rPr>
                <w:rFonts w:hint="eastAsia"/>
                <w:b w:val="0"/>
                <w:bCs/>
                <w:vertAlign w:val="baseline"/>
                <w:lang w:val="en-US" w:eastAsia="zh-CN"/>
              </w:rPr>
              <w:t>2</w:t>
            </w:r>
          </w:p>
        </w:tc>
        <w:tc>
          <w:tcPr>
            <w:tcW w:w="5203" w:type="dxa"/>
            <w:vAlign w:val="center"/>
          </w:tcPr>
          <w:p w14:paraId="428C0BB2">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电源线</w:t>
            </w:r>
          </w:p>
        </w:tc>
        <w:tc>
          <w:tcPr>
            <w:tcW w:w="1244" w:type="dxa"/>
            <w:vAlign w:val="center"/>
          </w:tcPr>
          <w:p w14:paraId="34C1AE24">
            <w:pPr>
              <w:keepNext w:val="0"/>
              <w:keepLines w:val="0"/>
              <w:pageBreakBefore w:val="0"/>
              <w:kinsoku/>
              <w:wordWrap/>
              <w:overflowPunct/>
              <w:topLinePunct w:val="0"/>
              <w:autoSpaceDE/>
              <w:autoSpaceDN/>
              <w:bidi w:val="0"/>
              <w:adjustRightInd/>
              <w:snapToGrid w:val="0"/>
              <w:ind w:left="0" w:leftChars="0" w:right="0" w:rightChars="0" w:firstLine="420" w:firstLineChars="200"/>
              <w:jc w:val="left"/>
              <w:textAlignment w:val="auto"/>
              <w:rPr>
                <w:rFonts w:hint="default"/>
                <w:b w:val="0"/>
                <w:bCs/>
                <w:vertAlign w:val="baseline"/>
                <w:lang w:val="en-US" w:eastAsia="zh-CN"/>
              </w:rPr>
            </w:pPr>
            <w:r>
              <w:rPr>
                <w:rFonts w:hint="eastAsia"/>
                <w:b w:val="0"/>
                <w:bCs/>
                <w:vertAlign w:val="baseline"/>
                <w:lang w:val="en-US" w:eastAsia="zh-CN"/>
              </w:rPr>
              <w:t>根</w:t>
            </w:r>
          </w:p>
        </w:tc>
        <w:tc>
          <w:tcPr>
            <w:tcW w:w="926" w:type="dxa"/>
            <w:vAlign w:val="center"/>
          </w:tcPr>
          <w:p w14:paraId="3EEA2687">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1</w:t>
            </w:r>
          </w:p>
        </w:tc>
      </w:tr>
      <w:tr w14:paraId="75D9A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02" w:type="dxa"/>
            <w:vAlign w:val="center"/>
          </w:tcPr>
          <w:p w14:paraId="68D3EB03">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3</w:t>
            </w:r>
          </w:p>
        </w:tc>
        <w:tc>
          <w:tcPr>
            <w:tcW w:w="5203" w:type="dxa"/>
            <w:vAlign w:val="center"/>
          </w:tcPr>
          <w:p w14:paraId="70E816AB">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电极线</w:t>
            </w:r>
          </w:p>
        </w:tc>
        <w:tc>
          <w:tcPr>
            <w:tcW w:w="1244" w:type="dxa"/>
            <w:vAlign w:val="center"/>
          </w:tcPr>
          <w:p w14:paraId="5466BD66">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根</w:t>
            </w:r>
          </w:p>
        </w:tc>
        <w:tc>
          <w:tcPr>
            <w:tcW w:w="926" w:type="dxa"/>
            <w:vAlign w:val="center"/>
          </w:tcPr>
          <w:p w14:paraId="269AEEAD">
            <w:pPr>
              <w:keepNext w:val="0"/>
              <w:keepLines w:val="0"/>
              <w:pageBreakBefore w:val="0"/>
              <w:kinsoku/>
              <w:wordWrap/>
              <w:overflowPunct/>
              <w:topLinePunct w:val="0"/>
              <w:autoSpaceDE/>
              <w:autoSpaceDN/>
              <w:bidi w:val="0"/>
              <w:adjustRightInd/>
              <w:snapToGrid w:val="0"/>
              <w:ind w:left="0" w:leftChars="0" w:right="0" w:rightChars="0" w:firstLine="420" w:firstLineChars="200"/>
              <w:jc w:val="both"/>
              <w:textAlignment w:val="auto"/>
              <w:rPr>
                <w:rFonts w:hint="default"/>
                <w:b w:val="0"/>
                <w:bCs/>
                <w:vertAlign w:val="baseline"/>
                <w:lang w:val="en-US" w:eastAsia="zh-CN"/>
              </w:rPr>
            </w:pPr>
            <w:r>
              <w:rPr>
                <w:rFonts w:hint="eastAsia"/>
                <w:b w:val="0"/>
                <w:bCs/>
                <w:vertAlign w:val="baseline"/>
                <w:lang w:val="en-US" w:eastAsia="zh-CN"/>
              </w:rPr>
              <w:t>4</w:t>
            </w:r>
          </w:p>
        </w:tc>
      </w:tr>
      <w:tr w14:paraId="7AFD8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02" w:type="dxa"/>
            <w:vAlign w:val="center"/>
          </w:tcPr>
          <w:p w14:paraId="2078DA0F">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4</w:t>
            </w:r>
          </w:p>
        </w:tc>
        <w:tc>
          <w:tcPr>
            <w:tcW w:w="5203" w:type="dxa"/>
            <w:vAlign w:val="center"/>
          </w:tcPr>
          <w:p w14:paraId="49E8810B">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生物刺激反馈仪使用说明书（含保修卡）</w:t>
            </w:r>
          </w:p>
        </w:tc>
        <w:tc>
          <w:tcPr>
            <w:tcW w:w="1244" w:type="dxa"/>
            <w:vAlign w:val="center"/>
          </w:tcPr>
          <w:p w14:paraId="1E583575">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本</w:t>
            </w:r>
          </w:p>
        </w:tc>
        <w:tc>
          <w:tcPr>
            <w:tcW w:w="926" w:type="dxa"/>
            <w:vAlign w:val="center"/>
          </w:tcPr>
          <w:p w14:paraId="7C3D4C92">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1</w:t>
            </w:r>
          </w:p>
        </w:tc>
      </w:tr>
      <w:tr w14:paraId="57BB4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02" w:type="dxa"/>
            <w:vAlign w:val="center"/>
          </w:tcPr>
          <w:p w14:paraId="70975735">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5</w:t>
            </w:r>
          </w:p>
        </w:tc>
        <w:tc>
          <w:tcPr>
            <w:tcW w:w="5203" w:type="dxa"/>
            <w:vAlign w:val="center"/>
          </w:tcPr>
          <w:p w14:paraId="3E8F16E7">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通用合格证</w:t>
            </w:r>
          </w:p>
        </w:tc>
        <w:tc>
          <w:tcPr>
            <w:tcW w:w="1244" w:type="dxa"/>
            <w:vAlign w:val="center"/>
          </w:tcPr>
          <w:p w14:paraId="6ADBF358">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个</w:t>
            </w:r>
          </w:p>
        </w:tc>
        <w:tc>
          <w:tcPr>
            <w:tcW w:w="926" w:type="dxa"/>
            <w:vAlign w:val="center"/>
          </w:tcPr>
          <w:p w14:paraId="31728071">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1</w:t>
            </w:r>
          </w:p>
        </w:tc>
      </w:tr>
      <w:tr w14:paraId="65773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02" w:type="dxa"/>
            <w:vAlign w:val="center"/>
          </w:tcPr>
          <w:p w14:paraId="0659F24B">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6</w:t>
            </w:r>
          </w:p>
        </w:tc>
        <w:tc>
          <w:tcPr>
            <w:tcW w:w="5203" w:type="dxa"/>
            <w:vAlign w:val="center"/>
          </w:tcPr>
          <w:p w14:paraId="2B94AA23">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生物刺激反馈仪软件</w:t>
            </w:r>
          </w:p>
        </w:tc>
        <w:tc>
          <w:tcPr>
            <w:tcW w:w="1244" w:type="dxa"/>
            <w:vAlign w:val="center"/>
          </w:tcPr>
          <w:p w14:paraId="1E5A8650">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套</w:t>
            </w:r>
          </w:p>
        </w:tc>
        <w:tc>
          <w:tcPr>
            <w:tcW w:w="926" w:type="dxa"/>
            <w:vAlign w:val="center"/>
          </w:tcPr>
          <w:p w14:paraId="0FE70DF5">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1</w:t>
            </w:r>
          </w:p>
        </w:tc>
      </w:tr>
      <w:tr w14:paraId="237E7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02" w:type="dxa"/>
            <w:vAlign w:val="center"/>
          </w:tcPr>
          <w:p w14:paraId="7F2E70A0">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7</w:t>
            </w:r>
          </w:p>
        </w:tc>
        <w:tc>
          <w:tcPr>
            <w:tcW w:w="5203" w:type="dxa"/>
            <w:vAlign w:val="center"/>
          </w:tcPr>
          <w:p w14:paraId="3C5E4239">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推车</w:t>
            </w:r>
          </w:p>
        </w:tc>
        <w:tc>
          <w:tcPr>
            <w:tcW w:w="1244" w:type="dxa"/>
            <w:vAlign w:val="center"/>
          </w:tcPr>
          <w:p w14:paraId="08C86DB7">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台</w:t>
            </w:r>
          </w:p>
        </w:tc>
        <w:tc>
          <w:tcPr>
            <w:tcW w:w="926" w:type="dxa"/>
            <w:vAlign w:val="center"/>
          </w:tcPr>
          <w:p w14:paraId="3F73CF6F">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1</w:t>
            </w:r>
          </w:p>
        </w:tc>
      </w:tr>
      <w:tr w14:paraId="1A24D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02" w:type="dxa"/>
            <w:vAlign w:val="center"/>
          </w:tcPr>
          <w:p w14:paraId="78DFC442">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8</w:t>
            </w:r>
          </w:p>
        </w:tc>
        <w:tc>
          <w:tcPr>
            <w:tcW w:w="5203" w:type="dxa"/>
            <w:vAlign w:val="center"/>
          </w:tcPr>
          <w:p w14:paraId="3620EFDA">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压力套件</w:t>
            </w:r>
          </w:p>
        </w:tc>
        <w:tc>
          <w:tcPr>
            <w:tcW w:w="1244" w:type="dxa"/>
            <w:vAlign w:val="center"/>
          </w:tcPr>
          <w:p w14:paraId="6BED8FCF">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个</w:t>
            </w:r>
          </w:p>
        </w:tc>
        <w:tc>
          <w:tcPr>
            <w:tcW w:w="926" w:type="dxa"/>
            <w:vAlign w:val="center"/>
          </w:tcPr>
          <w:p w14:paraId="04BBB84E">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1</w:t>
            </w:r>
          </w:p>
        </w:tc>
      </w:tr>
      <w:tr w14:paraId="1E04E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02" w:type="dxa"/>
            <w:vAlign w:val="center"/>
          </w:tcPr>
          <w:p w14:paraId="61014CE1">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9</w:t>
            </w:r>
          </w:p>
        </w:tc>
        <w:tc>
          <w:tcPr>
            <w:tcW w:w="5203" w:type="dxa"/>
            <w:vAlign w:val="center"/>
          </w:tcPr>
          <w:p w14:paraId="7FFA3866">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压力探头</w:t>
            </w:r>
          </w:p>
        </w:tc>
        <w:tc>
          <w:tcPr>
            <w:tcW w:w="1244" w:type="dxa"/>
            <w:vAlign w:val="center"/>
          </w:tcPr>
          <w:p w14:paraId="7B0EA9B8">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套</w:t>
            </w:r>
          </w:p>
        </w:tc>
        <w:tc>
          <w:tcPr>
            <w:tcW w:w="926" w:type="dxa"/>
            <w:vAlign w:val="center"/>
          </w:tcPr>
          <w:p w14:paraId="2B1FE57E">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1</w:t>
            </w:r>
          </w:p>
        </w:tc>
      </w:tr>
      <w:tr w14:paraId="61272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02" w:type="dxa"/>
            <w:vAlign w:val="center"/>
          </w:tcPr>
          <w:p w14:paraId="723284F6">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10</w:t>
            </w:r>
          </w:p>
        </w:tc>
        <w:tc>
          <w:tcPr>
            <w:tcW w:w="5203" w:type="dxa"/>
            <w:vAlign w:val="center"/>
          </w:tcPr>
          <w:p w14:paraId="1F545779">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一次性使用心电电极</w:t>
            </w:r>
          </w:p>
        </w:tc>
        <w:tc>
          <w:tcPr>
            <w:tcW w:w="1244" w:type="dxa"/>
            <w:vAlign w:val="center"/>
          </w:tcPr>
          <w:p w14:paraId="5AD0D153">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片</w:t>
            </w:r>
          </w:p>
        </w:tc>
        <w:tc>
          <w:tcPr>
            <w:tcW w:w="926" w:type="dxa"/>
            <w:vAlign w:val="center"/>
          </w:tcPr>
          <w:p w14:paraId="12E67286">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25</w:t>
            </w:r>
          </w:p>
        </w:tc>
      </w:tr>
      <w:tr w14:paraId="49B39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02" w:type="dxa"/>
            <w:vAlign w:val="center"/>
          </w:tcPr>
          <w:p w14:paraId="3C1C047F">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11</w:t>
            </w:r>
          </w:p>
        </w:tc>
        <w:tc>
          <w:tcPr>
            <w:tcW w:w="5203" w:type="dxa"/>
            <w:vAlign w:val="center"/>
          </w:tcPr>
          <w:p w14:paraId="2E6B8EB1">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一次性使用阴道电极</w:t>
            </w:r>
          </w:p>
        </w:tc>
        <w:tc>
          <w:tcPr>
            <w:tcW w:w="1244" w:type="dxa"/>
            <w:vAlign w:val="center"/>
          </w:tcPr>
          <w:p w14:paraId="6636E212">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套</w:t>
            </w:r>
          </w:p>
        </w:tc>
        <w:tc>
          <w:tcPr>
            <w:tcW w:w="926" w:type="dxa"/>
            <w:vAlign w:val="center"/>
          </w:tcPr>
          <w:p w14:paraId="26F3E252">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1</w:t>
            </w:r>
          </w:p>
        </w:tc>
      </w:tr>
      <w:tr w14:paraId="74C0C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02" w:type="dxa"/>
            <w:vAlign w:val="center"/>
          </w:tcPr>
          <w:p w14:paraId="522F2432">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12</w:t>
            </w:r>
          </w:p>
        </w:tc>
        <w:tc>
          <w:tcPr>
            <w:tcW w:w="5203" w:type="dxa"/>
            <w:vAlign w:val="center"/>
          </w:tcPr>
          <w:p w14:paraId="79385B84">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理疗用体表电极（矩形45*45-B）</w:t>
            </w:r>
          </w:p>
        </w:tc>
        <w:tc>
          <w:tcPr>
            <w:tcW w:w="1244" w:type="dxa"/>
            <w:vAlign w:val="center"/>
          </w:tcPr>
          <w:p w14:paraId="442E30F4">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片</w:t>
            </w:r>
          </w:p>
        </w:tc>
        <w:tc>
          <w:tcPr>
            <w:tcW w:w="926" w:type="dxa"/>
            <w:vAlign w:val="center"/>
          </w:tcPr>
          <w:p w14:paraId="760190B6">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20</w:t>
            </w:r>
          </w:p>
        </w:tc>
      </w:tr>
      <w:tr w14:paraId="624C4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02" w:type="dxa"/>
            <w:vAlign w:val="center"/>
          </w:tcPr>
          <w:p w14:paraId="0B95D07E">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13</w:t>
            </w:r>
          </w:p>
        </w:tc>
        <w:tc>
          <w:tcPr>
            <w:tcW w:w="5203" w:type="dxa"/>
            <w:vAlign w:val="center"/>
          </w:tcPr>
          <w:p w14:paraId="43E1EAAC">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理疗用体表电极（矩形70*120-B）</w:t>
            </w:r>
          </w:p>
        </w:tc>
        <w:tc>
          <w:tcPr>
            <w:tcW w:w="1244" w:type="dxa"/>
            <w:vAlign w:val="center"/>
          </w:tcPr>
          <w:p w14:paraId="0151B6C6">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片</w:t>
            </w:r>
          </w:p>
        </w:tc>
        <w:tc>
          <w:tcPr>
            <w:tcW w:w="926" w:type="dxa"/>
            <w:vAlign w:val="center"/>
          </w:tcPr>
          <w:p w14:paraId="3FD52DF6">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4</w:t>
            </w:r>
          </w:p>
        </w:tc>
      </w:tr>
      <w:tr w14:paraId="0A4C4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02" w:type="dxa"/>
            <w:vAlign w:val="center"/>
          </w:tcPr>
          <w:p w14:paraId="60139794">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14</w:t>
            </w:r>
          </w:p>
        </w:tc>
        <w:tc>
          <w:tcPr>
            <w:tcW w:w="5203" w:type="dxa"/>
            <w:vAlign w:val="center"/>
          </w:tcPr>
          <w:p w14:paraId="5286E648">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理疗用体表电极（圆形φ85-B）</w:t>
            </w:r>
          </w:p>
        </w:tc>
        <w:tc>
          <w:tcPr>
            <w:tcW w:w="1244" w:type="dxa"/>
            <w:vAlign w:val="center"/>
          </w:tcPr>
          <w:p w14:paraId="0D7BCBD8">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片</w:t>
            </w:r>
          </w:p>
        </w:tc>
        <w:tc>
          <w:tcPr>
            <w:tcW w:w="926" w:type="dxa"/>
            <w:vAlign w:val="center"/>
          </w:tcPr>
          <w:p w14:paraId="406613E8">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4</w:t>
            </w:r>
          </w:p>
        </w:tc>
      </w:tr>
      <w:tr w14:paraId="24F39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02" w:type="dxa"/>
            <w:vAlign w:val="center"/>
          </w:tcPr>
          <w:p w14:paraId="215B57BF">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15</w:t>
            </w:r>
          </w:p>
        </w:tc>
        <w:tc>
          <w:tcPr>
            <w:tcW w:w="5203" w:type="dxa"/>
            <w:vAlign w:val="center"/>
          </w:tcPr>
          <w:p w14:paraId="37B94712">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理疗用体表电极（乳形55*160-B）</w:t>
            </w:r>
          </w:p>
        </w:tc>
        <w:tc>
          <w:tcPr>
            <w:tcW w:w="1244" w:type="dxa"/>
            <w:vAlign w:val="center"/>
          </w:tcPr>
          <w:p w14:paraId="2F59A74D">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片</w:t>
            </w:r>
          </w:p>
        </w:tc>
        <w:tc>
          <w:tcPr>
            <w:tcW w:w="926" w:type="dxa"/>
            <w:vAlign w:val="center"/>
          </w:tcPr>
          <w:p w14:paraId="79D4095D">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8</w:t>
            </w:r>
          </w:p>
        </w:tc>
      </w:tr>
      <w:tr w14:paraId="7B159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02" w:type="dxa"/>
            <w:vAlign w:val="center"/>
          </w:tcPr>
          <w:p w14:paraId="166CC561">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16</w:t>
            </w:r>
          </w:p>
        </w:tc>
        <w:tc>
          <w:tcPr>
            <w:tcW w:w="5203" w:type="dxa"/>
            <w:vAlign w:val="center"/>
          </w:tcPr>
          <w:p w14:paraId="142A4880">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阴道电极</w:t>
            </w:r>
          </w:p>
        </w:tc>
        <w:tc>
          <w:tcPr>
            <w:tcW w:w="1244" w:type="dxa"/>
            <w:vAlign w:val="center"/>
          </w:tcPr>
          <w:p w14:paraId="5F58DED6">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套</w:t>
            </w:r>
          </w:p>
        </w:tc>
        <w:tc>
          <w:tcPr>
            <w:tcW w:w="926" w:type="dxa"/>
            <w:vAlign w:val="center"/>
          </w:tcPr>
          <w:p w14:paraId="0ACD9D03">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1</w:t>
            </w:r>
          </w:p>
        </w:tc>
      </w:tr>
      <w:tr w14:paraId="6C0CA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02" w:type="dxa"/>
            <w:vAlign w:val="center"/>
          </w:tcPr>
          <w:p w14:paraId="3BF99C42">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17</w:t>
            </w:r>
          </w:p>
        </w:tc>
        <w:tc>
          <w:tcPr>
            <w:tcW w:w="5203" w:type="dxa"/>
            <w:vAlign w:val="center"/>
          </w:tcPr>
          <w:p w14:paraId="7C3FE5F2">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直肠电极</w:t>
            </w:r>
          </w:p>
        </w:tc>
        <w:tc>
          <w:tcPr>
            <w:tcW w:w="1244" w:type="dxa"/>
            <w:vAlign w:val="center"/>
          </w:tcPr>
          <w:p w14:paraId="697BE3D7">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套</w:t>
            </w:r>
          </w:p>
        </w:tc>
        <w:tc>
          <w:tcPr>
            <w:tcW w:w="926" w:type="dxa"/>
            <w:vAlign w:val="center"/>
          </w:tcPr>
          <w:p w14:paraId="1FF004D9">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1</w:t>
            </w:r>
          </w:p>
        </w:tc>
      </w:tr>
      <w:tr w14:paraId="60FB1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02" w:type="dxa"/>
            <w:vAlign w:val="center"/>
          </w:tcPr>
          <w:p w14:paraId="4E7D3B0E">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18</w:t>
            </w:r>
          </w:p>
        </w:tc>
        <w:tc>
          <w:tcPr>
            <w:tcW w:w="5203" w:type="dxa"/>
            <w:vAlign w:val="center"/>
          </w:tcPr>
          <w:p w14:paraId="29D2810C">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液晶显示器</w:t>
            </w:r>
          </w:p>
        </w:tc>
        <w:tc>
          <w:tcPr>
            <w:tcW w:w="1244" w:type="dxa"/>
            <w:vAlign w:val="center"/>
          </w:tcPr>
          <w:p w14:paraId="3D8484DB">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台</w:t>
            </w:r>
          </w:p>
        </w:tc>
        <w:tc>
          <w:tcPr>
            <w:tcW w:w="926" w:type="dxa"/>
            <w:vAlign w:val="center"/>
          </w:tcPr>
          <w:p w14:paraId="25DE10F3">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1</w:t>
            </w:r>
          </w:p>
        </w:tc>
      </w:tr>
      <w:tr w14:paraId="3EF8D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02" w:type="dxa"/>
            <w:vAlign w:val="center"/>
          </w:tcPr>
          <w:p w14:paraId="39296554">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19</w:t>
            </w:r>
          </w:p>
        </w:tc>
        <w:tc>
          <w:tcPr>
            <w:tcW w:w="5203" w:type="dxa"/>
            <w:vAlign w:val="center"/>
          </w:tcPr>
          <w:p w14:paraId="28F9683F">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显示器支架</w:t>
            </w:r>
          </w:p>
        </w:tc>
        <w:tc>
          <w:tcPr>
            <w:tcW w:w="1244" w:type="dxa"/>
            <w:vAlign w:val="center"/>
          </w:tcPr>
          <w:p w14:paraId="6567D90B">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个</w:t>
            </w:r>
          </w:p>
        </w:tc>
        <w:tc>
          <w:tcPr>
            <w:tcW w:w="926" w:type="dxa"/>
            <w:vAlign w:val="center"/>
          </w:tcPr>
          <w:p w14:paraId="7BAF049D">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1</w:t>
            </w:r>
          </w:p>
        </w:tc>
      </w:tr>
      <w:tr w14:paraId="43D2A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02" w:type="dxa"/>
            <w:vAlign w:val="center"/>
          </w:tcPr>
          <w:p w14:paraId="6E82C6D7">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20</w:t>
            </w:r>
          </w:p>
        </w:tc>
        <w:tc>
          <w:tcPr>
            <w:tcW w:w="5203" w:type="dxa"/>
            <w:vAlign w:val="center"/>
          </w:tcPr>
          <w:p w14:paraId="6653655F">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头戴式耳机</w:t>
            </w:r>
          </w:p>
        </w:tc>
        <w:tc>
          <w:tcPr>
            <w:tcW w:w="1244" w:type="dxa"/>
            <w:vAlign w:val="center"/>
          </w:tcPr>
          <w:p w14:paraId="740BFD8D">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个</w:t>
            </w:r>
          </w:p>
        </w:tc>
        <w:tc>
          <w:tcPr>
            <w:tcW w:w="926" w:type="dxa"/>
            <w:vAlign w:val="center"/>
          </w:tcPr>
          <w:p w14:paraId="38276F8C">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1</w:t>
            </w:r>
          </w:p>
        </w:tc>
      </w:tr>
      <w:tr w14:paraId="6C477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02" w:type="dxa"/>
            <w:vAlign w:val="center"/>
          </w:tcPr>
          <w:p w14:paraId="08C3BAB4">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21</w:t>
            </w:r>
          </w:p>
        </w:tc>
        <w:tc>
          <w:tcPr>
            <w:tcW w:w="5203" w:type="dxa"/>
            <w:vAlign w:val="center"/>
          </w:tcPr>
          <w:p w14:paraId="686AE095">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加热仓</w:t>
            </w:r>
          </w:p>
        </w:tc>
        <w:tc>
          <w:tcPr>
            <w:tcW w:w="1244" w:type="dxa"/>
            <w:vAlign w:val="center"/>
          </w:tcPr>
          <w:p w14:paraId="2B8E357D">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个</w:t>
            </w:r>
          </w:p>
        </w:tc>
        <w:tc>
          <w:tcPr>
            <w:tcW w:w="926" w:type="dxa"/>
            <w:vAlign w:val="center"/>
          </w:tcPr>
          <w:p w14:paraId="30576AB9">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1</w:t>
            </w:r>
          </w:p>
        </w:tc>
      </w:tr>
      <w:tr w14:paraId="575AA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802" w:type="dxa"/>
            <w:vAlign w:val="center"/>
          </w:tcPr>
          <w:p w14:paraId="0431200D">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22</w:t>
            </w:r>
          </w:p>
        </w:tc>
        <w:tc>
          <w:tcPr>
            <w:tcW w:w="5203" w:type="dxa"/>
            <w:vAlign w:val="center"/>
          </w:tcPr>
          <w:p w14:paraId="399615E5">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一次性使用无菌阴道电极</w:t>
            </w:r>
          </w:p>
        </w:tc>
        <w:tc>
          <w:tcPr>
            <w:tcW w:w="1244" w:type="dxa"/>
            <w:vAlign w:val="center"/>
          </w:tcPr>
          <w:p w14:paraId="19A6B88A">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套</w:t>
            </w:r>
          </w:p>
        </w:tc>
        <w:tc>
          <w:tcPr>
            <w:tcW w:w="926" w:type="dxa"/>
            <w:vAlign w:val="center"/>
          </w:tcPr>
          <w:p w14:paraId="663611D7">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1</w:t>
            </w:r>
          </w:p>
        </w:tc>
      </w:tr>
    </w:tbl>
    <w:p w14:paraId="46996996">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center"/>
        <w:textAlignment w:val="auto"/>
        <w:rPr>
          <w:rFonts w:hint="eastAsia" w:ascii="仿宋" w:hAnsi="仿宋" w:eastAsia="仿宋" w:cs="仿宋"/>
          <w:color w:val="auto"/>
          <w:sz w:val="30"/>
          <w:szCs w:val="30"/>
          <w:lang w:val="en-US" w:eastAsia="zh-CN"/>
        </w:rPr>
      </w:pPr>
    </w:p>
    <w:p w14:paraId="30653380">
      <w:pPr>
        <w:keepNext w:val="0"/>
        <w:keepLines w:val="0"/>
        <w:pageBreakBefore w:val="0"/>
        <w:widowControl w:val="0"/>
        <w:kinsoku/>
        <w:wordWrap/>
        <w:overflowPunct/>
        <w:topLinePunct w:val="0"/>
        <w:autoSpaceDE/>
        <w:autoSpaceDN/>
        <w:bidi w:val="0"/>
        <w:adjustRightInd/>
        <w:snapToGrid/>
        <w:spacing w:line="560" w:lineRule="exact"/>
        <w:ind w:firstLine="602" w:firstLineChars="200"/>
        <w:jc w:val="left"/>
        <w:textAlignment w:val="auto"/>
        <w:rPr>
          <w:rFonts w:hint="eastAsia" w:ascii="仿宋" w:hAnsi="仿宋" w:eastAsia="仿宋" w:cs="仿宋"/>
          <w:b/>
          <w:bCs/>
          <w:sz w:val="30"/>
          <w:szCs w:val="30"/>
          <w:lang w:val="en-US" w:eastAsia="zh-CN"/>
        </w:rPr>
      </w:pPr>
    </w:p>
    <w:p w14:paraId="41DBFF7A">
      <w:pPr>
        <w:keepNext w:val="0"/>
        <w:keepLines w:val="0"/>
        <w:pageBreakBefore w:val="0"/>
        <w:widowControl w:val="0"/>
        <w:kinsoku/>
        <w:wordWrap/>
        <w:overflowPunct/>
        <w:topLinePunct w:val="0"/>
        <w:autoSpaceDE/>
        <w:autoSpaceDN/>
        <w:bidi w:val="0"/>
        <w:adjustRightInd/>
        <w:snapToGrid/>
        <w:spacing w:line="560" w:lineRule="exact"/>
        <w:ind w:firstLine="602" w:firstLineChars="200"/>
        <w:jc w:val="left"/>
        <w:textAlignment w:val="auto"/>
        <w:rPr>
          <w:rFonts w:hint="eastAsia" w:ascii="仿宋" w:hAnsi="仿宋" w:eastAsia="仿宋" w:cs="仿宋"/>
          <w:b/>
          <w:bCs/>
          <w:sz w:val="30"/>
          <w:szCs w:val="30"/>
          <w:lang w:val="en-US" w:eastAsia="zh-CN"/>
        </w:rPr>
      </w:pPr>
    </w:p>
    <w:p w14:paraId="4239E908">
      <w:pPr>
        <w:keepNext w:val="0"/>
        <w:keepLines w:val="0"/>
        <w:pageBreakBefore w:val="0"/>
        <w:widowControl w:val="0"/>
        <w:kinsoku/>
        <w:wordWrap/>
        <w:overflowPunct/>
        <w:topLinePunct w:val="0"/>
        <w:autoSpaceDE/>
        <w:autoSpaceDN/>
        <w:bidi w:val="0"/>
        <w:adjustRightInd/>
        <w:snapToGrid/>
        <w:spacing w:line="560" w:lineRule="exact"/>
        <w:ind w:firstLine="602" w:firstLineChars="200"/>
        <w:jc w:val="left"/>
        <w:textAlignment w:val="auto"/>
        <w:rPr>
          <w:rFonts w:hint="eastAsia" w:ascii="仿宋" w:hAnsi="仿宋" w:eastAsia="仿宋" w:cs="仿宋"/>
          <w:b/>
          <w:bCs/>
          <w:sz w:val="30"/>
          <w:szCs w:val="30"/>
          <w:lang w:val="en-US" w:eastAsia="zh-CN"/>
        </w:rPr>
      </w:pPr>
    </w:p>
    <w:p w14:paraId="4DE8209A">
      <w:pPr>
        <w:keepNext w:val="0"/>
        <w:keepLines w:val="0"/>
        <w:pageBreakBefore w:val="0"/>
        <w:widowControl w:val="0"/>
        <w:kinsoku/>
        <w:wordWrap/>
        <w:overflowPunct/>
        <w:topLinePunct w:val="0"/>
        <w:autoSpaceDE/>
        <w:autoSpaceDN/>
        <w:bidi w:val="0"/>
        <w:adjustRightInd/>
        <w:snapToGrid/>
        <w:spacing w:line="560" w:lineRule="exact"/>
        <w:ind w:firstLine="602" w:firstLineChars="200"/>
        <w:jc w:val="left"/>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（四）耗 材 价 格</w:t>
      </w:r>
    </w:p>
    <w:p w14:paraId="5285BA36">
      <w:pPr>
        <w:keepNext w:val="0"/>
        <w:keepLines w:val="0"/>
        <w:pageBreakBefore w:val="0"/>
        <w:kinsoku/>
        <w:wordWrap/>
        <w:overflowPunct/>
        <w:topLinePunct w:val="0"/>
        <w:autoSpaceDE/>
        <w:autoSpaceDN/>
        <w:bidi w:val="0"/>
        <w:adjustRightInd/>
        <w:ind w:firstLine="720" w:firstLineChars="200"/>
        <w:jc w:val="both"/>
        <w:textAlignment w:val="auto"/>
        <w:rPr>
          <w:rFonts w:hint="eastAsia"/>
          <w:sz w:val="36"/>
          <w:szCs w:val="36"/>
          <w:lang w:val="en-US" w:eastAsia="zh-CN"/>
        </w:rPr>
      </w:pPr>
    </w:p>
    <w:tbl>
      <w:tblPr>
        <w:tblStyle w:val="14"/>
        <w:tblW w:w="8550" w:type="dxa"/>
        <w:tblInd w:w="5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6"/>
        <w:gridCol w:w="2250"/>
        <w:gridCol w:w="968"/>
        <w:gridCol w:w="1800"/>
        <w:gridCol w:w="2646"/>
      </w:tblGrid>
      <w:tr w14:paraId="34031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886" w:type="dxa"/>
          </w:tcPr>
          <w:p w14:paraId="6C53ECA4">
            <w:pPr>
              <w:keepNext w:val="0"/>
              <w:keepLines w:val="0"/>
              <w:pageBreakBefore w:val="0"/>
              <w:kinsoku/>
              <w:wordWrap/>
              <w:overflowPunct/>
              <w:topLinePunct w:val="0"/>
              <w:autoSpaceDE/>
              <w:autoSpaceDN/>
              <w:bidi w:val="0"/>
              <w:adjustRightInd/>
              <w:jc w:val="center"/>
              <w:textAlignment w:val="auto"/>
              <w:rPr>
                <w:rFonts w:hint="default"/>
                <w:sz w:val="24"/>
                <w:szCs w:val="24"/>
                <w:vertAlign w:val="baseline"/>
                <w:lang w:val="en-US" w:eastAsia="zh-CN"/>
              </w:rPr>
            </w:pPr>
            <w:r>
              <w:rPr>
                <w:rFonts w:hint="eastAsia"/>
                <w:sz w:val="24"/>
                <w:szCs w:val="24"/>
                <w:vertAlign w:val="baseline"/>
                <w:lang w:val="en-US" w:eastAsia="zh-CN"/>
              </w:rPr>
              <w:t>序号</w:t>
            </w:r>
          </w:p>
        </w:tc>
        <w:tc>
          <w:tcPr>
            <w:tcW w:w="2250" w:type="dxa"/>
          </w:tcPr>
          <w:p w14:paraId="45995603">
            <w:pPr>
              <w:keepNext w:val="0"/>
              <w:keepLines w:val="0"/>
              <w:pageBreakBefore w:val="0"/>
              <w:kinsoku/>
              <w:wordWrap/>
              <w:overflowPunct/>
              <w:topLinePunct w:val="0"/>
              <w:autoSpaceDE/>
              <w:autoSpaceDN/>
              <w:bidi w:val="0"/>
              <w:adjustRightInd/>
              <w:ind w:firstLine="480" w:firstLineChars="200"/>
              <w:jc w:val="center"/>
              <w:textAlignment w:val="auto"/>
              <w:rPr>
                <w:rFonts w:hint="default"/>
                <w:sz w:val="24"/>
                <w:szCs w:val="24"/>
                <w:vertAlign w:val="baseline"/>
                <w:lang w:val="en-US" w:eastAsia="zh-CN"/>
              </w:rPr>
            </w:pPr>
            <w:r>
              <w:rPr>
                <w:rFonts w:hint="eastAsia"/>
                <w:sz w:val="24"/>
                <w:szCs w:val="24"/>
                <w:vertAlign w:val="baseline"/>
                <w:lang w:val="en-US" w:eastAsia="zh-CN"/>
              </w:rPr>
              <w:t>耗材名称</w:t>
            </w:r>
          </w:p>
        </w:tc>
        <w:tc>
          <w:tcPr>
            <w:tcW w:w="968" w:type="dxa"/>
          </w:tcPr>
          <w:p w14:paraId="591CE372">
            <w:pPr>
              <w:keepNext w:val="0"/>
              <w:keepLines w:val="0"/>
              <w:pageBreakBefore w:val="0"/>
              <w:kinsoku/>
              <w:wordWrap/>
              <w:overflowPunct/>
              <w:topLinePunct w:val="0"/>
              <w:autoSpaceDE/>
              <w:autoSpaceDN/>
              <w:bidi w:val="0"/>
              <w:adjustRightInd/>
              <w:ind w:firstLine="240" w:firstLineChars="100"/>
              <w:jc w:val="both"/>
              <w:textAlignment w:val="auto"/>
              <w:rPr>
                <w:rFonts w:hint="default"/>
                <w:sz w:val="24"/>
                <w:szCs w:val="24"/>
                <w:vertAlign w:val="baseline"/>
                <w:lang w:val="en-US" w:eastAsia="zh-CN"/>
              </w:rPr>
            </w:pPr>
            <w:r>
              <w:rPr>
                <w:rFonts w:hint="eastAsia"/>
                <w:sz w:val="24"/>
                <w:szCs w:val="24"/>
                <w:vertAlign w:val="baseline"/>
                <w:lang w:val="en-US" w:eastAsia="zh-CN"/>
              </w:rPr>
              <w:t>单位</w:t>
            </w:r>
          </w:p>
        </w:tc>
        <w:tc>
          <w:tcPr>
            <w:tcW w:w="1800" w:type="dxa"/>
          </w:tcPr>
          <w:p w14:paraId="7D95E0F3">
            <w:pPr>
              <w:keepNext w:val="0"/>
              <w:keepLines w:val="0"/>
              <w:pageBreakBefore w:val="0"/>
              <w:kinsoku/>
              <w:wordWrap/>
              <w:overflowPunct/>
              <w:topLinePunct w:val="0"/>
              <w:autoSpaceDE/>
              <w:autoSpaceDN/>
              <w:bidi w:val="0"/>
              <w:adjustRightInd/>
              <w:ind w:firstLine="480" w:firstLineChars="200"/>
              <w:jc w:val="center"/>
              <w:textAlignment w:val="auto"/>
              <w:rPr>
                <w:rFonts w:hint="default"/>
                <w:sz w:val="24"/>
                <w:szCs w:val="24"/>
                <w:vertAlign w:val="baseline"/>
                <w:lang w:val="en-US" w:eastAsia="zh-CN"/>
              </w:rPr>
            </w:pPr>
            <w:r>
              <w:rPr>
                <w:rFonts w:hint="eastAsia"/>
                <w:sz w:val="24"/>
                <w:szCs w:val="24"/>
                <w:vertAlign w:val="baseline"/>
                <w:lang w:val="en-US" w:eastAsia="zh-CN"/>
              </w:rPr>
              <w:t>最高限价（元）</w:t>
            </w:r>
          </w:p>
        </w:tc>
        <w:tc>
          <w:tcPr>
            <w:tcW w:w="2646" w:type="dxa"/>
          </w:tcPr>
          <w:p w14:paraId="5B7D5032">
            <w:pPr>
              <w:keepNext w:val="0"/>
              <w:keepLines w:val="0"/>
              <w:pageBreakBefore w:val="0"/>
              <w:kinsoku/>
              <w:wordWrap/>
              <w:overflowPunct/>
              <w:topLinePunct w:val="0"/>
              <w:autoSpaceDE/>
              <w:autoSpaceDN/>
              <w:bidi w:val="0"/>
              <w:adjustRightInd/>
              <w:ind w:firstLine="480" w:firstLineChars="200"/>
              <w:jc w:val="center"/>
              <w:textAlignment w:val="auto"/>
              <w:rPr>
                <w:rFonts w:hint="eastAsia"/>
                <w:sz w:val="24"/>
                <w:szCs w:val="24"/>
                <w:vertAlign w:val="baseline"/>
                <w:lang w:val="en-US" w:eastAsia="zh-CN"/>
              </w:rPr>
            </w:pPr>
            <w:r>
              <w:rPr>
                <w:rFonts w:hint="eastAsia"/>
                <w:sz w:val="24"/>
                <w:szCs w:val="24"/>
                <w:vertAlign w:val="baseline"/>
                <w:lang w:val="en-US" w:eastAsia="zh-CN"/>
              </w:rPr>
              <w:t>备注</w:t>
            </w:r>
          </w:p>
        </w:tc>
      </w:tr>
      <w:tr w14:paraId="22CD5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886" w:type="dxa"/>
          </w:tcPr>
          <w:p w14:paraId="1313DFF2">
            <w:pPr>
              <w:keepNext w:val="0"/>
              <w:keepLines w:val="0"/>
              <w:pageBreakBefore w:val="0"/>
              <w:kinsoku/>
              <w:wordWrap/>
              <w:overflowPunct/>
              <w:topLinePunct w:val="0"/>
              <w:autoSpaceDE/>
              <w:autoSpaceDN/>
              <w:bidi w:val="0"/>
              <w:adjustRightInd/>
              <w:ind w:firstLine="480" w:firstLineChars="200"/>
              <w:jc w:val="center"/>
              <w:textAlignment w:val="auto"/>
              <w:rPr>
                <w:rFonts w:hint="default"/>
                <w:sz w:val="24"/>
                <w:szCs w:val="24"/>
                <w:vertAlign w:val="baseline"/>
                <w:lang w:val="en-US" w:eastAsia="zh-CN"/>
              </w:rPr>
            </w:pPr>
            <w:r>
              <w:rPr>
                <w:rFonts w:hint="eastAsia"/>
                <w:sz w:val="24"/>
                <w:szCs w:val="24"/>
                <w:vertAlign w:val="baseline"/>
                <w:lang w:val="en-US" w:eastAsia="zh-CN"/>
              </w:rPr>
              <w:t>1</w:t>
            </w:r>
          </w:p>
        </w:tc>
        <w:tc>
          <w:tcPr>
            <w:tcW w:w="2250" w:type="dxa"/>
          </w:tcPr>
          <w:p w14:paraId="64B6FFBC">
            <w:pPr>
              <w:keepNext w:val="0"/>
              <w:keepLines w:val="0"/>
              <w:pageBreakBefore w:val="0"/>
              <w:kinsoku/>
              <w:wordWrap/>
              <w:overflowPunct/>
              <w:topLinePunct w:val="0"/>
              <w:autoSpaceDE/>
              <w:autoSpaceDN/>
              <w:bidi w:val="0"/>
              <w:adjustRightInd/>
              <w:ind w:firstLine="480" w:firstLineChars="200"/>
              <w:jc w:val="center"/>
              <w:textAlignment w:val="auto"/>
              <w:rPr>
                <w:rFonts w:hint="default"/>
                <w:sz w:val="24"/>
                <w:szCs w:val="24"/>
                <w:vertAlign w:val="baseline"/>
                <w:lang w:val="en-US" w:eastAsia="zh-CN"/>
              </w:rPr>
            </w:pPr>
            <w:r>
              <w:rPr>
                <w:rFonts w:hint="eastAsia"/>
                <w:sz w:val="24"/>
                <w:szCs w:val="24"/>
                <w:vertAlign w:val="baseline"/>
                <w:lang w:val="en-US" w:eastAsia="zh-CN"/>
              </w:rPr>
              <w:t>阴道电极</w:t>
            </w:r>
          </w:p>
        </w:tc>
        <w:tc>
          <w:tcPr>
            <w:tcW w:w="968" w:type="dxa"/>
          </w:tcPr>
          <w:p w14:paraId="22F03FD5">
            <w:pPr>
              <w:keepNext w:val="0"/>
              <w:keepLines w:val="0"/>
              <w:pageBreakBefore w:val="0"/>
              <w:kinsoku/>
              <w:wordWrap/>
              <w:overflowPunct/>
              <w:topLinePunct w:val="0"/>
              <w:autoSpaceDE/>
              <w:autoSpaceDN/>
              <w:bidi w:val="0"/>
              <w:adjustRightInd/>
              <w:ind w:firstLine="480" w:firstLineChars="200"/>
              <w:jc w:val="center"/>
              <w:textAlignment w:val="auto"/>
              <w:rPr>
                <w:rFonts w:hint="default"/>
                <w:sz w:val="24"/>
                <w:szCs w:val="24"/>
                <w:vertAlign w:val="baseline"/>
                <w:lang w:val="en-US" w:eastAsia="zh-CN"/>
              </w:rPr>
            </w:pPr>
            <w:r>
              <w:rPr>
                <w:rFonts w:hint="eastAsia"/>
                <w:sz w:val="24"/>
                <w:szCs w:val="24"/>
                <w:vertAlign w:val="baseline"/>
                <w:lang w:val="en-US" w:eastAsia="zh-CN"/>
              </w:rPr>
              <w:t>个</w:t>
            </w:r>
          </w:p>
        </w:tc>
        <w:tc>
          <w:tcPr>
            <w:tcW w:w="1800" w:type="dxa"/>
          </w:tcPr>
          <w:p w14:paraId="387719B0">
            <w:pPr>
              <w:keepNext w:val="0"/>
              <w:keepLines w:val="0"/>
              <w:pageBreakBefore w:val="0"/>
              <w:kinsoku/>
              <w:wordWrap/>
              <w:overflowPunct/>
              <w:topLinePunct w:val="0"/>
              <w:autoSpaceDE/>
              <w:autoSpaceDN/>
              <w:bidi w:val="0"/>
              <w:adjustRightInd/>
              <w:ind w:firstLine="480" w:firstLineChars="200"/>
              <w:jc w:val="center"/>
              <w:textAlignment w:val="auto"/>
              <w:rPr>
                <w:rFonts w:hint="default"/>
                <w:sz w:val="24"/>
                <w:szCs w:val="24"/>
                <w:vertAlign w:val="baseline"/>
                <w:lang w:val="en-US" w:eastAsia="zh-CN"/>
              </w:rPr>
            </w:pPr>
            <w:r>
              <w:rPr>
                <w:rFonts w:hint="eastAsia"/>
                <w:sz w:val="24"/>
                <w:szCs w:val="24"/>
                <w:vertAlign w:val="baseline"/>
                <w:lang w:val="en-US" w:eastAsia="zh-CN"/>
              </w:rPr>
              <w:t>160</w:t>
            </w:r>
          </w:p>
        </w:tc>
        <w:tc>
          <w:tcPr>
            <w:tcW w:w="2646" w:type="dxa"/>
          </w:tcPr>
          <w:p w14:paraId="7AD0716D">
            <w:pPr>
              <w:keepNext w:val="0"/>
              <w:keepLines w:val="0"/>
              <w:pageBreakBefore w:val="0"/>
              <w:kinsoku/>
              <w:wordWrap/>
              <w:overflowPunct/>
              <w:topLinePunct w:val="0"/>
              <w:autoSpaceDE/>
              <w:autoSpaceDN/>
              <w:bidi w:val="0"/>
              <w:adjustRightInd/>
              <w:jc w:val="both"/>
              <w:textAlignment w:val="auto"/>
              <w:rPr>
                <w:rFonts w:hint="eastAsia"/>
                <w:sz w:val="24"/>
                <w:szCs w:val="24"/>
                <w:vertAlign w:val="baseline"/>
                <w:lang w:val="en-US" w:eastAsia="zh-CN"/>
              </w:rPr>
            </w:pPr>
            <w:r>
              <w:rPr>
                <w:rFonts w:hint="eastAsia" w:asciiTheme="minorEastAsia" w:hAnsiTheme="minorEastAsia" w:cstheme="minorEastAsia"/>
                <w:i w:val="0"/>
                <w:iCs w:val="0"/>
                <w:color w:val="auto"/>
                <w:kern w:val="0"/>
                <w:sz w:val="22"/>
                <w:szCs w:val="22"/>
                <w:highlight w:val="none"/>
                <w:vertAlign w:val="baseline"/>
                <w:lang w:val="en-US" w:eastAsia="zh-CN" w:bidi="ar"/>
              </w:rPr>
              <w:t>不得高于省平台中标价</w:t>
            </w:r>
          </w:p>
        </w:tc>
      </w:tr>
      <w:tr w14:paraId="313BA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rPr>
        <w:tc>
          <w:tcPr>
            <w:tcW w:w="886" w:type="dxa"/>
          </w:tcPr>
          <w:p w14:paraId="73CCE6A3">
            <w:pPr>
              <w:keepNext w:val="0"/>
              <w:keepLines w:val="0"/>
              <w:pageBreakBefore w:val="0"/>
              <w:kinsoku/>
              <w:wordWrap/>
              <w:overflowPunct/>
              <w:topLinePunct w:val="0"/>
              <w:autoSpaceDE/>
              <w:autoSpaceDN/>
              <w:bidi w:val="0"/>
              <w:adjustRightInd/>
              <w:ind w:firstLine="480" w:firstLineChars="200"/>
              <w:jc w:val="center"/>
              <w:textAlignment w:val="auto"/>
              <w:rPr>
                <w:rFonts w:hint="default"/>
                <w:sz w:val="24"/>
                <w:szCs w:val="24"/>
                <w:vertAlign w:val="baseline"/>
                <w:lang w:val="en-US" w:eastAsia="zh-CN"/>
              </w:rPr>
            </w:pPr>
            <w:r>
              <w:rPr>
                <w:rFonts w:hint="eastAsia"/>
                <w:sz w:val="24"/>
                <w:szCs w:val="24"/>
                <w:vertAlign w:val="baseline"/>
                <w:lang w:val="en-US" w:eastAsia="zh-CN"/>
              </w:rPr>
              <w:t>2</w:t>
            </w:r>
          </w:p>
        </w:tc>
        <w:tc>
          <w:tcPr>
            <w:tcW w:w="2250" w:type="dxa"/>
          </w:tcPr>
          <w:p w14:paraId="6485F1D1">
            <w:pPr>
              <w:keepNext w:val="0"/>
              <w:keepLines w:val="0"/>
              <w:pageBreakBefore w:val="0"/>
              <w:kinsoku/>
              <w:wordWrap/>
              <w:overflowPunct/>
              <w:topLinePunct w:val="0"/>
              <w:autoSpaceDE/>
              <w:autoSpaceDN/>
              <w:bidi w:val="0"/>
              <w:adjustRightInd/>
              <w:ind w:firstLine="480" w:firstLineChars="200"/>
              <w:jc w:val="center"/>
              <w:textAlignment w:val="auto"/>
              <w:rPr>
                <w:rFonts w:hint="default"/>
                <w:sz w:val="24"/>
                <w:szCs w:val="24"/>
                <w:vertAlign w:val="baseline"/>
                <w:lang w:val="en-US" w:eastAsia="zh-CN"/>
              </w:rPr>
            </w:pPr>
            <w:r>
              <w:rPr>
                <w:rFonts w:hint="eastAsia"/>
                <w:sz w:val="24"/>
                <w:szCs w:val="24"/>
                <w:vertAlign w:val="baseline"/>
                <w:lang w:val="en-US" w:eastAsia="zh-CN"/>
              </w:rPr>
              <w:t>一次性使用无菌阴道电极</w:t>
            </w:r>
          </w:p>
        </w:tc>
        <w:tc>
          <w:tcPr>
            <w:tcW w:w="968" w:type="dxa"/>
          </w:tcPr>
          <w:p w14:paraId="1B32D41F">
            <w:pPr>
              <w:keepNext w:val="0"/>
              <w:keepLines w:val="0"/>
              <w:pageBreakBefore w:val="0"/>
              <w:kinsoku/>
              <w:wordWrap/>
              <w:overflowPunct/>
              <w:topLinePunct w:val="0"/>
              <w:autoSpaceDE/>
              <w:autoSpaceDN/>
              <w:bidi w:val="0"/>
              <w:adjustRightInd/>
              <w:ind w:firstLine="480" w:firstLineChars="200"/>
              <w:jc w:val="center"/>
              <w:textAlignment w:val="auto"/>
              <w:rPr>
                <w:rFonts w:hint="default"/>
                <w:sz w:val="24"/>
                <w:szCs w:val="24"/>
                <w:vertAlign w:val="baseline"/>
                <w:lang w:val="en-US" w:eastAsia="zh-CN"/>
              </w:rPr>
            </w:pPr>
            <w:r>
              <w:rPr>
                <w:rFonts w:hint="eastAsia"/>
                <w:sz w:val="24"/>
                <w:szCs w:val="24"/>
                <w:vertAlign w:val="baseline"/>
                <w:lang w:val="en-US" w:eastAsia="zh-CN"/>
              </w:rPr>
              <w:t>个</w:t>
            </w:r>
          </w:p>
        </w:tc>
        <w:tc>
          <w:tcPr>
            <w:tcW w:w="1800" w:type="dxa"/>
          </w:tcPr>
          <w:p w14:paraId="5F79D4B7">
            <w:pPr>
              <w:keepNext w:val="0"/>
              <w:keepLines w:val="0"/>
              <w:pageBreakBefore w:val="0"/>
              <w:kinsoku/>
              <w:wordWrap/>
              <w:overflowPunct/>
              <w:topLinePunct w:val="0"/>
              <w:autoSpaceDE/>
              <w:autoSpaceDN/>
              <w:bidi w:val="0"/>
              <w:adjustRightInd/>
              <w:ind w:firstLine="480" w:firstLineChars="200"/>
              <w:jc w:val="center"/>
              <w:textAlignment w:val="auto"/>
              <w:rPr>
                <w:rFonts w:hint="default"/>
                <w:sz w:val="24"/>
                <w:szCs w:val="24"/>
                <w:vertAlign w:val="baseline"/>
                <w:lang w:val="en-US" w:eastAsia="zh-CN"/>
              </w:rPr>
            </w:pPr>
            <w:r>
              <w:rPr>
                <w:rFonts w:hint="eastAsia"/>
                <w:sz w:val="24"/>
                <w:szCs w:val="24"/>
                <w:vertAlign w:val="baseline"/>
                <w:lang w:val="en-US" w:eastAsia="zh-CN"/>
              </w:rPr>
              <w:t>28</w:t>
            </w:r>
          </w:p>
        </w:tc>
        <w:tc>
          <w:tcPr>
            <w:tcW w:w="2646" w:type="dxa"/>
          </w:tcPr>
          <w:p w14:paraId="17FEC377">
            <w:pPr>
              <w:keepNext w:val="0"/>
              <w:keepLines w:val="0"/>
              <w:pageBreakBefore w:val="0"/>
              <w:kinsoku/>
              <w:wordWrap/>
              <w:overflowPunct/>
              <w:topLinePunct w:val="0"/>
              <w:autoSpaceDE/>
              <w:autoSpaceDN/>
              <w:bidi w:val="0"/>
              <w:adjustRightInd/>
              <w:jc w:val="both"/>
              <w:textAlignment w:val="auto"/>
              <w:rPr>
                <w:rFonts w:hint="eastAsia"/>
                <w:sz w:val="24"/>
                <w:szCs w:val="24"/>
                <w:vertAlign w:val="baseline"/>
                <w:lang w:val="en-US" w:eastAsia="zh-CN"/>
              </w:rPr>
            </w:pPr>
            <w:r>
              <w:rPr>
                <w:rFonts w:hint="eastAsia" w:asciiTheme="minorEastAsia" w:hAnsiTheme="minorEastAsia" w:cstheme="minorEastAsia"/>
                <w:i w:val="0"/>
                <w:iCs w:val="0"/>
                <w:color w:val="auto"/>
                <w:kern w:val="0"/>
                <w:sz w:val="22"/>
                <w:szCs w:val="22"/>
                <w:highlight w:val="none"/>
                <w:vertAlign w:val="baseline"/>
                <w:lang w:val="en-US" w:eastAsia="zh-CN" w:bidi="ar"/>
              </w:rPr>
              <w:t>不得高于省平台中标价</w:t>
            </w:r>
          </w:p>
        </w:tc>
      </w:tr>
    </w:tbl>
    <w:p w14:paraId="2B097BB7">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color w:val="auto"/>
          <w:sz w:val="30"/>
          <w:szCs w:val="30"/>
          <w:lang w:val="en-US" w:eastAsia="zh-CN"/>
        </w:rPr>
      </w:pPr>
    </w:p>
    <w:p w14:paraId="4053C0DC">
      <w:pPr>
        <w:keepNext w:val="0"/>
        <w:keepLines w:val="0"/>
        <w:pageBreakBefore w:val="0"/>
        <w:widowControl w:val="0"/>
        <w:kinsoku/>
        <w:wordWrap/>
        <w:overflowPunct/>
        <w:topLinePunct w:val="0"/>
        <w:autoSpaceDE/>
        <w:autoSpaceDN/>
        <w:bidi w:val="0"/>
        <w:adjustRightInd/>
        <w:snapToGrid/>
        <w:spacing w:line="560" w:lineRule="exact"/>
        <w:ind w:firstLine="602" w:firstLineChars="200"/>
        <w:jc w:val="left"/>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（五）商务参数</w:t>
      </w:r>
    </w:p>
    <w:p w14:paraId="690731E1">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宋体" w:hAnsi="宋体" w:eastAsia="宋体" w:cs="宋体"/>
          <w:color w:val="000000"/>
          <w:kern w:val="0"/>
          <w:sz w:val="22"/>
          <w:szCs w:val="22"/>
          <w:lang w:val="en-US" w:eastAsia="zh-CN" w:bidi="ar"/>
        </w:rPr>
        <w:t>★</w:t>
      </w:r>
      <w:r>
        <w:rPr>
          <w:rFonts w:hint="eastAsia" w:asciiTheme="minorEastAsia" w:hAnsiTheme="minorEastAsia" w:eastAsiaTheme="minorEastAsia" w:cstheme="minorEastAsia"/>
          <w:bCs/>
          <w:color w:val="auto"/>
          <w:kern w:val="0"/>
          <w:sz w:val="24"/>
          <w:szCs w:val="24"/>
          <w:lang w:val="en-US" w:eastAsia="zh-CN" w:bidi="ar-SA"/>
        </w:rPr>
        <w:t>1、运输、装卸、培训、安装调试：由中标人负责承担，最终通过使用科室、设备科及相关部门确认验收交付使用。国产设备交付，设备必须为6个月内生产的产品；进口设备交付，设备必须为一年内生产的产品。</w:t>
      </w:r>
      <w:r>
        <w:rPr>
          <w:rFonts w:hint="eastAsia" w:asciiTheme="minorEastAsia" w:hAnsiTheme="minorEastAsia" w:eastAsiaTheme="minorEastAsia" w:cstheme="minorEastAsia"/>
          <w:bCs/>
          <w:color w:val="auto"/>
          <w:kern w:val="0"/>
          <w:sz w:val="24"/>
          <w:szCs w:val="24"/>
          <w:lang w:val="en-US" w:eastAsia="zh-CN" w:bidi="ar-SA"/>
        </w:rPr>
        <w:cr/>
      </w:r>
      <w:r>
        <w:rPr>
          <w:rFonts w:hint="eastAsia" w:asciiTheme="minorEastAsia" w:hAnsiTheme="minorEastAsia" w:eastAsiaTheme="minorEastAsia" w:cstheme="minorEastAsia"/>
          <w:bCs/>
          <w:color w:val="auto"/>
          <w:kern w:val="0"/>
          <w:sz w:val="24"/>
          <w:szCs w:val="24"/>
          <w:lang w:val="en-US" w:eastAsia="zh-CN" w:bidi="ar-SA"/>
        </w:rPr>
        <w:t xml:space="preserve">    ★2、交货时间：按合同约定的日期交货。</w:t>
      </w:r>
    </w:p>
    <w:p w14:paraId="295E41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★3、交货地点：娄底市中心医院指定地点。</w:t>
      </w:r>
    </w:p>
    <w:p w14:paraId="2B727F7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★4、付款方式：设备验收合格后，供应商将发票交到娄底市中心医院后按程序支付货款90%（一般情况下4个月内支付、特殊情况下最多不超过6个月），甲方在设备验收合格满3年后支付10%余款给乙方。</w:t>
      </w:r>
      <w:r>
        <w:rPr>
          <w:rFonts w:hint="eastAsia" w:asciiTheme="minorEastAsia" w:hAnsiTheme="minorEastAsia" w:eastAsiaTheme="minorEastAsia" w:cstheme="minorEastAsia"/>
          <w:bCs/>
          <w:color w:val="auto"/>
          <w:kern w:val="0"/>
          <w:sz w:val="24"/>
          <w:szCs w:val="24"/>
          <w:lang w:val="en-US" w:eastAsia="zh-CN" w:bidi="ar-SA"/>
        </w:rPr>
        <w:cr/>
      </w:r>
      <w:r>
        <w:rPr>
          <w:rFonts w:hint="eastAsia" w:asciiTheme="minorEastAsia" w:hAnsiTheme="minorEastAsia" w:eastAsiaTheme="minorEastAsia" w:cstheme="minorEastAsia"/>
          <w:bCs/>
          <w:color w:val="auto"/>
          <w:kern w:val="0"/>
          <w:sz w:val="24"/>
          <w:szCs w:val="24"/>
          <w:lang w:val="en-US" w:eastAsia="zh-CN" w:bidi="ar-SA"/>
        </w:rPr>
        <w:t xml:space="preserve">    ★5、质保与售后：整机保修3年，终身维修。验收时出具原厂售后质保承诺书，质保期内每年巡检一次，并提交巡检记录。</w:t>
      </w:r>
      <w:r>
        <w:rPr>
          <w:rFonts w:hint="eastAsia" w:asciiTheme="minorEastAsia" w:hAnsiTheme="minorEastAsia" w:eastAsiaTheme="minorEastAsia" w:cstheme="minorEastAsia"/>
          <w:bCs/>
          <w:color w:val="auto"/>
          <w:kern w:val="0"/>
          <w:sz w:val="24"/>
          <w:szCs w:val="24"/>
          <w:lang w:val="zh-CN" w:eastAsia="zh-CN" w:bidi="ar-SA"/>
        </w:rPr>
        <w:t>质保期内</w:t>
      </w:r>
      <w:r>
        <w:rPr>
          <w:rFonts w:hint="eastAsia" w:asciiTheme="minorEastAsia" w:hAnsiTheme="minorEastAsia" w:eastAsiaTheme="minorEastAsia" w:cstheme="minorEastAsia"/>
          <w:bCs/>
          <w:color w:val="auto"/>
          <w:kern w:val="0"/>
          <w:sz w:val="24"/>
          <w:szCs w:val="24"/>
          <w:lang w:val="en-US" w:eastAsia="zh-CN" w:bidi="ar-SA"/>
        </w:rPr>
        <w:t>出现故障，1小时响应，响应后24小时上门服务。</w:t>
      </w:r>
    </w:p>
    <w:p w14:paraId="0F3D005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★6、在投标文件中必须提供相关佐证资料(加盖投标人公章的技术参数、技术白皮书、说明书、彩页)，并在响应表中备注该条参数响应或正偏离的佐证资料所在页码。</w:t>
      </w:r>
    </w:p>
    <w:p w14:paraId="3B0DB2B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★7、设备如涉及网络接口费用，由中标人承担，采购人不再出具任何费用。</w:t>
      </w:r>
    </w:p>
    <w:p w14:paraId="44FFF518">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p>
    <w:p w14:paraId="46A704C1">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1762905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59A3771E">
      <w:pPr>
        <w:pStyle w:val="4"/>
        <w:rPr>
          <w:rFonts w:hint="eastAsia"/>
          <w:lang w:val="en-US" w:eastAsia="zh-CN"/>
        </w:rPr>
      </w:pPr>
    </w:p>
    <w:p w14:paraId="3DFE3FEF">
      <w:pPr>
        <w:keepNext w:val="0"/>
        <w:keepLines w:val="0"/>
        <w:pageBreakBefore w:val="0"/>
        <w:widowControl w:val="0"/>
        <w:kinsoku/>
        <w:wordWrap/>
        <w:overflowPunct/>
        <w:topLinePunct w:val="0"/>
        <w:autoSpaceDE/>
        <w:autoSpaceDN/>
        <w:bidi w:val="0"/>
        <w:adjustRightInd/>
        <w:snapToGrid/>
        <w:spacing w:line="520" w:lineRule="exact"/>
        <w:ind w:firstLine="6720" w:firstLineChars="2800"/>
        <w:textAlignment w:val="auto"/>
        <w:rPr>
          <w:rFonts w:hint="eastAsia" w:ascii="宋体" w:hAnsi="宋体" w:eastAsia="宋体" w:cs="宋体"/>
          <w:sz w:val="24"/>
        </w:rPr>
      </w:pPr>
      <w:r>
        <w:rPr>
          <w:rFonts w:hint="eastAsia" w:ascii="宋体" w:hAnsi="宋体" w:eastAsia="宋体" w:cs="宋体"/>
          <w:sz w:val="24"/>
        </w:rPr>
        <w:t>合同编号：</w:t>
      </w:r>
    </w:p>
    <w:p w14:paraId="5DE777B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sz w:val="24"/>
        </w:rPr>
      </w:pPr>
      <w:r>
        <w:rPr>
          <w:rFonts w:hint="eastAsia" w:ascii="黑体" w:hAnsi="黑体" w:eastAsia="黑体" w:cs="黑体"/>
          <w:sz w:val="44"/>
          <w:szCs w:val="44"/>
        </w:rPr>
        <w:t>医疗设备及专机专用耗材采购合同</w:t>
      </w:r>
    </w:p>
    <w:p w14:paraId="13E84A53">
      <w:pPr>
        <w:spacing w:line="480" w:lineRule="exact"/>
        <w:rPr>
          <w:rFonts w:hint="eastAsia" w:ascii="宋体" w:hAnsi="宋体" w:eastAsia="宋体" w:cs="宋体"/>
          <w:b/>
          <w:bCs/>
          <w:sz w:val="24"/>
        </w:rPr>
      </w:pPr>
    </w:p>
    <w:p w14:paraId="51781763">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sz w:val="24"/>
        </w:rPr>
      </w:pPr>
      <w:r>
        <w:rPr>
          <w:rFonts w:hint="eastAsia" w:ascii="宋体" w:hAnsi="宋体" w:eastAsia="宋体" w:cs="宋体"/>
          <w:b/>
          <w:bCs/>
          <w:sz w:val="24"/>
        </w:rPr>
        <w:t>甲方（采购方）：</w:t>
      </w:r>
      <w:r>
        <w:rPr>
          <w:rFonts w:hint="eastAsia" w:ascii="宋体" w:hAnsi="宋体" w:eastAsia="宋体" w:cs="宋体"/>
          <w:sz w:val="24"/>
        </w:rPr>
        <w:t>娄底市中心医院</w:t>
      </w:r>
    </w:p>
    <w:p w14:paraId="07260484">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法定代表人：杨吉军</w:t>
      </w:r>
    </w:p>
    <w:p w14:paraId="5887DD5F">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统一社会信用代码：12431300447162073W</w:t>
      </w:r>
    </w:p>
    <w:p w14:paraId="6F445FCC">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地址：湖南省娄底市娄星区长青中街51号</w:t>
      </w:r>
    </w:p>
    <w:p w14:paraId="2D1C1098">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联系人：朱振宇</w:t>
      </w:r>
    </w:p>
    <w:p w14:paraId="28B557E2">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联系电话：15673845559</w:t>
      </w:r>
    </w:p>
    <w:p w14:paraId="4FF94993">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val="0"/>
          <w:bCs w:val="0"/>
          <w:sz w:val="24"/>
        </w:rPr>
      </w:pPr>
      <w:r>
        <w:rPr>
          <w:rFonts w:hint="eastAsia" w:ascii="宋体" w:hAnsi="宋体" w:eastAsia="宋体" w:cs="宋体"/>
          <w:b/>
          <w:bCs/>
          <w:sz w:val="24"/>
        </w:rPr>
        <w:t>乙方（供货方）：</w:t>
      </w:r>
    </w:p>
    <w:p w14:paraId="15A30D1E">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lang w:val="en-US" w:eastAsia="zh-CN"/>
        </w:rPr>
      </w:pPr>
      <w:r>
        <w:rPr>
          <w:rFonts w:hint="eastAsia" w:ascii="宋体" w:hAnsi="宋体" w:eastAsia="宋体" w:cs="宋体"/>
          <w:sz w:val="24"/>
        </w:rPr>
        <w:t>法定代表人：</w:t>
      </w:r>
    </w:p>
    <w:p w14:paraId="53640530">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统一社会信用代码：</w:t>
      </w:r>
    </w:p>
    <w:p w14:paraId="34C4B268">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cs="宋体"/>
          <w:sz w:val="24"/>
        </w:rPr>
      </w:pPr>
      <w:r>
        <w:rPr>
          <w:rFonts w:hint="eastAsia" w:ascii="宋体" w:hAnsi="宋体" w:eastAsia="宋体" w:cs="宋体"/>
          <w:sz w:val="24"/>
        </w:rPr>
        <w:t>地址：</w:t>
      </w:r>
    </w:p>
    <w:p w14:paraId="7218A9E6">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宋体" w:hAnsi="宋体" w:eastAsia="宋体" w:cs="宋体"/>
          <w:sz w:val="24"/>
          <w:lang w:val="en-US" w:eastAsia="zh-CN"/>
        </w:rPr>
      </w:pPr>
      <w:r>
        <w:rPr>
          <w:rFonts w:hint="eastAsia" w:ascii="宋体" w:hAnsi="宋体" w:eastAsia="宋体" w:cs="宋体"/>
          <w:sz w:val="24"/>
        </w:rPr>
        <w:t>联系人：</w:t>
      </w:r>
    </w:p>
    <w:p w14:paraId="36F8EEAF">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联系电话：</w:t>
      </w:r>
    </w:p>
    <w:p w14:paraId="33A7DAE7">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宋体" w:hAnsi="宋体" w:eastAsia="宋体" w:cs="宋体"/>
          <w:sz w:val="24"/>
          <w:lang w:val="en-US" w:eastAsia="zh-CN"/>
        </w:rPr>
      </w:pPr>
    </w:p>
    <w:p w14:paraId="06E98885">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甲方通过</w:t>
      </w:r>
      <w:r>
        <w:rPr>
          <w:rFonts w:hint="eastAsia" w:ascii="宋体" w:hAnsi="宋体" w:eastAsia="宋体" w:cs="宋体"/>
          <w:color w:val="000000" w:themeColor="text1"/>
          <w:sz w:val="24"/>
          <w:u w:val="single"/>
          <w14:textFill>
            <w14:solidFill>
              <w14:schemeClr w14:val="tx1"/>
            </w14:solidFill>
          </w14:textFill>
        </w:rPr>
        <w:t>医院公开挂网</w:t>
      </w:r>
      <w:r>
        <w:rPr>
          <w:rFonts w:hint="eastAsia" w:ascii="宋体" w:hAnsi="宋体" w:eastAsia="宋体" w:cs="宋体"/>
          <w:color w:val="000000" w:themeColor="text1"/>
          <w:sz w:val="24"/>
          <w14:textFill>
            <w14:solidFill>
              <w14:schemeClr w14:val="tx1"/>
            </w14:solidFill>
          </w14:textFill>
        </w:rPr>
        <w:t>方式采购</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生物刺激反馈仪（筛查治疗两用）  </w:t>
      </w:r>
      <w:r>
        <w:rPr>
          <w:rFonts w:hint="eastAsia" w:ascii="宋体" w:hAnsi="宋体" w:eastAsia="宋体" w:cs="宋体"/>
          <w:color w:val="000000" w:themeColor="text1"/>
          <w:sz w:val="24"/>
          <w14:textFill>
            <w14:solidFill>
              <w14:schemeClr w14:val="tx1"/>
            </w14:solidFill>
          </w14:textFill>
        </w:rPr>
        <w:t>，乙方为成交供应商。根据《中华人民共和国民法典》《中华人民共和国政府采购法》等相关法律规定，甲乙双方在采购项目确定的基础上，就采购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u w:val="single"/>
          <w:lang w:val="en-US" w:eastAsia="zh-CN"/>
          <w14:textFill>
            <w14:solidFill>
              <w14:schemeClr w14:val="tx1"/>
            </w14:solidFill>
          </w14:textFill>
        </w:rPr>
        <w:t xml:space="preserve"> 生物刺激反馈仪（筛查治疗两用）  </w:t>
      </w:r>
      <w:r>
        <w:rPr>
          <w:rFonts w:hint="eastAsia" w:ascii="宋体" w:hAnsi="宋体" w:eastAsia="宋体" w:cs="宋体"/>
          <w:color w:val="000000" w:themeColor="text1"/>
          <w:sz w:val="24"/>
          <w14:textFill>
            <w14:solidFill>
              <w14:schemeClr w14:val="tx1"/>
            </w14:solidFill>
          </w14:textFill>
        </w:rPr>
        <w:t>事宜平等、自愿、公平、诚信协商，达成一致，特订立本合同，以资共同遵守。</w:t>
      </w:r>
    </w:p>
    <w:p w14:paraId="4826FABB">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bCs/>
          <w:sz w:val="24"/>
        </w:rPr>
      </w:pPr>
      <w:r>
        <w:rPr>
          <w:rFonts w:hint="eastAsia" w:ascii="宋体" w:hAnsi="宋体" w:eastAsia="宋体" w:cs="宋体"/>
          <w:b/>
          <w:bCs/>
          <w:sz w:val="24"/>
        </w:rPr>
        <w:t>第一条  采购内容</w:t>
      </w:r>
    </w:p>
    <w:p w14:paraId="1A6DBC6A">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bCs/>
          <w:sz w:val="24"/>
        </w:rPr>
      </w:pPr>
      <w:r>
        <w:rPr>
          <w:rFonts w:ascii="宋体" w:hAnsi="宋体" w:eastAsia="宋体" w:cs="宋体"/>
          <w:b/>
          <w:bCs/>
          <w:sz w:val="24"/>
        </w:rPr>
        <w:t>1.1</w:t>
      </w:r>
      <w:r>
        <w:rPr>
          <w:rFonts w:hint="eastAsia" w:ascii="宋体" w:hAnsi="宋体" w:eastAsia="宋体" w:cs="宋体"/>
          <w:b/>
          <w:bCs/>
          <w:sz w:val="24"/>
        </w:rPr>
        <w:t xml:space="preserve"> 采购设备</w:t>
      </w:r>
    </w:p>
    <w:p w14:paraId="7EE1F83C">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1.1.1 设备名称、品牌、型号、价格</w:t>
      </w:r>
    </w:p>
    <w:tbl>
      <w:tblPr>
        <w:tblStyle w:val="13"/>
        <w:tblpPr w:leftFromText="180" w:rightFromText="180" w:vertAnchor="text" w:horzAnchor="page" w:tblpX="1779" w:tblpY="148"/>
        <w:tblOverlap w:val="never"/>
        <w:tblW w:w="87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6"/>
        <w:gridCol w:w="1500"/>
        <w:gridCol w:w="1457"/>
        <w:gridCol w:w="1320"/>
        <w:gridCol w:w="1377"/>
        <w:gridCol w:w="1388"/>
      </w:tblGrid>
      <w:tr w14:paraId="2ECA5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726" w:type="dxa"/>
            <w:vAlign w:val="center"/>
          </w:tcPr>
          <w:p w14:paraId="3DFD0BCF">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设备名称</w:t>
            </w:r>
          </w:p>
        </w:tc>
        <w:tc>
          <w:tcPr>
            <w:tcW w:w="1500" w:type="dxa"/>
            <w:vAlign w:val="center"/>
          </w:tcPr>
          <w:p w14:paraId="2FBAE156">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品牌</w:t>
            </w:r>
          </w:p>
        </w:tc>
        <w:tc>
          <w:tcPr>
            <w:tcW w:w="1457" w:type="dxa"/>
            <w:vAlign w:val="center"/>
          </w:tcPr>
          <w:p w14:paraId="2F63719E">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型号</w:t>
            </w:r>
          </w:p>
        </w:tc>
        <w:tc>
          <w:tcPr>
            <w:tcW w:w="1320" w:type="dxa"/>
            <w:vAlign w:val="center"/>
          </w:tcPr>
          <w:p w14:paraId="150A77EB">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单价（元）</w:t>
            </w:r>
          </w:p>
        </w:tc>
        <w:tc>
          <w:tcPr>
            <w:tcW w:w="1377" w:type="dxa"/>
            <w:vAlign w:val="center"/>
          </w:tcPr>
          <w:p w14:paraId="4DA72AB7">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数量</w:t>
            </w:r>
          </w:p>
        </w:tc>
        <w:tc>
          <w:tcPr>
            <w:tcW w:w="1388" w:type="dxa"/>
            <w:vAlign w:val="center"/>
          </w:tcPr>
          <w:p w14:paraId="211E9F1A">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金额（元）</w:t>
            </w:r>
          </w:p>
        </w:tc>
      </w:tr>
      <w:tr w14:paraId="4962E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726" w:type="dxa"/>
            <w:vAlign w:val="center"/>
          </w:tcPr>
          <w:p w14:paraId="243DDE05">
            <w:pPr>
              <w:widowControl/>
              <w:spacing w:line="320" w:lineRule="exact"/>
              <w:rPr>
                <w:rFonts w:hint="eastAsia" w:ascii="宋体" w:hAnsi="宋体" w:eastAsia="宋体" w:cs="宋体"/>
                <w:color w:val="000000" w:themeColor="text1"/>
                <w:kern w:val="0"/>
                <w:sz w:val="18"/>
                <w:szCs w:val="18"/>
                <w:lang w:eastAsia="zh-CN"/>
                <w14:textFill>
                  <w14:solidFill>
                    <w14:schemeClr w14:val="tx1"/>
                  </w14:solidFill>
                </w14:textFill>
              </w:rPr>
            </w:pPr>
            <w:r>
              <w:rPr>
                <w:rFonts w:hint="eastAsia" w:ascii="宋体" w:hAnsi="宋体" w:eastAsia="宋体" w:cs="宋体"/>
                <w:color w:val="000000" w:themeColor="text1"/>
                <w:sz w:val="24"/>
                <w:u w:val="none"/>
                <w:lang w:val="en-US" w:eastAsia="zh-CN"/>
                <w14:textFill>
                  <w14:solidFill>
                    <w14:schemeClr w14:val="tx1"/>
                  </w14:solidFill>
                </w14:textFill>
              </w:rPr>
              <w:t>生物刺激反馈仪（筛查治疗两用）</w:t>
            </w:r>
          </w:p>
        </w:tc>
        <w:tc>
          <w:tcPr>
            <w:tcW w:w="1500" w:type="dxa"/>
            <w:vAlign w:val="center"/>
          </w:tcPr>
          <w:p w14:paraId="747B32D7">
            <w:pPr>
              <w:widowControl/>
              <w:spacing w:line="320" w:lineRule="exact"/>
              <w:jc w:val="center"/>
              <w:rPr>
                <w:rFonts w:hint="eastAsia" w:ascii="宋体" w:hAnsi="宋体" w:eastAsia="宋体" w:cs="宋体"/>
                <w:color w:val="000000" w:themeColor="text1"/>
                <w:kern w:val="0"/>
                <w:sz w:val="18"/>
                <w:szCs w:val="18"/>
                <w14:textFill>
                  <w14:solidFill>
                    <w14:schemeClr w14:val="tx1"/>
                  </w14:solidFill>
                </w14:textFill>
              </w:rPr>
            </w:pPr>
          </w:p>
        </w:tc>
        <w:tc>
          <w:tcPr>
            <w:tcW w:w="1457" w:type="dxa"/>
            <w:vAlign w:val="center"/>
          </w:tcPr>
          <w:p w14:paraId="355A57D2">
            <w:pPr>
              <w:widowControl/>
              <w:spacing w:line="320" w:lineRule="exact"/>
              <w:jc w:val="center"/>
              <w:rPr>
                <w:rFonts w:hint="eastAsia" w:ascii="宋体" w:hAnsi="宋体" w:eastAsia="宋体" w:cs="宋体"/>
                <w:color w:val="000000" w:themeColor="text1"/>
                <w:kern w:val="0"/>
                <w:sz w:val="18"/>
                <w:szCs w:val="18"/>
                <w14:textFill>
                  <w14:solidFill>
                    <w14:schemeClr w14:val="tx1"/>
                  </w14:solidFill>
                </w14:textFill>
              </w:rPr>
            </w:pPr>
          </w:p>
        </w:tc>
        <w:tc>
          <w:tcPr>
            <w:tcW w:w="1320" w:type="dxa"/>
            <w:vAlign w:val="center"/>
          </w:tcPr>
          <w:p w14:paraId="65E7D48D">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p>
        </w:tc>
        <w:tc>
          <w:tcPr>
            <w:tcW w:w="1377" w:type="dxa"/>
            <w:vAlign w:val="center"/>
          </w:tcPr>
          <w:p w14:paraId="09D20715">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r>
              <w:rPr>
                <w:rFonts w:hint="eastAsia" w:ascii="宋体" w:hAnsi="宋体" w:eastAsia="宋体" w:cs="宋体"/>
                <w:color w:val="000000" w:themeColor="text1"/>
                <w:kern w:val="0"/>
                <w:sz w:val="18"/>
                <w:szCs w:val="18"/>
                <w:lang w:val="en-US" w:eastAsia="zh-CN"/>
                <w14:textFill>
                  <w14:solidFill>
                    <w14:schemeClr w14:val="tx1"/>
                  </w14:solidFill>
                </w14:textFill>
              </w:rPr>
              <w:t>1台</w:t>
            </w:r>
          </w:p>
        </w:tc>
        <w:tc>
          <w:tcPr>
            <w:tcW w:w="1388" w:type="dxa"/>
            <w:vAlign w:val="center"/>
          </w:tcPr>
          <w:p w14:paraId="59666CA5">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p>
        </w:tc>
      </w:tr>
      <w:tr w14:paraId="519EF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768" w:type="dxa"/>
            <w:gridSpan w:val="6"/>
          </w:tcPr>
          <w:p w14:paraId="71A13C9B">
            <w:pPr>
              <w:widowControl/>
              <w:spacing w:line="480" w:lineRule="exact"/>
              <w:jc w:val="left"/>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合计价款金额（大写）：</w:t>
            </w:r>
            <w:r>
              <w:rPr>
                <w:rFonts w:hint="eastAsia" w:ascii="宋体" w:hAnsi="宋体" w:eastAsia="宋体" w:cs="宋体"/>
                <w:color w:val="000000" w:themeColor="text1"/>
                <w:kern w:val="0"/>
                <w:sz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u w:val="none"/>
                <w:lang w:val="en-US" w:eastAsia="zh-CN"/>
                <w14:textFill>
                  <w14:solidFill>
                    <w14:schemeClr w14:val="tx1"/>
                  </w14:solidFill>
                </w14:textFill>
              </w:rPr>
              <w:t>元整</w:t>
            </w:r>
            <w:r>
              <w:rPr>
                <w:rFonts w:hint="eastAsia" w:ascii="宋体" w:hAnsi="宋体" w:eastAsia="宋体" w:cs="宋体"/>
                <w:color w:val="000000" w:themeColor="text1"/>
                <w:kern w:val="0"/>
                <w:sz w:val="24"/>
                <w14:textFill>
                  <w14:solidFill>
                    <w14:schemeClr w14:val="tx1"/>
                  </w14:solidFill>
                </w14:textFill>
              </w:rPr>
              <w:t xml:space="preserve">      人民币（小写）：</w:t>
            </w:r>
            <w:r>
              <w:rPr>
                <w:rFonts w:hint="eastAsia" w:ascii="宋体" w:hAnsi="宋体" w:eastAsia="宋体" w:cs="宋体"/>
                <w:color w:val="000000" w:themeColor="text1"/>
                <w:kern w:val="0"/>
                <w:sz w:val="24"/>
                <w:u w:val="single"/>
                <w14:textFill>
                  <w14:solidFill>
                    <w14:schemeClr w14:val="tx1"/>
                  </w14:solidFill>
                </w14:textFill>
              </w:rPr>
              <w:t xml:space="preserve"> </w:t>
            </w:r>
            <w:r>
              <w:rPr>
                <w:rFonts w:hint="eastAsia" w:ascii="宋体" w:hAnsi="宋体" w:eastAsia="宋体" w:cs="宋体"/>
                <w:color w:val="000000" w:themeColor="text1"/>
                <w:kern w:val="0"/>
                <w:sz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14:textFill>
                  <w14:solidFill>
                    <w14:schemeClr w14:val="tx1"/>
                  </w14:solidFill>
                </w14:textFill>
              </w:rPr>
              <w:t>元</w:t>
            </w:r>
          </w:p>
        </w:tc>
      </w:tr>
    </w:tbl>
    <w:p w14:paraId="60FEBDB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r>
        <w:rPr>
          <w:rFonts w:hint="eastAsia" w:ascii="宋体" w:hAnsi="宋体" w:eastAsia="宋体" w:cs="宋体"/>
          <w:sz w:val="24"/>
        </w:rPr>
        <w:t>1</w:t>
      </w:r>
    </w:p>
    <w:p w14:paraId="4A462DB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p>
    <w:p w14:paraId="09210EC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p>
    <w:p w14:paraId="740B901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p>
    <w:p w14:paraId="30341DC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p>
    <w:p w14:paraId="5F4B0B1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r>
        <w:rPr>
          <w:rFonts w:hint="eastAsia" w:ascii="宋体" w:hAnsi="宋体" w:eastAsia="宋体" w:cs="宋体"/>
          <w:sz w:val="24"/>
          <w:lang w:val="en-US" w:eastAsia="zh-CN"/>
        </w:rPr>
        <w:t>1</w:t>
      </w:r>
      <w:r>
        <w:rPr>
          <w:rFonts w:hint="eastAsia" w:ascii="宋体" w:hAnsi="宋体" w:eastAsia="宋体" w:cs="宋体"/>
          <w:sz w:val="24"/>
        </w:rPr>
        <w:t>.1.2 本合同约定价格为（</w:t>
      </w:r>
      <w:r>
        <w:rPr>
          <w:rFonts w:hint="eastAsia" w:ascii="宋体" w:hAnsi="宋体" w:eastAsia="宋体" w:cs="宋体"/>
          <w:sz w:val="24"/>
          <w:lang w:eastAsia="zh-CN"/>
        </w:rPr>
        <w:t>☑</w:t>
      </w:r>
      <w:r>
        <w:rPr>
          <w:rFonts w:hint="eastAsia" w:ascii="宋体" w:hAnsi="宋体" w:eastAsia="宋体" w:cs="宋体"/>
          <w:sz w:val="24"/>
        </w:rPr>
        <w:t>固定总价</w:t>
      </w:r>
      <w:r>
        <w:rPr>
          <w:rFonts w:hint="eastAsia" w:ascii="宋体" w:hAnsi="宋体" w:eastAsia="宋体" w:cs="宋体"/>
          <w:sz w:val="24"/>
          <w:lang w:eastAsia="zh-CN"/>
        </w:rPr>
        <w:t>□</w:t>
      </w:r>
      <w:r>
        <w:rPr>
          <w:rFonts w:hint="eastAsia" w:ascii="宋体" w:hAnsi="宋体" w:eastAsia="宋体" w:cs="宋体"/>
          <w:sz w:val="24"/>
        </w:rPr>
        <w:t>固定单价），不因物价、市场波动变更，约定价格包括且不限于设计费、材料费、人工费、安装费、包装费、运输费、装卸费、调试费、接口费、检测费、检验费、税费、保险费、售后服务费、附随服务费等在内所有费用。</w:t>
      </w:r>
    </w:p>
    <w:p w14:paraId="7594011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1.1.3 </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14:textFill>
            <w14:solidFill>
              <w14:schemeClr w14:val="tx1"/>
            </w14:solidFill>
          </w14:textFill>
        </w:rPr>
        <w:t>本合同设备无需与甲方使用的信息系统对接。</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14:textFill>
            <w14:solidFill>
              <w14:schemeClr w14:val="tx1"/>
            </w14:solidFill>
          </w14:textFill>
        </w:rPr>
        <w:t>本合同设备需要与甲方使用的信息系统对接，因对接产生的接口开发等乙方及第三方需要收取的全部费用均由乙方承担。</w:t>
      </w:r>
    </w:p>
    <w:p w14:paraId="49FA244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b/>
          <w:bCs/>
          <w:sz w:val="24"/>
        </w:rPr>
      </w:pPr>
      <w:r>
        <w:rPr>
          <w:rFonts w:hint="eastAsia" w:ascii="宋体" w:hAnsi="宋体" w:eastAsia="宋体" w:cs="宋体"/>
          <w:b/>
          <w:bCs/>
          <w:sz w:val="24"/>
        </w:rPr>
        <w:t>1.2 设备专机专用耗材供应</w:t>
      </w:r>
    </w:p>
    <w:p w14:paraId="1C4E5A5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r>
        <w:rPr>
          <w:rFonts w:hint="eastAsia" w:ascii="宋体" w:hAnsi="宋体" w:eastAsia="宋体" w:cs="宋体"/>
          <w:sz w:val="24"/>
        </w:rPr>
        <w:t>1.2.1 耗材名称、规格型号、编号、单价</w:t>
      </w:r>
    </w:p>
    <w:tbl>
      <w:tblPr>
        <w:tblStyle w:val="13"/>
        <w:tblW w:w="8958" w:type="dxa"/>
        <w:tblInd w:w="-11" w:type="dxa"/>
        <w:tblLayout w:type="fixed"/>
        <w:tblCellMar>
          <w:top w:w="0" w:type="dxa"/>
          <w:left w:w="108" w:type="dxa"/>
          <w:bottom w:w="0" w:type="dxa"/>
          <w:right w:w="108" w:type="dxa"/>
        </w:tblCellMar>
      </w:tblPr>
      <w:tblGrid>
        <w:gridCol w:w="3113"/>
        <w:gridCol w:w="1800"/>
        <w:gridCol w:w="1710"/>
        <w:gridCol w:w="765"/>
        <w:gridCol w:w="1570"/>
      </w:tblGrid>
      <w:tr w14:paraId="3A6F5663">
        <w:tblPrEx>
          <w:tblCellMar>
            <w:top w:w="0" w:type="dxa"/>
            <w:left w:w="108" w:type="dxa"/>
            <w:bottom w:w="0" w:type="dxa"/>
            <w:right w:w="108" w:type="dxa"/>
          </w:tblCellMar>
        </w:tblPrEx>
        <w:trPr>
          <w:trHeight w:val="561" w:hRule="atLeast"/>
        </w:trPr>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D6689">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专机专用</w:t>
            </w:r>
          </w:p>
          <w:p w14:paraId="04EC64F8">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耗材名称</w:t>
            </w:r>
          </w:p>
        </w:tc>
        <w:tc>
          <w:tcPr>
            <w:tcW w:w="1800" w:type="dxa"/>
            <w:tcBorders>
              <w:top w:val="single" w:color="auto" w:sz="4" w:space="0"/>
              <w:left w:val="single" w:color="000000" w:sz="4" w:space="0"/>
              <w:bottom w:val="single" w:color="000000" w:sz="4" w:space="0"/>
              <w:right w:val="single" w:color="auto" w:sz="4" w:space="0"/>
            </w:tcBorders>
            <w:shd w:val="clear" w:color="auto" w:fill="auto"/>
            <w:vAlign w:val="center"/>
          </w:tcPr>
          <w:p w14:paraId="7BEA3BC2">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规格型号</w:t>
            </w:r>
          </w:p>
        </w:tc>
        <w:tc>
          <w:tcPr>
            <w:tcW w:w="1710" w:type="dxa"/>
            <w:tcBorders>
              <w:top w:val="single" w:color="auto" w:sz="4" w:space="0"/>
              <w:left w:val="single" w:color="auto" w:sz="4" w:space="0"/>
              <w:bottom w:val="single" w:color="000000" w:sz="4" w:space="0"/>
              <w:right w:val="single" w:color="000000" w:sz="4" w:space="0"/>
            </w:tcBorders>
            <w:shd w:val="clear" w:color="auto" w:fill="auto"/>
            <w:vAlign w:val="center"/>
          </w:tcPr>
          <w:p w14:paraId="64036E1F">
            <w:pPr>
              <w:widowControl/>
              <w:spacing w:line="240" w:lineRule="auto"/>
              <w:jc w:val="center"/>
              <w:rPr>
                <w:rFonts w:hint="default" w:asciiTheme="minorEastAsia" w:hAnsiTheme="minorEastAsia" w:eastAsiaTheme="minorEastAsia" w:cstheme="minorEastAsia"/>
                <w:b/>
                <w:bCs/>
                <w:color w:val="000000" w:themeColor="text1"/>
                <w:kern w:val="0"/>
                <w:sz w:val="24"/>
                <w:lang w:val="en-US" w:eastAsia="zh-CN"/>
                <w14:textFill>
                  <w14:solidFill>
                    <w14:schemeClr w14:val="tx1"/>
                  </w14:solidFill>
                </w14:textFill>
              </w:rPr>
            </w:pPr>
            <w:r>
              <w:rPr>
                <w:rFonts w:hint="eastAsia" w:asciiTheme="minorEastAsia" w:hAnsiTheme="minorEastAsia" w:cstheme="minorEastAsia"/>
                <w:b/>
                <w:bCs/>
                <w:color w:val="000000" w:themeColor="text1"/>
                <w:kern w:val="0"/>
                <w:sz w:val="24"/>
                <w:lang w:val="en-US" w:eastAsia="zh-CN"/>
                <w14:textFill>
                  <w14:solidFill>
                    <w14:schemeClr w14:val="tx1"/>
                  </w14:solidFill>
                </w14:textFill>
              </w:rPr>
              <w:t>生产厂家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483C9">
            <w:pPr>
              <w:widowControl/>
              <w:spacing w:line="240" w:lineRule="auto"/>
              <w:jc w:val="center"/>
              <w:rPr>
                <w:rFonts w:hint="eastAsia" w:asciiTheme="minorEastAsia" w:hAnsiTheme="minorEastAsia" w:eastAsiaTheme="minorEastAsia" w:cstheme="minorEastAsia"/>
                <w:b/>
                <w:bCs/>
                <w:color w:val="000000" w:themeColor="text1"/>
                <w:kern w:val="0"/>
                <w:sz w:val="24"/>
                <w:lang w:val="en-US" w:eastAsia="zh-CN"/>
                <w14:textFill>
                  <w14:solidFill>
                    <w14:schemeClr w14:val="tx1"/>
                  </w14:solidFill>
                </w14:textFill>
              </w:rPr>
            </w:pPr>
            <w:r>
              <w:rPr>
                <w:rFonts w:hint="eastAsia" w:asciiTheme="minorEastAsia" w:hAnsiTheme="minorEastAsia" w:cstheme="minorEastAsia"/>
                <w:b/>
                <w:bCs/>
                <w:color w:val="000000" w:themeColor="text1"/>
                <w:kern w:val="0"/>
                <w:sz w:val="24"/>
                <w:lang w:val="en-US" w:eastAsia="zh-CN"/>
                <w14:textFill>
                  <w14:solidFill>
                    <w14:schemeClr w14:val="tx1"/>
                  </w14:solidFill>
                </w14:textFill>
              </w:rPr>
              <w:t>单位</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8C8A3">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单价</w:t>
            </w:r>
          </w:p>
          <w:p w14:paraId="6B67F95F">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（元）</w:t>
            </w:r>
          </w:p>
        </w:tc>
      </w:tr>
      <w:tr w14:paraId="1993F5CA">
        <w:tblPrEx>
          <w:tblCellMar>
            <w:top w:w="0" w:type="dxa"/>
            <w:left w:w="108" w:type="dxa"/>
            <w:bottom w:w="0" w:type="dxa"/>
            <w:right w:w="108" w:type="dxa"/>
          </w:tblCellMar>
        </w:tblPrEx>
        <w:trPr>
          <w:trHeight w:val="540" w:hRule="atLeast"/>
        </w:trPr>
        <w:tc>
          <w:tcPr>
            <w:tcW w:w="3113" w:type="dxa"/>
            <w:tcBorders>
              <w:top w:val="single" w:color="000000" w:sz="4" w:space="0"/>
              <w:left w:val="single" w:color="000000" w:sz="4" w:space="0"/>
              <w:bottom w:val="single" w:color="000000" w:sz="4" w:space="0"/>
              <w:right w:val="single" w:color="000000" w:sz="4" w:space="0"/>
            </w:tcBorders>
            <w:shd w:val="clear" w:color="auto" w:fill="auto"/>
            <w:vAlign w:val="top"/>
          </w:tcPr>
          <w:p w14:paraId="535BB71A">
            <w:pPr>
              <w:jc w:val="center"/>
              <w:rPr>
                <w:rFonts w:hint="eastAsia" w:asciiTheme="minorHAnsi" w:hAnsiTheme="minorHAnsi" w:eastAsiaTheme="minorEastAsia" w:cstheme="minorBidi"/>
                <w:kern w:val="2"/>
                <w:sz w:val="24"/>
                <w:szCs w:val="24"/>
                <w:vertAlign w:val="baseline"/>
                <w:lang w:val="en-US" w:eastAsia="zh-CN" w:bidi="ar-SA"/>
              </w:rPr>
            </w:pPr>
            <w:r>
              <w:rPr>
                <w:rFonts w:hint="eastAsia"/>
                <w:sz w:val="24"/>
                <w:szCs w:val="24"/>
                <w:vertAlign w:val="baseline"/>
                <w:lang w:val="en-US" w:eastAsia="zh-CN"/>
              </w:rPr>
              <w:t>阴道电极</w:t>
            </w:r>
          </w:p>
        </w:tc>
        <w:tc>
          <w:tcPr>
            <w:tcW w:w="1800" w:type="dxa"/>
            <w:tcBorders>
              <w:top w:val="single" w:color="auto" w:sz="4" w:space="0"/>
              <w:left w:val="single" w:color="000000" w:sz="4" w:space="0"/>
              <w:bottom w:val="single" w:color="auto" w:sz="4" w:space="0"/>
              <w:right w:val="single" w:color="auto" w:sz="4" w:space="0"/>
            </w:tcBorders>
            <w:shd w:val="clear" w:color="auto" w:fill="auto"/>
            <w:vAlign w:val="top"/>
          </w:tcPr>
          <w:p w14:paraId="413A3406">
            <w:pPr>
              <w:jc w:val="center"/>
              <w:rPr>
                <w:rFonts w:hint="eastAsia" w:asciiTheme="minorHAnsi" w:hAnsiTheme="minorHAnsi" w:eastAsiaTheme="minorEastAsia" w:cstheme="minorBidi"/>
                <w:kern w:val="2"/>
                <w:sz w:val="24"/>
                <w:szCs w:val="24"/>
                <w:vertAlign w:val="baseline"/>
                <w:lang w:val="en-US" w:eastAsia="zh-CN" w:bidi="ar-SA"/>
              </w:rPr>
            </w:pPr>
          </w:p>
        </w:tc>
        <w:tc>
          <w:tcPr>
            <w:tcW w:w="1710" w:type="dxa"/>
            <w:tcBorders>
              <w:top w:val="single" w:color="auto" w:sz="4" w:space="0"/>
              <w:left w:val="single" w:color="auto" w:sz="4" w:space="0"/>
              <w:bottom w:val="single" w:color="auto" w:sz="4" w:space="0"/>
              <w:right w:val="single" w:color="000000" w:sz="4" w:space="0"/>
            </w:tcBorders>
            <w:shd w:val="clear" w:color="auto" w:fill="auto"/>
            <w:vAlign w:val="center"/>
          </w:tcPr>
          <w:p w14:paraId="71B97299">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6424C44C">
            <w:pPr>
              <w:jc w:val="center"/>
              <w:rPr>
                <w:rFonts w:hint="eastAsia" w:asciiTheme="minorHAnsi" w:hAnsiTheme="minorHAnsi" w:eastAsiaTheme="minorEastAsia" w:cstheme="minorBidi"/>
                <w:kern w:val="2"/>
                <w:sz w:val="24"/>
                <w:szCs w:val="24"/>
                <w:vertAlign w:val="baseline"/>
                <w:lang w:val="en-US" w:eastAsia="zh-CN" w:bidi="ar-SA"/>
              </w:rPr>
            </w:pPr>
            <w:r>
              <w:rPr>
                <w:rFonts w:hint="eastAsia"/>
                <w:sz w:val="24"/>
                <w:szCs w:val="24"/>
                <w:vertAlign w:val="baseline"/>
                <w:lang w:val="en-US" w:eastAsia="zh-CN"/>
              </w:rPr>
              <w:t>个</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44D40">
            <w:pPr>
              <w:spacing w:beforeLines="0" w:afterLines="0"/>
              <w:jc w:val="center"/>
              <w:rPr>
                <w:rFonts w:hint="eastAsia" w:ascii="宋体" w:hAnsi="宋体" w:eastAsiaTheme="minorEastAsia" w:cstheme="minorBidi"/>
                <w:color w:val="000000"/>
                <w:kern w:val="2"/>
                <w:sz w:val="18"/>
                <w:szCs w:val="18"/>
                <w:lang w:val="en-US" w:eastAsia="zh-CN" w:bidi="ar-SA"/>
              </w:rPr>
            </w:pPr>
          </w:p>
        </w:tc>
      </w:tr>
      <w:tr w14:paraId="4E9CDD58">
        <w:tblPrEx>
          <w:tblCellMar>
            <w:top w:w="0" w:type="dxa"/>
            <w:left w:w="108" w:type="dxa"/>
            <w:bottom w:w="0" w:type="dxa"/>
            <w:right w:w="108" w:type="dxa"/>
          </w:tblCellMar>
        </w:tblPrEx>
        <w:trPr>
          <w:trHeight w:val="540" w:hRule="atLeast"/>
        </w:trPr>
        <w:tc>
          <w:tcPr>
            <w:tcW w:w="3113" w:type="dxa"/>
            <w:tcBorders>
              <w:top w:val="single" w:color="000000" w:sz="4" w:space="0"/>
              <w:left w:val="single" w:color="000000" w:sz="4" w:space="0"/>
              <w:bottom w:val="single" w:color="000000" w:sz="4" w:space="0"/>
              <w:right w:val="single" w:color="000000" w:sz="4" w:space="0"/>
            </w:tcBorders>
            <w:shd w:val="clear" w:color="auto" w:fill="auto"/>
            <w:vAlign w:val="top"/>
          </w:tcPr>
          <w:p w14:paraId="3D7D42DD">
            <w:pPr>
              <w:jc w:val="center"/>
              <w:rPr>
                <w:rFonts w:hint="eastAsia" w:asciiTheme="minorHAnsi" w:hAnsiTheme="minorHAnsi" w:eastAsiaTheme="minorEastAsia" w:cstheme="minorBidi"/>
                <w:kern w:val="2"/>
                <w:sz w:val="24"/>
                <w:szCs w:val="24"/>
                <w:vertAlign w:val="baseline"/>
                <w:lang w:val="en-US" w:eastAsia="zh-CN" w:bidi="ar-SA"/>
              </w:rPr>
            </w:pPr>
            <w:r>
              <w:rPr>
                <w:rFonts w:hint="eastAsia"/>
                <w:sz w:val="24"/>
                <w:szCs w:val="24"/>
                <w:vertAlign w:val="baseline"/>
                <w:lang w:val="en-US" w:eastAsia="zh-CN"/>
              </w:rPr>
              <w:t>一次性使用无菌阴道电极</w:t>
            </w:r>
          </w:p>
        </w:tc>
        <w:tc>
          <w:tcPr>
            <w:tcW w:w="1800" w:type="dxa"/>
            <w:tcBorders>
              <w:top w:val="single" w:color="auto" w:sz="4" w:space="0"/>
              <w:left w:val="single" w:color="000000" w:sz="4" w:space="0"/>
              <w:bottom w:val="single" w:color="auto" w:sz="4" w:space="0"/>
              <w:right w:val="single" w:color="auto" w:sz="4" w:space="0"/>
            </w:tcBorders>
            <w:shd w:val="clear" w:color="auto" w:fill="auto"/>
            <w:vAlign w:val="top"/>
          </w:tcPr>
          <w:p w14:paraId="24C4A8EC">
            <w:pPr>
              <w:jc w:val="center"/>
              <w:rPr>
                <w:rFonts w:hint="eastAsia" w:asciiTheme="minorHAnsi" w:hAnsiTheme="minorHAnsi" w:eastAsiaTheme="minorEastAsia" w:cstheme="minorBidi"/>
                <w:kern w:val="2"/>
                <w:sz w:val="24"/>
                <w:szCs w:val="24"/>
                <w:vertAlign w:val="baseline"/>
                <w:lang w:val="en-US" w:eastAsia="zh-CN" w:bidi="ar-SA"/>
              </w:rPr>
            </w:pPr>
          </w:p>
        </w:tc>
        <w:tc>
          <w:tcPr>
            <w:tcW w:w="1710" w:type="dxa"/>
            <w:tcBorders>
              <w:top w:val="single" w:color="auto" w:sz="4" w:space="0"/>
              <w:left w:val="single" w:color="auto" w:sz="4" w:space="0"/>
              <w:bottom w:val="single" w:color="auto" w:sz="4" w:space="0"/>
              <w:right w:val="single" w:color="000000" w:sz="4" w:space="0"/>
            </w:tcBorders>
            <w:shd w:val="clear" w:color="auto" w:fill="auto"/>
            <w:vAlign w:val="center"/>
          </w:tcPr>
          <w:p w14:paraId="03C19642">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7A7BF31C">
            <w:pPr>
              <w:jc w:val="center"/>
              <w:rPr>
                <w:rFonts w:hint="eastAsia" w:asciiTheme="minorHAnsi" w:hAnsiTheme="minorHAnsi" w:eastAsiaTheme="minorEastAsia" w:cstheme="minorBidi"/>
                <w:kern w:val="2"/>
                <w:sz w:val="24"/>
                <w:szCs w:val="24"/>
                <w:vertAlign w:val="baseline"/>
                <w:lang w:val="en-US" w:eastAsia="zh-CN" w:bidi="ar-SA"/>
              </w:rPr>
            </w:pPr>
            <w:r>
              <w:rPr>
                <w:rFonts w:hint="eastAsia"/>
                <w:sz w:val="24"/>
                <w:szCs w:val="24"/>
                <w:vertAlign w:val="baseline"/>
                <w:lang w:val="en-US" w:eastAsia="zh-CN"/>
              </w:rPr>
              <w:t>个</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32A24">
            <w:pPr>
              <w:spacing w:beforeLines="0" w:afterLines="0"/>
              <w:jc w:val="center"/>
              <w:rPr>
                <w:rFonts w:hint="eastAsia" w:ascii="宋体" w:hAnsi="宋体" w:eastAsiaTheme="minorEastAsia" w:cstheme="minorBidi"/>
                <w:color w:val="000000"/>
                <w:kern w:val="2"/>
                <w:sz w:val="18"/>
                <w:szCs w:val="18"/>
                <w:lang w:val="en-US" w:eastAsia="zh-CN" w:bidi="ar-SA"/>
              </w:rPr>
            </w:pPr>
          </w:p>
        </w:tc>
      </w:tr>
    </w:tbl>
    <w:p w14:paraId="15674ED5">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.2  本合同专机专用耗材供货期限为</w:t>
      </w:r>
      <w:r>
        <w:rPr>
          <w:rFonts w:hint="eastAsia" w:ascii="宋体" w:hAnsi="宋体" w:eastAsia="宋体" w:cs="宋体"/>
          <w:color w:val="000000" w:themeColor="text1"/>
          <w:sz w:val="24"/>
          <w:u w:val="single"/>
          <w:lang w:val="en-US" w:eastAsia="zh-CN"/>
          <w14:textFill>
            <w14:solidFill>
              <w14:schemeClr w14:val="tx1"/>
            </w14:solidFill>
          </w14:textFill>
        </w:rPr>
        <w:t>叁</w:t>
      </w:r>
      <w:r>
        <w:rPr>
          <w:rFonts w:hint="eastAsia" w:ascii="宋体" w:hAnsi="宋体" w:eastAsia="宋体" w:cs="宋体"/>
          <w:color w:val="000000" w:themeColor="text1"/>
          <w:sz w:val="24"/>
          <w14:textFill>
            <w14:solidFill>
              <w14:schemeClr w14:val="tx1"/>
            </w14:solidFill>
          </w14:textFill>
        </w:rPr>
        <w:t>年，自本合同设备经总体验收合格之日起算；供应期限内，如甲方停止使用</w:t>
      </w:r>
      <w:r>
        <w:rPr>
          <w:rFonts w:hint="eastAsia" w:ascii="宋体" w:hAnsi="宋体" w:eastAsia="宋体" w:cs="宋体"/>
          <w:color w:val="000000" w:themeColor="text1"/>
          <w:sz w:val="24"/>
          <w:u w:val="single"/>
          <w:lang w:val="en-US" w:eastAsia="zh-CN"/>
          <w14:textFill>
            <w14:solidFill>
              <w14:schemeClr w14:val="tx1"/>
            </w14:solidFill>
          </w14:textFill>
        </w:rPr>
        <w:t xml:space="preserve"> 生物刺激反馈仪（筛查治疗两用） </w:t>
      </w:r>
      <w:r>
        <w:rPr>
          <w:rFonts w:hint="eastAsia" w:ascii="宋体" w:hAnsi="宋体" w:eastAsia="宋体" w:cs="宋体"/>
          <w:color w:val="000000" w:themeColor="text1"/>
          <w:kern w:val="0"/>
          <w:sz w:val="24"/>
          <w14:textFill>
            <w14:solidFill>
              <w14:schemeClr w14:val="tx1"/>
            </w14:solidFill>
          </w14:textFill>
        </w:rPr>
        <w:t>设备，</w:t>
      </w:r>
      <w:r>
        <w:rPr>
          <w:rFonts w:hint="eastAsia" w:ascii="宋体" w:hAnsi="宋体" w:eastAsia="宋体" w:cs="宋体"/>
          <w:color w:val="000000" w:themeColor="text1"/>
          <w:sz w:val="24"/>
          <w14:textFill>
            <w14:solidFill>
              <w14:schemeClr w14:val="tx1"/>
            </w14:solidFill>
          </w14:textFill>
        </w:rPr>
        <w:t>专机</w:t>
      </w:r>
      <w:r>
        <w:rPr>
          <w:rFonts w:hint="eastAsia" w:ascii="宋体" w:hAnsi="宋体" w:eastAsia="宋体" w:cs="宋体"/>
          <w:color w:val="000000" w:themeColor="text1"/>
          <w:kern w:val="0"/>
          <w:sz w:val="24"/>
          <w14:textFill>
            <w14:solidFill>
              <w14:schemeClr w14:val="tx1"/>
            </w14:solidFill>
          </w14:textFill>
        </w:rPr>
        <w:t xml:space="preserve">专用耗材供应自动终止。 </w:t>
      </w:r>
    </w:p>
    <w:p w14:paraId="3747F1DC">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1.2.3 本合同耗材约定价格包括但不限于材料费、运输费、包装费、装卸费、搬运费、附随服务费、税费、保险费等。</w:t>
      </w:r>
    </w:p>
    <w:p w14:paraId="5E166368">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1.2.4 本合同耗材供货期限内，如遇政府政策性或交易平台调价：调整后的价格低于本合同价格的，自调价之后发送的书面订单一律按调整后的价格执行；</w:t>
      </w:r>
      <w:r>
        <w:rPr>
          <w:rFonts w:hint="eastAsia" w:ascii="宋体" w:hAnsi="宋体" w:eastAsia="宋体" w:cs="宋体"/>
          <w:color w:val="000000" w:themeColor="text1"/>
          <w:sz w:val="24"/>
          <w:u w:val="single"/>
          <w14:textFill>
            <w14:solidFill>
              <w14:schemeClr w14:val="tx1"/>
            </w14:solidFill>
          </w14:textFill>
        </w:rPr>
        <w:t>调整后的价格高于本合同价格的，原则上按本合同约定价格执行，如乙方因特殊情况需要调整，应先书面通知甲方，经甲乙双方协商一致后按协商后的价格执行，如双方无法达成一致，甲方有权对该耗材公开遴选。</w:t>
      </w:r>
      <w:r>
        <w:rPr>
          <w:rFonts w:hint="eastAsia" w:ascii="宋体" w:hAnsi="宋体" w:eastAsia="宋体" w:cs="宋体"/>
          <w:b/>
          <w:bCs/>
          <w:color w:val="000000" w:themeColor="text1"/>
          <w:sz w:val="24"/>
          <w:u w:val="single"/>
          <w14:textFill>
            <w14:solidFill>
              <w14:schemeClr w14:val="tx1"/>
            </w14:solidFill>
          </w14:textFill>
        </w:rPr>
        <w:t>本合同约定的医用耗材集采后，甲方库存中剩余耗材均按新的集采价格进行结算。</w:t>
      </w:r>
    </w:p>
    <w:p w14:paraId="1BF0687F">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1.2.5 如无政府政策性或交易平台调价，甲方接受乙方对本合同约定价格进行下调，自乙方发出价格下调通知之日起，甲方发送的书面订单一律按下调后的价格执行。</w:t>
      </w:r>
    </w:p>
    <w:p w14:paraId="70E5903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1.2.6 乙方承诺严格遵守法律法规、政策和甲方制度履行合同，接受甲方供应商管理考核，无条件配合甲方管理，包括但不限于配合甲方耗材HRP系统信息录入、赋码、耗材SPD配送管理等工作，因SPD配送产生的服务费用由乙方自行承担。</w:t>
      </w:r>
    </w:p>
    <w:p w14:paraId="31D9D9FB">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 xml:space="preserve">第二条  </w:t>
      </w:r>
      <w:r>
        <w:rPr>
          <w:rFonts w:ascii="宋体" w:hAnsi="宋体" w:eastAsia="宋体" w:cs="宋体"/>
          <w:b/>
          <w:bCs/>
          <w:sz w:val="24"/>
        </w:rPr>
        <w:t>交货时间、地点、运输及装卸</w:t>
      </w:r>
    </w:p>
    <w:p w14:paraId="0D8C49EE">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2.1  设备</w:t>
      </w:r>
      <w:r>
        <w:rPr>
          <w:rFonts w:ascii="宋体" w:hAnsi="宋体" w:eastAsia="宋体" w:cs="宋体"/>
          <w:b/>
          <w:bCs/>
          <w:sz w:val="24"/>
        </w:rPr>
        <w:t>交货时间地点、运输及装卸</w:t>
      </w:r>
    </w:p>
    <w:p w14:paraId="59FCD77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color w:val="000000" w:themeColor="text1"/>
          <w:sz w:val="24"/>
          <w14:textFill>
            <w14:solidFill>
              <w14:schemeClr w14:val="tx1"/>
            </w14:solidFill>
          </w14:textFill>
        </w:rPr>
        <w:t>2.1.1</w:t>
      </w:r>
      <w:r>
        <w:rPr>
          <w:rFonts w:ascii="宋体" w:hAnsi="宋体" w:eastAsia="宋体" w:cs="宋体"/>
          <w:color w:val="000000" w:themeColor="text1"/>
          <w:sz w:val="24"/>
          <w14:textFill>
            <w14:solidFill>
              <w14:schemeClr w14:val="tx1"/>
            </w14:solidFill>
          </w14:textFill>
        </w:rPr>
        <w:t>乙方应</w:t>
      </w:r>
      <w:r>
        <w:rPr>
          <w:rFonts w:hint="eastAsia" w:ascii="宋体" w:hAnsi="宋体" w:eastAsia="宋体" w:cs="宋体"/>
          <w:color w:val="000000" w:themeColor="text1"/>
          <w:sz w:val="24"/>
          <w14:textFill>
            <w14:solidFill>
              <w14:schemeClr w14:val="tx1"/>
            </w14:solidFill>
          </w14:textFill>
        </w:rPr>
        <w:t>在签订合同后</w:t>
      </w:r>
      <w:r>
        <w:rPr>
          <w:rFonts w:hint="eastAsia" w:ascii="宋体" w:hAnsi="宋体" w:eastAsia="宋体" w:cs="宋体"/>
          <w:color w:val="000000" w:themeColor="text1"/>
          <w:sz w:val="24"/>
          <w:u w:val="single"/>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个工作日内</w:t>
      </w:r>
      <w:r>
        <w:rPr>
          <w:rFonts w:ascii="宋体" w:hAnsi="宋体" w:eastAsia="宋体" w:cs="宋体"/>
          <w:color w:val="000000" w:themeColor="text1"/>
          <w:sz w:val="24"/>
          <w14:textFill>
            <w14:solidFill>
              <w14:schemeClr w14:val="tx1"/>
            </w14:solidFill>
          </w14:textFill>
        </w:rPr>
        <w:t>将设备运至</w:t>
      </w:r>
      <w:r>
        <w:rPr>
          <w:rFonts w:hint="eastAsia" w:ascii="宋体" w:hAnsi="宋体" w:eastAsia="宋体" w:cs="宋体"/>
          <w:color w:val="000000" w:themeColor="text1"/>
          <w:sz w:val="24"/>
          <w14:textFill>
            <w14:solidFill>
              <w14:schemeClr w14:val="tx1"/>
            </w14:solidFill>
          </w14:textFill>
        </w:rPr>
        <w:t>甲方指定交货</w:t>
      </w:r>
      <w:r>
        <w:rPr>
          <w:rFonts w:ascii="宋体" w:hAnsi="宋体" w:eastAsia="宋体" w:cs="宋体"/>
          <w:color w:val="000000" w:themeColor="text1"/>
          <w:sz w:val="24"/>
          <w14:textFill>
            <w14:solidFill>
              <w14:schemeClr w14:val="tx1"/>
            </w14:solidFill>
          </w14:textFill>
        </w:rPr>
        <w:t>地点，</w:t>
      </w:r>
      <w:r>
        <w:rPr>
          <w:rFonts w:hint="eastAsia" w:ascii="宋体" w:hAnsi="宋体" w:eastAsia="宋体" w:cs="宋体"/>
          <w:color w:val="000000" w:themeColor="text1"/>
          <w:sz w:val="24"/>
          <w14:textFill>
            <w14:solidFill>
              <w14:schemeClr w14:val="tx1"/>
            </w14:solidFill>
          </w14:textFill>
        </w:rPr>
        <w:t>并在设备到甲方指定交货</w:t>
      </w:r>
      <w:r>
        <w:rPr>
          <w:rFonts w:ascii="宋体" w:hAnsi="宋体" w:eastAsia="宋体" w:cs="宋体"/>
          <w:color w:val="000000" w:themeColor="text1"/>
          <w:sz w:val="24"/>
          <w14:textFill>
            <w14:solidFill>
              <w14:schemeClr w14:val="tx1"/>
            </w14:solidFill>
          </w14:textFill>
        </w:rPr>
        <w:t>地点</w:t>
      </w:r>
      <w:r>
        <w:rPr>
          <w:rFonts w:hint="eastAsia" w:ascii="宋体" w:hAnsi="宋体" w:eastAsia="宋体" w:cs="宋体"/>
          <w:color w:val="000000" w:themeColor="text1"/>
          <w:sz w:val="24"/>
          <w14:textFill>
            <w14:solidFill>
              <w14:schemeClr w14:val="tx1"/>
            </w14:solidFill>
          </w14:textFill>
        </w:rPr>
        <w:t>后</w:t>
      </w:r>
      <w:r>
        <w:rPr>
          <w:rFonts w:hint="eastAsia" w:ascii="宋体" w:hAnsi="宋体" w:eastAsia="宋体" w:cs="宋体"/>
          <w:color w:val="000000" w:themeColor="text1"/>
          <w:sz w:val="24"/>
          <w:u w:val="single"/>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个工作日内</w:t>
      </w:r>
      <w:r>
        <w:rPr>
          <w:rFonts w:ascii="宋体" w:hAnsi="宋体" w:eastAsia="宋体" w:cs="宋体"/>
          <w:color w:val="000000" w:themeColor="text1"/>
          <w:sz w:val="24"/>
          <w14:textFill>
            <w14:solidFill>
              <w14:schemeClr w14:val="tx1"/>
            </w14:solidFill>
          </w14:textFill>
        </w:rPr>
        <w:t>完成安装、调试，办理验收手续并交付甲方</w:t>
      </w:r>
      <w:r>
        <w:rPr>
          <w:rFonts w:ascii="宋体" w:hAnsi="宋体" w:eastAsia="宋体" w:cs="宋体"/>
          <w:sz w:val="24"/>
        </w:rPr>
        <w:t>使用。</w:t>
      </w:r>
    </w:p>
    <w:p w14:paraId="53E316A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ascii="宋体" w:hAnsi="宋体" w:eastAsia="宋体" w:cs="宋体"/>
          <w:sz w:val="24"/>
        </w:rPr>
        <w:t>2</w:t>
      </w:r>
      <w:r>
        <w:rPr>
          <w:rFonts w:hint="eastAsia" w:ascii="宋体" w:hAnsi="宋体" w:eastAsia="宋体" w:cs="宋体"/>
          <w:sz w:val="24"/>
        </w:rPr>
        <w:t>.1.2 甲方指定</w:t>
      </w:r>
      <w:r>
        <w:rPr>
          <w:rFonts w:ascii="宋体" w:hAnsi="宋体" w:eastAsia="宋体" w:cs="宋体"/>
          <w:sz w:val="24"/>
        </w:rPr>
        <w:t>交货地点：娄底市中心医院</w:t>
      </w:r>
      <w:r>
        <w:rPr>
          <w:rFonts w:hint="eastAsia" w:ascii="宋体" w:hAnsi="宋体" w:eastAsia="宋体" w:cs="宋体"/>
          <w:sz w:val="24"/>
        </w:rPr>
        <w:t>设备科</w:t>
      </w:r>
      <w:r>
        <w:rPr>
          <w:rFonts w:ascii="宋体" w:hAnsi="宋体" w:eastAsia="宋体" w:cs="宋体"/>
          <w:sz w:val="24"/>
        </w:rPr>
        <w:t>（湖南省娄底市</w:t>
      </w:r>
      <w:r>
        <w:rPr>
          <w:rFonts w:hint="eastAsia" w:ascii="宋体" w:hAnsi="宋体" w:eastAsia="宋体" w:cs="宋体"/>
          <w:sz w:val="24"/>
        </w:rPr>
        <w:t>娄星区</w:t>
      </w:r>
      <w:r>
        <w:rPr>
          <w:rFonts w:ascii="宋体" w:hAnsi="宋体" w:eastAsia="宋体" w:cs="宋体"/>
          <w:sz w:val="24"/>
        </w:rPr>
        <w:t xml:space="preserve">长青中街51号）。 </w:t>
      </w:r>
    </w:p>
    <w:p w14:paraId="49E8A20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 xml:space="preserve">2.1.3  </w:t>
      </w:r>
      <w:r>
        <w:rPr>
          <w:rFonts w:ascii="宋体" w:hAnsi="宋体" w:eastAsia="宋体" w:cs="宋体"/>
          <w:sz w:val="24"/>
        </w:rPr>
        <w:t>运输及装卸：由乙方自备交通运输工具将设备运至合同约定地点，并负责设备装卸</w:t>
      </w:r>
      <w:r>
        <w:rPr>
          <w:rFonts w:hint="eastAsia" w:ascii="宋体" w:hAnsi="宋体" w:eastAsia="宋体" w:cs="宋体"/>
          <w:sz w:val="24"/>
        </w:rPr>
        <w:t>的人工及费用</w:t>
      </w:r>
      <w:r>
        <w:rPr>
          <w:rFonts w:ascii="宋体" w:hAnsi="宋体" w:eastAsia="宋体" w:cs="宋体"/>
          <w:sz w:val="24"/>
        </w:rPr>
        <w:t>。</w:t>
      </w:r>
    </w:p>
    <w:p w14:paraId="7C9D3B43">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2.2 设备专机专用耗材交货时间地点、运输及装卸</w:t>
      </w:r>
    </w:p>
    <w:p w14:paraId="36F76D2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2.2.1 交货时间：乙方自甲方发送专机专用耗材书面订单之日起</w:t>
      </w:r>
      <w:r>
        <w:rPr>
          <w:rFonts w:hint="eastAsia" w:ascii="宋体" w:hAnsi="宋体" w:eastAsia="宋体" w:cs="宋体"/>
          <w:color w:val="000000" w:themeColor="text1"/>
          <w:sz w:val="24"/>
          <w:u w:val="single"/>
          <w:lang w:val="en-US" w:eastAsia="zh-CN"/>
          <w14:textFill>
            <w14:solidFill>
              <w14:schemeClr w14:val="tx1"/>
            </w14:solidFill>
          </w14:textFill>
        </w:rPr>
        <w:t>5</w:t>
      </w:r>
      <w:r>
        <w:rPr>
          <w:rFonts w:hint="eastAsia" w:ascii="宋体" w:hAnsi="宋体" w:eastAsia="宋体" w:cs="宋体"/>
          <w:color w:val="000000" w:themeColor="text1"/>
          <w:sz w:val="24"/>
          <w14:textFill>
            <w14:solidFill>
              <w14:schemeClr w14:val="tx1"/>
            </w14:solidFill>
          </w14:textFill>
        </w:rPr>
        <w:t>日内，按书面订单要求将耗材送至甲方指定地点，非工作日、节假日正常执行。</w:t>
      </w:r>
    </w:p>
    <w:p w14:paraId="4D2450A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2.2.2 交货地点：娄底市中心医院设备科仓库，指定收货人：娄底市中心医院设备科仓库管理员。</w:t>
      </w:r>
    </w:p>
    <w:p w14:paraId="053719C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2.2.3 由乙方自备交通运输工具将耗材运至合同约定地点，并负责</w:t>
      </w:r>
      <w:r>
        <w:rPr>
          <w:rFonts w:hint="eastAsia" w:ascii="宋体" w:hAnsi="宋体" w:eastAsia="宋体" w:cs="宋体"/>
          <w:color w:val="000000" w:themeColor="text1"/>
          <w:sz w:val="24"/>
          <w:lang w:val="en-US" w:eastAsia="zh-CN"/>
          <w14:textFill>
            <w14:solidFill>
              <w14:schemeClr w14:val="tx1"/>
            </w14:solidFill>
          </w14:textFill>
        </w:rPr>
        <w:t>耗材</w:t>
      </w:r>
      <w:r>
        <w:rPr>
          <w:rFonts w:hint="eastAsia" w:ascii="宋体" w:hAnsi="宋体" w:eastAsia="宋体" w:cs="宋体"/>
          <w:color w:val="000000" w:themeColor="text1"/>
          <w:sz w:val="24"/>
          <w14:textFill>
            <w14:solidFill>
              <w14:schemeClr w14:val="tx1"/>
            </w14:solidFill>
          </w14:textFill>
        </w:rPr>
        <w:t>装卸的人工及费用。</w:t>
      </w:r>
    </w:p>
    <w:p w14:paraId="2DE555A4">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sz w:val="24"/>
        </w:rPr>
      </w:pPr>
      <w:r>
        <w:rPr>
          <w:rFonts w:hint="eastAsia" w:ascii="宋体" w:hAnsi="宋体" w:eastAsia="宋体" w:cs="宋体"/>
          <w:b/>
          <w:bCs/>
          <w:color w:val="000000" w:themeColor="text1"/>
          <w:sz w:val="24"/>
          <w14:textFill>
            <w14:solidFill>
              <w14:schemeClr w14:val="tx1"/>
            </w14:solidFill>
          </w14:textFill>
        </w:rPr>
        <w:t>第三条 质量标准、质量验收、包装要求</w:t>
      </w:r>
    </w:p>
    <w:p w14:paraId="521346B3">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3.1  设备质量标准、质量验收、包装要求</w:t>
      </w:r>
    </w:p>
    <w:p w14:paraId="1127074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sz w:val="24"/>
        </w:rPr>
        <w:t xml:space="preserve">3.1.1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提供设备的质量、安装应符合或优于国家标准；如投标文件/响应文件中的技术参数和质量标准高于国家标准，则设备的技术参数和质量标准以投标文件/响应文件为准；如乙方应交付的设备属于国产设备，则应保证该设备为交付时起近6个月内生产的产品；如乙方应交付的设备属于进口设备，则应保证该设备为交付时起近一年内生产的产品。</w:t>
      </w:r>
    </w:p>
    <w:p w14:paraId="4262832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 xml:space="preserve">3.1.2 设备质量验收：以本合同约定标准按以下方式进行验收： </w:t>
      </w:r>
    </w:p>
    <w:p w14:paraId="584E16C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3.1.2.1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sz w:val="24"/>
          <w:u w:val="single"/>
          <w:lang w:val="en-US" w:eastAsia="zh-CN"/>
        </w:rPr>
        <w:t>7</w:t>
      </w:r>
      <w:r>
        <w:rPr>
          <w:rFonts w:hint="eastAsia" w:ascii="宋体" w:hAnsi="宋体" w:eastAsia="宋体" w:cs="宋体"/>
          <w:sz w:val="24"/>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sz w:val="24"/>
          <w:u w:val="single"/>
          <w:lang w:val="en-US" w:eastAsia="zh-CN"/>
        </w:rPr>
        <w:t>7</w:t>
      </w:r>
      <w:r>
        <w:rPr>
          <w:rFonts w:hint="eastAsia" w:ascii="宋体" w:hAnsi="宋体" w:eastAsia="宋体" w:cs="宋体"/>
          <w:sz w:val="24"/>
        </w:rPr>
        <w:t>日内无条件予以更换。</w:t>
      </w:r>
    </w:p>
    <w:p w14:paraId="46CDBA0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3.1.2.2 设备总体验收：乙方将设备全部拆包、安装、调试后应及时通知甲方，甲方自接到乙方通知之日起</w:t>
      </w:r>
      <w:r>
        <w:rPr>
          <w:rFonts w:hint="eastAsia" w:ascii="宋体" w:hAnsi="宋体" w:eastAsia="宋体" w:cs="宋体"/>
          <w:color w:val="000000" w:themeColor="text1"/>
          <w:sz w:val="24"/>
          <w:u w:val="single"/>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u w:val="single"/>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日内无条件予以返工并承担所有费用。</w:t>
      </w:r>
    </w:p>
    <w:p w14:paraId="5D6736B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color w:val="000000" w:themeColor="text1"/>
          <w:sz w:val="24"/>
          <w14:textFill>
            <w14:solidFill>
              <w14:schemeClr w14:val="tx1"/>
            </w14:solidFill>
          </w14:textFill>
        </w:rPr>
        <w:t>3.1.2.3 甲方验收时如发现乙方所交付、安装的设备不符合本</w:t>
      </w:r>
      <w:r>
        <w:rPr>
          <w:rFonts w:hint="eastAsia" w:ascii="宋体" w:hAnsi="宋体" w:eastAsia="宋体" w:cs="宋体"/>
          <w:sz w:val="24"/>
        </w:rPr>
        <w:t>合同约定，甲方应做出详尽的现场记录，由甲乙双方签署备忘录，该现场记录和备忘录作为乙方补交缺少部件、更换不符标准部件的有效依据，由此产生的一切经济损失由乙方承担。</w:t>
      </w:r>
    </w:p>
    <w:p w14:paraId="5BAA50C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3.1.3 包装要求：乙方提供的设备必须为原厂包装，外包装到货时应保证完好无损，否则甲方有权拒绝收货，由此造成的延期交货违约责任和一切经济损失全部由乙方承担。</w:t>
      </w:r>
    </w:p>
    <w:p w14:paraId="2FEA0E1B">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3.2 专机专用耗材质量标准、质量验收、包装要求</w:t>
      </w:r>
    </w:p>
    <w:p w14:paraId="412BE88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FF"/>
          <w:sz w:val="24"/>
        </w:rPr>
      </w:pPr>
      <w:r>
        <w:rPr>
          <w:rFonts w:hint="eastAsia" w:ascii="宋体" w:hAnsi="宋体" w:eastAsia="宋体" w:cs="宋体"/>
          <w:sz w:val="24"/>
        </w:rPr>
        <w:t>3.2.1 国内生产的耗材应当符合国家质量标准和行业强制性标准；进口耗材须具备进口医用耗材注册证、批件，口岸药检所出具的检验报告书或注明“已抽样”的通关单；乙方送交的耗材均应提供相应合格证书。</w:t>
      </w:r>
    </w:p>
    <w:p w14:paraId="4C84E1F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sz w:val="24"/>
        </w:rPr>
        <w:t>3.2.2 耗材质量验收：甲方每次收到乙方提供耗材时，应组织人员对耗材的数量、包装、有效期等外观进行验收，乙方提供的耗材外观标准与中标（挂网）医用耗材目录品种信息和甲方书面订单要求相符的，甲方在乙方送货单上签字确认验收；乙方提供的医用耗材外观标准与中标（挂网）医用耗材目录品种信息、甲方订单要求不符的，</w:t>
      </w:r>
      <w:r>
        <w:rPr>
          <w:rFonts w:hint="eastAsia" w:ascii="宋体" w:hAnsi="宋体" w:eastAsia="宋体" w:cs="宋体"/>
          <w:color w:val="000000" w:themeColor="text1"/>
          <w:kern w:val="0"/>
          <w:sz w:val="24"/>
          <w14:textFill>
            <w14:solidFill>
              <w14:schemeClr w14:val="tx1"/>
            </w14:solidFill>
          </w14:textFill>
        </w:rPr>
        <w:t>甲方有权拒收。乙方应在甲方拒收之日起</w:t>
      </w:r>
      <w:r>
        <w:rPr>
          <w:rFonts w:hint="eastAsia" w:ascii="宋体" w:hAnsi="宋体" w:eastAsia="宋体" w:cs="宋体"/>
          <w:color w:val="000000" w:themeColor="text1"/>
          <w:kern w:val="0"/>
          <w:sz w:val="24"/>
          <w:u w:val="single"/>
          <w:lang w:val="en-US" w:eastAsia="zh-CN"/>
          <w14:textFill>
            <w14:solidFill>
              <w14:schemeClr w14:val="tx1"/>
            </w14:solidFill>
          </w14:textFill>
        </w:rPr>
        <w:t>3</w:t>
      </w:r>
      <w:r>
        <w:rPr>
          <w:rFonts w:hint="eastAsia" w:ascii="宋体" w:hAnsi="宋体" w:eastAsia="宋体" w:cs="宋体"/>
          <w:color w:val="000000" w:themeColor="text1"/>
          <w:kern w:val="0"/>
          <w:sz w:val="24"/>
          <w14:textFill>
            <w14:solidFill>
              <w14:schemeClr w14:val="tx1"/>
            </w14:solidFill>
          </w14:textFill>
        </w:rPr>
        <w:t>日内，向甲方更换合格的医用耗材。</w:t>
      </w:r>
    </w:p>
    <w:p w14:paraId="20DD361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3.2.3 效期要求：乙方提供的耗材效期须在12个月以上，如乙方提供的医用耗材效期少于12个月的，甲方有权拒收，乙方应在甲方拒收之日起</w:t>
      </w:r>
      <w:r>
        <w:rPr>
          <w:rFonts w:hint="eastAsia" w:ascii="宋体" w:hAnsi="宋体" w:eastAsia="宋体" w:cs="宋体"/>
          <w:color w:val="000000" w:themeColor="text1"/>
          <w:sz w:val="24"/>
          <w:u w:val="single"/>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日内，向甲方更换符合效期要求的医用耗材。</w:t>
      </w:r>
    </w:p>
    <w:p w14:paraId="6170F22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3.2.4 包装要求：医用耗材包装须与交易平台上中标（挂网）医用耗材的信息一致，包装为原产包装且应完全无损，如甲方对包装有特殊要求时，乙方应按甲方订单要求包装。</w:t>
      </w:r>
    </w:p>
    <w:p w14:paraId="45060421">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第四条 安装、培训、通知等事项</w:t>
      </w:r>
    </w:p>
    <w:p w14:paraId="12D9308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4.1  甲方负责协调、处理与安装、调试有关事宜，为乙方创造良好的安装、调试环境。</w:t>
      </w:r>
    </w:p>
    <w:p w14:paraId="3128141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4.2  甲方委派</w:t>
      </w:r>
      <w:r>
        <w:rPr>
          <w:rFonts w:hint="eastAsia" w:ascii="宋体" w:hAnsi="宋体" w:eastAsia="宋体" w:cs="宋体"/>
          <w:color w:val="000000" w:themeColor="text1"/>
          <w:sz w:val="24"/>
          <w:u w:val="single"/>
          <w14:textFill>
            <w14:solidFill>
              <w14:schemeClr w14:val="tx1"/>
            </w14:solidFill>
          </w14:textFill>
        </w:rPr>
        <w:t>邓时敏</w:t>
      </w:r>
      <w:r>
        <w:rPr>
          <w:rFonts w:hint="eastAsia" w:ascii="宋体" w:hAnsi="宋体" w:eastAsia="宋体" w:cs="宋体"/>
          <w:color w:val="000000" w:themeColor="text1"/>
          <w:sz w:val="24"/>
          <w:u w:val="single"/>
          <w:lang w:val="en-US" w:eastAsia="zh-CN"/>
          <w14:textFill>
            <w14:solidFill>
              <w14:schemeClr w14:val="tx1"/>
            </w14:solidFill>
          </w14:textFill>
        </w:rPr>
        <w:t>13723814432</w:t>
      </w:r>
      <w:r>
        <w:rPr>
          <w:rFonts w:hint="eastAsia" w:ascii="宋体" w:hAnsi="宋体" w:eastAsia="宋体" w:cs="宋体"/>
          <w:color w:val="000000" w:themeColor="text1"/>
          <w:sz w:val="24"/>
          <w14:textFill>
            <w14:solidFill>
              <w14:schemeClr w14:val="tx1"/>
            </w14:solidFill>
          </w14:textFill>
        </w:rPr>
        <w:t>作为代表，跟踪、检查安装、调试现场。</w:t>
      </w:r>
    </w:p>
    <w:p w14:paraId="6996CCA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4.3  乙方负责对甲方的操作人员进行免费培训。</w:t>
      </w:r>
    </w:p>
    <w:p w14:paraId="5935316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4.4  乙方在安装、调试过程中应加强操作人员的安全教育，杜绝安全事故的发生。 </w:t>
      </w:r>
    </w:p>
    <w:p w14:paraId="68B41780">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第五条 售后服务</w:t>
      </w:r>
    </w:p>
    <w:p w14:paraId="5FF66B5B">
      <w:pPr>
        <w:keepNext w:val="0"/>
        <w:keepLines w:val="0"/>
        <w:pageBreakBefore w:val="0"/>
        <w:widowControl w:val="0"/>
        <w:numPr>
          <w:ilvl w:val="255"/>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5.1 设备售后服务</w:t>
      </w:r>
    </w:p>
    <w:p w14:paraId="0B816471">
      <w:pPr>
        <w:keepNext w:val="0"/>
        <w:keepLines w:val="0"/>
        <w:pageBreakBefore w:val="0"/>
        <w:widowControl w:val="0"/>
        <w:numPr>
          <w:ilvl w:val="255"/>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5.1.1 本合同设备质保期为</w:t>
      </w:r>
      <w:r>
        <w:rPr>
          <w:rFonts w:hint="eastAsia" w:ascii="宋体" w:hAnsi="宋体" w:eastAsia="宋体" w:cs="宋体"/>
          <w:color w:val="000000" w:themeColor="text1"/>
          <w:sz w:val="24"/>
          <w:u w:val="single"/>
          <w:lang w:val="en-US" w:eastAsia="zh-CN"/>
          <w14:textFill>
            <w14:solidFill>
              <w14:schemeClr w14:val="tx1"/>
            </w14:solidFill>
          </w14:textFill>
        </w:rPr>
        <w:t xml:space="preserve">叁 </w:t>
      </w:r>
      <w:r>
        <w:rPr>
          <w:rFonts w:hint="eastAsia" w:ascii="宋体" w:hAnsi="宋体" w:eastAsia="宋体" w:cs="宋体"/>
          <w:color w:val="000000" w:themeColor="text1"/>
          <w:sz w:val="24"/>
          <w14:textFill>
            <w14:solidFill>
              <w14:schemeClr w14:val="tx1"/>
            </w14:solidFill>
          </w14:textFill>
        </w:rPr>
        <w:t>年，自甲方在总体验收报告单上签字确认合格之日起算。</w:t>
      </w:r>
    </w:p>
    <w:p w14:paraId="7DF7097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5.1.2  乙方在质保期内免费提供设备维修、更换、保养、咨询等服务。如设备在质保期内出现质量问题，乙方应在接到甲方通知（包括电话通知）后</w:t>
      </w:r>
      <w:r>
        <w:rPr>
          <w:rFonts w:hint="eastAsia" w:ascii="宋体" w:hAnsi="宋体" w:eastAsia="宋体" w:cs="宋体"/>
          <w:color w:val="000000" w:themeColor="text1"/>
          <w:sz w:val="24"/>
          <w:u w:val="single"/>
          <w14:textFill>
            <w14:solidFill>
              <w14:schemeClr w14:val="tx1"/>
            </w14:solidFill>
          </w14:textFill>
        </w:rPr>
        <w:t>1</w:t>
      </w:r>
      <w:r>
        <w:rPr>
          <w:rFonts w:hint="eastAsia" w:ascii="宋体" w:hAnsi="宋体" w:eastAsia="宋体" w:cs="宋体"/>
          <w:color w:val="000000" w:themeColor="text1"/>
          <w:sz w:val="24"/>
          <w14:textFill>
            <w14:solidFill>
              <w14:schemeClr w14:val="tx1"/>
            </w14:solidFill>
          </w14:textFill>
        </w:rPr>
        <w:t>小时内响应，响应后</w:t>
      </w:r>
      <w:r>
        <w:rPr>
          <w:rFonts w:hint="eastAsia" w:ascii="宋体" w:hAnsi="宋体" w:eastAsia="宋体" w:cs="宋体"/>
          <w:color w:val="000000" w:themeColor="text1"/>
          <w:sz w:val="24"/>
          <w:u w:val="single"/>
          <w14:textFill>
            <w14:solidFill>
              <w14:schemeClr w14:val="tx1"/>
            </w14:solidFill>
          </w14:textFill>
        </w:rPr>
        <w:t>24</w:t>
      </w:r>
      <w:r>
        <w:rPr>
          <w:rFonts w:hint="eastAsia" w:ascii="宋体" w:hAnsi="宋体" w:eastAsia="宋体" w:cs="宋体"/>
          <w:color w:val="000000" w:themeColor="text1"/>
          <w:sz w:val="24"/>
          <w14:textFill>
            <w14:solidFill>
              <w14:schemeClr w14:val="tx1"/>
            </w14:solidFill>
          </w14:textFill>
        </w:rPr>
        <w:t>小时内赶到甲方提供服务，相关费用由乙方承担。如乙方不及时提供服务，甲方有权委托第三方提供维修、更换、保养、咨询等服务，由此产生的相关费用，甲方有权在应付款中扣除、不足部分由乙方另行补足，或要求乙方将第三方提供服务产生的相关费用直接支付给甲方。</w:t>
      </w:r>
    </w:p>
    <w:p w14:paraId="0933AA0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5.1.3  质保期内，乙方每年至少对设备进行一次巡检并向甲方提交巡检记录。</w:t>
      </w:r>
    </w:p>
    <w:p w14:paraId="1E0D6E4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5.1.4  质保期届满后，如设备出现问题，乙方应在接到甲方通知（包括电话通知）24小时响应，响应后4小时上门服务，相关费用由甲方承担。</w:t>
      </w:r>
    </w:p>
    <w:p w14:paraId="044CA769">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5.2 耗材售后服务</w:t>
      </w:r>
    </w:p>
    <w:p w14:paraId="0BBF262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5.2.1 在乙方提供耗材的标识标注的有效期内，如出现质量问题，乙方应在接到甲方通知（包括电话通知）后1小时内响应，响应后24小时内赶到甲方提供更换服务，相关费用由乙方承担。</w:t>
      </w:r>
    </w:p>
    <w:p w14:paraId="3F27C38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5.2.2 乙方提供的耗材应为符合国家质量标准的合格产品且所有证件、手续合法齐全，如因产品质量原因或手续不齐不合法或未按要求储存、运输（冷链）、包装等给甲方造成损失和不良影响全部由乙方负责。</w:t>
      </w:r>
    </w:p>
    <w:p w14:paraId="738489D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5.3 乙方须指派</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，电话：</w:t>
      </w:r>
      <w:r>
        <w:rPr>
          <w:rFonts w:hint="eastAsia" w:ascii="宋体" w:hAnsi="宋体" w:eastAsia="宋体" w:cs="宋体"/>
          <w:sz w:val="24"/>
          <w:u w:val="single"/>
          <w:lang w:val="en-US" w:eastAsia="zh-CN"/>
        </w:rPr>
        <w:t xml:space="preserve">        </w:t>
      </w:r>
      <w:r>
        <w:rPr>
          <w:rFonts w:hint="eastAsia" w:ascii="宋体" w:hAnsi="宋体" w:eastAsia="宋体" w:cs="宋体"/>
          <w:color w:val="000000" w:themeColor="text1"/>
          <w:sz w:val="24"/>
          <w14:textFill>
            <w14:solidFill>
              <w14:schemeClr w14:val="tx1"/>
            </w14:solidFill>
          </w14:textFill>
        </w:rPr>
        <w:t>，专门负责与甲方联系本合同售后服务事宜，如人员及联系电话发生变动，应及时通知甲方。</w:t>
      </w:r>
    </w:p>
    <w:p w14:paraId="3EAA37EF">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第六条 结算、付款方式</w:t>
      </w:r>
    </w:p>
    <w:p w14:paraId="2330927C">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6.1  设备结算</w:t>
      </w:r>
    </w:p>
    <w:p w14:paraId="19705D8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6.1.1 甲方在设备总体验收报告单上签字确认合格之日起4个月内，向乙方支付设备结算价款的90%；余款10%，甲方在质保期届满且不存在需被扣除情形之日起10个工作日内，免息支付给乙方。</w:t>
      </w:r>
    </w:p>
    <w:p w14:paraId="06C13D5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6.1.2 乙方应在甲方首次支付设备货款前，向甲方提供以乙方自己名义开具的与设备结算价款对应的增值税普通发票，如乙方未及时提供发票，甲方有权顺延付款，由此产生的责任均由乙方自行承担。</w:t>
      </w:r>
    </w:p>
    <w:p w14:paraId="3E5B140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6.1.3 乙方开具的发票金额应与设备总体验收报告单内容一致，甲方不支付超出设备总体验收报告单内容以外的任何费用。</w:t>
      </w:r>
    </w:p>
    <w:p w14:paraId="471B9606">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6.2  耗材结算：</w:t>
      </w:r>
    </w:p>
    <w:p w14:paraId="0857435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耗材结算价款</w:t>
      </w:r>
      <w:r>
        <w:rPr>
          <w:rFonts w:ascii="宋体" w:hAnsi="宋体" w:eastAsia="宋体" w:cs="宋体"/>
          <w:color w:val="000000" w:themeColor="text1"/>
          <w:sz w:val="24"/>
          <w14:textFill>
            <w14:solidFill>
              <w14:schemeClr w14:val="tx1"/>
            </w14:solidFill>
          </w14:textFill>
        </w:rPr>
        <w:t>根据</w:t>
      </w:r>
      <w:r>
        <w:rPr>
          <w:rFonts w:hint="eastAsia" w:ascii="宋体" w:hAnsi="宋体" w:eastAsia="宋体" w:cs="宋体"/>
          <w:color w:val="000000" w:themeColor="text1"/>
          <w:sz w:val="24"/>
          <w14:textFill>
            <w14:solidFill>
              <w14:schemeClr w14:val="tx1"/>
            </w14:solidFill>
          </w14:textFill>
        </w:rPr>
        <w:t>甲方的</w:t>
      </w:r>
      <w:r>
        <w:rPr>
          <w:rFonts w:ascii="宋体" w:hAnsi="宋体" w:eastAsia="宋体" w:cs="宋体"/>
          <w:color w:val="000000" w:themeColor="text1"/>
          <w:sz w:val="24"/>
          <w14:textFill>
            <w14:solidFill>
              <w14:schemeClr w14:val="tx1"/>
            </w14:solidFill>
          </w14:textFill>
        </w:rPr>
        <w:t>书面订单、经甲方签字确认的乙方送货单按</w:t>
      </w:r>
      <w:r>
        <w:rPr>
          <w:rFonts w:hint="eastAsia" w:ascii="宋体" w:hAnsi="宋体" w:eastAsia="宋体" w:cs="宋体"/>
          <w:color w:val="000000" w:themeColor="text1"/>
          <w:sz w:val="24"/>
          <w:u w:val="single"/>
          <w:lang w:val="en-US" w:eastAsia="zh-CN"/>
          <w14:textFill>
            <w14:solidFill>
              <w14:schemeClr w14:val="tx1"/>
            </w14:solidFill>
          </w14:textFill>
        </w:rPr>
        <w:t>月</w:t>
      </w:r>
      <w:r>
        <w:rPr>
          <w:rFonts w:hint="eastAsia" w:ascii="宋体" w:hAnsi="宋体" w:eastAsia="宋体" w:cs="宋体"/>
          <w:color w:val="000000" w:themeColor="text1"/>
          <w:sz w:val="24"/>
          <w14:textFill>
            <w14:solidFill>
              <w14:schemeClr w14:val="tx1"/>
            </w14:solidFill>
          </w14:textFill>
        </w:rPr>
        <w:t>据实</w:t>
      </w:r>
      <w:r>
        <w:rPr>
          <w:rFonts w:ascii="宋体" w:hAnsi="宋体" w:eastAsia="宋体" w:cs="宋体"/>
          <w:color w:val="000000" w:themeColor="text1"/>
          <w:sz w:val="24"/>
          <w14:textFill>
            <w14:solidFill>
              <w14:schemeClr w14:val="tx1"/>
            </w14:solidFill>
          </w14:textFill>
        </w:rPr>
        <w:t>结算</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乙方应向甲方提供以乙方名义开具的与</w:t>
      </w:r>
      <w:r>
        <w:rPr>
          <w:rFonts w:hint="eastAsia" w:ascii="宋体" w:hAnsi="宋体" w:eastAsia="宋体" w:cs="宋体"/>
          <w:color w:val="000000" w:themeColor="text1"/>
          <w:sz w:val="24"/>
          <w14:textFill>
            <w14:solidFill>
              <w14:schemeClr w14:val="tx1"/>
            </w14:solidFill>
          </w14:textFill>
        </w:rPr>
        <w:t>该批次</w:t>
      </w:r>
      <w:r>
        <w:rPr>
          <w:rFonts w:ascii="宋体" w:hAnsi="宋体" w:eastAsia="宋体" w:cs="宋体"/>
          <w:color w:val="000000" w:themeColor="text1"/>
          <w:sz w:val="24"/>
          <w14:textFill>
            <w14:solidFill>
              <w14:schemeClr w14:val="tx1"/>
            </w14:solidFill>
          </w14:textFill>
        </w:rPr>
        <w:t>结算金额对应的增值税普通发票；如乙方未能及时提供符合约定的发票，甲方有权顺延付款期限</w:t>
      </w:r>
      <w:r>
        <w:rPr>
          <w:rFonts w:hint="eastAsia" w:ascii="宋体" w:hAnsi="宋体" w:eastAsia="宋体" w:cs="宋体"/>
          <w:color w:val="000000" w:themeColor="text1"/>
          <w:sz w:val="24"/>
          <w14:textFill>
            <w14:solidFill>
              <w14:schemeClr w14:val="tx1"/>
            </w14:solidFill>
          </w14:textFill>
        </w:rPr>
        <w:t>，由此产生的责任均由乙方自行承担</w:t>
      </w:r>
      <w:r>
        <w:rPr>
          <w:rFonts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甲方自收到乙方发票且财务入账后180日内（如遇特殊情况顺延）向乙方支付该批次结算价款</w:t>
      </w:r>
      <w:r>
        <w:rPr>
          <w:rFonts w:ascii="宋体" w:hAnsi="宋体" w:eastAsia="宋体" w:cs="宋体"/>
          <w:color w:val="000000" w:themeColor="text1"/>
          <w:sz w:val="24"/>
          <w14:textFill>
            <w14:solidFill>
              <w14:schemeClr w14:val="tx1"/>
            </w14:solidFill>
          </w14:textFill>
        </w:rPr>
        <w:t>。</w:t>
      </w:r>
    </w:p>
    <w:p w14:paraId="16BF2E4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6.3  乙方委派</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sz w:val="24"/>
          <w:u w:val="single"/>
          <w:lang w:val="en-US" w:eastAsia="zh-CN"/>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与甲方办理结算手续。</w:t>
      </w:r>
    </w:p>
    <w:p w14:paraId="3F604E0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6.4  甲方通过银行转账方式向乙方指定银行账户支付设备和耗材结算价款，乙方指定账户：</w:t>
      </w:r>
    </w:p>
    <w:p w14:paraId="6C9E981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开</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户</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名：</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eastAsia="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p>
    <w:p w14:paraId="1B3DAEF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开户银行：</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w:t>
      </w:r>
    </w:p>
    <w:p w14:paraId="286E9A2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账</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号：</w:t>
      </w:r>
      <w:r>
        <w:rPr>
          <w:rFonts w:hint="eastAsia"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p>
    <w:p w14:paraId="361C3171">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第七条 风险承担</w:t>
      </w:r>
    </w:p>
    <w:p w14:paraId="72A1982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3C56599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7.2  设备毁损、丢失的风险自甲方在设备总体验收报告单上签字确认合格后转移给甲方；医用耗材毁损、灭失的风险自甲方在供货单上签字验收之日起转移给甲方。</w:t>
      </w:r>
    </w:p>
    <w:p w14:paraId="57B8F99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7.3  如耗材在有效期内出现质量问题，给甲方、乙方或第三方人身、财产造成的所有损失，均由乙方负责处理和承担全部法律责任、经济赔偿。</w:t>
      </w:r>
    </w:p>
    <w:p w14:paraId="6E4CAF2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7.4  乙方确保本合同约定设备及耗材的权利均无瑕疵，包括所有权及知识产权等权利，否则由乙方承担全部法律责任和经济赔偿。</w:t>
      </w:r>
    </w:p>
    <w:p w14:paraId="0EE7A6E9">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第八条 廉洁条款</w:t>
      </w:r>
    </w:p>
    <w:p w14:paraId="67FB005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3495005">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u w:val="single"/>
          <w14:textFill>
            <w14:solidFill>
              <w14:schemeClr w14:val="tx1"/>
            </w14:solidFill>
          </w14:textFill>
        </w:rPr>
      </w:pPr>
      <w:r>
        <w:rPr>
          <w:rFonts w:ascii="宋体" w:hAnsi="宋体" w:eastAsia="宋体" w:cs="宋体"/>
          <w:b/>
          <w:bCs/>
          <w:color w:val="000000" w:themeColor="text1"/>
          <w:sz w:val="24"/>
          <w14:textFill>
            <w14:solidFill>
              <w14:schemeClr w14:val="tx1"/>
            </w14:solidFill>
          </w14:textFill>
        </w:rPr>
        <w:t xml:space="preserve">8.2 </w:t>
      </w:r>
      <w:r>
        <w:rPr>
          <w:rFonts w:ascii="宋体" w:hAnsi="宋体" w:eastAsia="宋体" w:cs="宋体"/>
          <w:b/>
          <w:bCs/>
          <w:color w:val="000000" w:themeColor="text1"/>
          <w:sz w:val="24"/>
          <w:u w:val="single"/>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4E8F82B1">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第九条 保密条款</w:t>
      </w:r>
    </w:p>
    <w:p w14:paraId="7295A6F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7232B2A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1DFBE28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9.3 因乙方未履行本合同保密义务造成甲方或第三方损失的，由乙方承担全部赔偿责任。</w:t>
      </w:r>
    </w:p>
    <w:p w14:paraId="632DD0E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9.4 本合同保密条款在合同被认定无效、被撤销或终止、解除后仍然有效。</w:t>
      </w:r>
    </w:p>
    <w:p w14:paraId="6FB4C7F2">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 xml:space="preserve">第十条 </w:t>
      </w:r>
      <w:r>
        <w:rPr>
          <w:rFonts w:ascii="宋体" w:hAnsi="宋体" w:eastAsia="宋体" w:cs="宋体"/>
          <w:b/>
          <w:bCs/>
          <w:color w:val="000000" w:themeColor="text1"/>
          <w:sz w:val="24"/>
          <w14:textFill>
            <w14:solidFill>
              <w14:schemeClr w14:val="tx1"/>
            </w14:solidFill>
          </w14:textFill>
        </w:rPr>
        <w:t>通知</w:t>
      </w:r>
      <w:r>
        <w:rPr>
          <w:rFonts w:hint="eastAsia" w:ascii="宋体" w:hAnsi="宋体" w:eastAsia="宋体" w:cs="宋体"/>
          <w:b/>
          <w:bCs/>
          <w:color w:val="000000" w:themeColor="text1"/>
          <w:sz w:val="24"/>
          <w14:textFill>
            <w14:solidFill>
              <w14:schemeClr w14:val="tx1"/>
            </w14:solidFill>
          </w14:textFill>
        </w:rPr>
        <w:t>与送达</w:t>
      </w:r>
    </w:p>
    <w:p w14:paraId="0567836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10.1 甲乙双方同意，与本合同有关的任何文书，应以书面方式按照本合同约定发送，书面方式包括手机短信、微信、书面函件、电子邮件等形式。</w:t>
      </w:r>
    </w:p>
    <w:p w14:paraId="6F29D7D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10.2 双方确认的文书（包括未来可能发生的诉讼或仲裁活动中法院或仲裁机构的送达法律文书）送达地址：</w:t>
      </w:r>
    </w:p>
    <w:p w14:paraId="33496A5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10.2.1 </w:t>
      </w:r>
      <w:r>
        <w:rPr>
          <w:rFonts w:ascii="宋体" w:hAnsi="宋体" w:eastAsia="宋体" w:cs="宋体"/>
          <w:color w:val="000000" w:themeColor="text1"/>
          <w:sz w:val="24"/>
          <w14:textFill>
            <w14:solidFill>
              <w14:schemeClr w14:val="tx1"/>
            </w14:solidFill>
          </w14:textFill>
        </w:rPr>
        <w:t>甲方的联系地址：</w:t>
      </w:r>
      <w:r>
        <w:rPr>
          <w:rFonts w:hint="eastAsia" w:ascii="宋体" w:hAnsi="宋体" w:eastAsia="宋体" w:cs="宋体"/>
          <w:color w:val="000000" w:themeColor="text1"/>
          <w:sz w:val="24"/>
          <w:u w:val="single"/>
          <w:lang w:val="en-US" w:eastAsia="zh-CN"/>
          <w14:textFill>
            <w14:solidFill>
              <w14:schemeClr w14:val="tx1"/>
            </w14:solidFill>
          </w14:textFill>
        </w:rPr>
        <w:t xml:space="preserve">娄底市娄星区长青中街51号 </w:t>
      </w:r>
      <w:r>
        <w:rPr>
          <w:rFonts w:ascii="宋体" w:hAnsi="宋体" w:eastAsia="宋体" w:cs="宋体"/>
          <w:color w:val="000000" w:themeColor="text1"/>
          <w:sz w:val="24"/>
          <w14:textFill>
            <w14:solidFill>
              <w14:schemeClr w14:val="tx1"/>
            </w14:solidFill>
          </w14:textFill>
        </w:rPr>
        <w:t>，联系人：</w:t>
      </w:r>
      <w:r>
        <w:rPr>
          <w:rFonts w:hint="eastAsia" w:ascii="宋体" w:hAnsi="宋体" w:eastAsia="宋体" w:cs="宋体"/>
          <w:color w:val="000000" w:themeColor="text1"/>
          <w:sz w:val="24"/>
          <w:u w:val="single"/>
          <w:lang w:val="en-US" w:eastAsia="zh-CN"/>
          <w14:textFill>
            <w14:solidFill>
              <w14:schemeClr w14:val="tx1"/>
            </w14:solidFill>
          </w14:textFill>
        </w:rPr>
        <w:t>彭春涛</w:t>
      </w:r>
      <w:r>
        <w:rPr>
          <w:rFonts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color w:val="000000" w:themeColor="text1"/>
          <w:sz w:val="24"/>
          <w:u w:val="single"/>
          <w:lang w:val="en-US" w:eastAsia="zh-CN"/>
          <w14:textFill>
            <w14:solidFill>
              <w14:schemeClr w14:val="tx1"/>
            </w14:solidFill>
          </w14:textFill>
        </w:rPr>
        <w:t>13027388172</w:t>
      </w:r>
      <w:r>
        <w:rPr>
          <w:rFonts w:ascii="宋体" w:hAnsi="宋体" w:eastAsia="宋体" w:cs="宋体"/>
          <w:color w:val="000000" w:themeColor="text1"/>
          <w:sz w:val="24"/>
          <w14:textFill>
            <w14:solidFill>
              <w14:schemeClr w14:val="tx1"/>
            </w14:solidFill>
          </w14:textFill>
        </w:rPr>
        <w:t>，邮箱地址</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 xml:space="preserve">721294732@qq.com </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或微信号</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13027388172</w:t>
      </w:r>
      <w:r>
        <w:rPr>
          <w:rFonts w:ascii="宋体" w:hAnsi="宋体" w:eastAsia="宋体" w:cs="宋体"/>
          <w:color w:val="000000" w:themeColor="text1"/>
          <w:sz w:val="24"/>
          <w14:textFill>
            <w14:solidFill>
              <w14:schemeClr w14:val="tx1"/>
            </w14:solidFill>
          </w14:textFill>
        </w:rPr>
        <w:t>。</w:t>
      </w:r>
    </w:p>
    <w:p w14:paraId="2282019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10.2.2 </w:t>
      </w:r>
      <w:r>
        <w:rPr>
          <w:rFonts w:ascii="宋体" w:hAnsi="宋体" w:eastAsia="宋体" w:cs="宋体"/>
          <w:color w:val="000000" w:themeColor="text1"/>
          <w:sz w:val="24"/>
          <w14:textFill>
            <w14:solidFill>
              <w14:schemeClr w14:val="tx1"/>
            </w14:solidFill>
          </w14:textFill>
        </w:rPr>
        <w:t>乙方的联系地址：</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，联系人：</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，邮箱地址</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或微信号</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w:t>
      </w:r>
    </w:p>
    <w:p w14:paraId="70840A9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1496618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68282D77">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第十一条 合同的变更、解除</w:t>
      </w:r>
    </w:p>
    <w:p w14:paraId="68651BA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11.1 本合同经双方协商一致后可以变更，双方应另行签订补充协议。</w:t>
      </w:r>
    </w:p>
    <w:p w14:paraId="09E1AA7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 乙方出现以下违约情形之一的，甲方有权拒绝支付任何价款并解除合同：</w:t>
      </w:r>
    </w:p>
    <w:p w14:paraId="3155227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r>
        <w:rPr>
          <w:rFonts w:hint="eastAsia" w:ascii="宋体" w:hAnsi="宋体" w:eastAsia="宋体" w:cs="宋体"/>
          <w:color w:val="000000" w:themeColor="text1"/>
          <w:sz w:val="24"/>
          <w14:textFill>
            <w14:solidFill>
              <w14:schemeClr w14:val="tx1"/>
            </w14:solidFill>
          </w14:textFill>
        </w:rPr>
        <w:t>.2.1 乙方逾期</w:t>
      </w:r>
      <w:r>
        <w:rPr>
          <w:rFonts w:hint="eastAsia" w:ascii="宋体" w:hAnsi="宋体" w:eastAsia="宋体" w:cs="宋体"/>
          <w:color w:val="000000" w:themeColor="text1"/>
          <w:sz w:val="24"/>
          <w:u w:val="single"/>
          <w14:textFill>
            <w14:solidFill>
              <w14:schemeClr w14:val="tx1"/>
            </w14:solidFill>
          </w14:textFill>
        </w:rPr>
        <w:t>30</w:t>
      </w:r>
      <w:r>
        <w:rPr>
          <w:rFonts w:hint="eastAsia" w:ascii="宋体" w:hAnsi="宋体" w:eastAsia="宋体" w:cs="宋体"/>
          <w:color w:val="000000" w:themeColor="text1"/>
          <w:sz w:val="24"/>
          <w14:textFill>
            <w14:solidFill>
              <w14:schemeClr w14:val="tx1"/>
            </w14:solidFill>
          </w14:textFill>
        </w:rPr>
        <w:t>日仍不能供货。</w:t>
      </w:r>
    </w:p>
    <w:p w14:paraId="2A1838E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r>
        <w:rPr>
          <w:rFonts w:hint="eastAsia" w:ascii="宋体" w:hAnsi="宋体" w:eastAsia="宋体" w:cs="宋体"/>
          <w:color w:val="000000" w:themeColor="text1"/>
          <w:sz w:val="24"/>
          <w14:textFill>
            <w14:solidFill>
              <w14:schemeClr w14:val="tx1"/>
            </w14:solidFill>
          </w14:textFill>
        </w:rPr>
        <w:t>.2.2 乙方提供的设备、耗材质量不符合国家标准、本合同标准或响应文件约定标准。</w:t>
      </w:r>
    </w:p>
    <w:p w14:paraId="7E4AB6B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11.2.3 乙方未在甲方订单规定的时间内提供耗材，经甲方催告3次以上后仍不能提供的；或耗材经甲方验收不合格或乙方提供的耗材在有效期内出现质量问题，经连续2次更换仍不合格的；或提供的耗材、证件手续不齐，甲方不能合法使用的。</w:t>
      </w:r>
    </w:p>
    <w:p w14:paraId="134FDC4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11.2.4 乙方供应的耗材被生产厂家取消配送权的；或乙方不配合耗材管理工作的，如不配合耗材HRP系统信息录入、赋码等、不配合耗材SPD配送管理、未向SPD配送公司交纳配送服务费等。</w:t>
      </w:r>
    </w:p>
    <w:p w14:paraId="79C15A6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11.2.5 乙方违反甲方制度的，或乙方经甲方供应商管理考核为不合格供应商的。</w:t>
      </w:r>
    </w:p>
    <w:p w14:paraId="09B591B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11.2.6 乙方未经甲方设备科发出书面订单采购私自向甲方科室配送的。</w:t>
      </w:r>
    </w:p>
    <w:p w14:paraId="15A2BB05">
      <w:pPr>
        <w:keepNext w:val="0"/>
        <w:keepLines w:val="0"/>
        <w:pageBreakBefore w:val="0"/>
        <w:widowControl w:val="0"/>
        <w:kinsoku/>
        <w:wordWrap/>
        <w:overflowPunct/>
        <w:topLinePunct w:val="0"/>
        <w:autoSpaceDE w:val="0"/>
        <w:autoSpaceDN w:val="0"/>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11.2.7 乙方将订单转包、分包给第三方。</w:t>
      </w:r>
    </w:p>
    <w:p w14:paraId="1EED7D7E">
      <w:pPr>
        <w:keepNext w:val="0"/>
        <w:keepLines w:val="0"/>
        <w:pageBreakBefore w:val="0"/>
        <w:widowControl w:val="0"/>
        <w:kinsoku/>
        <w:wordWrap/>
        <w:overflowPunct/>
        <w:topLinePunct w:val="0"/>
        <w:autoSpaceDE w:val="0"/>
        <w:autoSpaceDN w:val="0"/>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11.2.8 乙方在本合同履行期间因违法行为被追究刑事责任的，或被予以吊销营业执照、取消资质等行政处罚，或乙方被接管、资金被冻结的。</w:t>
      </w:r>
    </w:p>
    <w:p w14:paraId="17F419F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11.2.9 其他根本违约的情形。</w:t>
      </w:r>
    </w:p>
    <w:p w14:paraId="0A953F13">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第十二条 违约责任</w:t>
      </w:r>
    </w:p>
    <w:p w14:paraId="1AA178A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.1 甲方因11.2情形提前终止本合同或剔除部分采购内容均无须承担违约责任，乙方不得因此要求甲方予以任何经济赔偿或补偿。</w:t>
      </w:r>
    </w:p>
    <w:p w14:paraId="3F9F1DE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.2 如乙方未在本合同约定时间内将验收合格的设备交付给甲方使用，除应赔偿甲方因此造成的损失外，每逾期一日，按本合同约定设备总价款的千分之一向甲方支付违约金。</w:t>
      </w:r>
    </w:p>
    <w:p w14:paraId="5649E77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.3 如乙方未在本合同约定时间内将验收合格的耗材交付给甲方使用，除应赔偿甲方因此造成的损失外，每逾期一日，按该批次耗材结算金额的百分之五向甲方支付违约金。</w:t>
      </w:r>
    </w:p>
    <w:p w14:paraId="25E8104D">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highlight w:val="none"/>
          <w:lang w:val="en-US" w:eastAsia="zh-CN"/>
        </w:rPr>
      </w:pPr>
      <w:r>
        <w:rPr>
          <w:rFonts w:hint="eastAsia" w:ascii="宋体" w:hAnsi="宋体" w:eastAsia="宋体" w:cs="宋体"/>
          <w:color w:val="000000" w:themeColor="text1"/>
          <w:sz w:val="24"/>
          <w14:textFill>
            <w14:solidFill>
              <w14:schemeClr w14:val="tx1"/>
            </w14:solidFill>
          </w14:textFill>
        </w:rPr>
        <w:t>12.4  如乙方单方解</w:t>
      </w:r>
      <w:r>
        <w:rPr>
          <w:rFonts w:hint="eastAsia" w:ascii="宋体" w:hAnsi="宋体" w:eastAsia="宋体" w:cs="宋体"/>
          <w:color w:val="auto"/>
          <w:sz w:val="24"/>
        </w:rPr>
        <w:t>除合同或甲方因</w:t>
      </w:r>
      <w:r>
        <w:rPr>
          <w:rFonts w:hint="eastAsia" w:ascii="宋体" w:hAnsi="宋体" w:eastAsia="宋体" w:cs="宋体"/>
          <w:color w:val="auto"/>
          <w:sz w:val="24"/>
          <w:lang w:val="en-US" w:eastAsia="zh-CN"/>
        </w:rPr>
        <w:t>11.2情形</w:t>
      </w:r>
      <w:r>
        <w:rPr>
          <w:rFonts w:hint="eastAsia" w:ascii="宋体" w:hAnsi="宋体" w:eastAsia="宋体" w:cs="宋体"/>
          <w:color w:val="auto"/>
          <w:sz w:val="24"/>
        </w:rPr>
        <w:t>解除合同，</w:t>
      </w:r>
      <w:r>
        <w:rPr>
          <w:rFonts w:hint="eastAsia" w:ascii="宋体" w:hAnsi="宋体" w:eastAsia="宋体" w:cs="宋体"/>
          <w:color w:val="auto"/>
          <w:sz w:val="24"/>
          <w:highlight w:val="none"/>
        </w:rPr>
        <w:t>乙方</w:t>
      </w:r>
      <w:r>
        <w:rPr>
          <w:rFonts w:hint="eastAsia" w:ascii="宋体" w:hAnsi="宋体" w:eastAsia="宋体" w:cs="宋体"/>
          <w:color w:val="auto"/>
          <w:sz w:val="24"/>
          <w:highlight w:val="none"/>
          <w:lang w:val="en-US" w:eastAsia="zh-CN"/>
        </w:rPr>
        <w:t>除</w:t>
      </w:r>
      <w:r>
        <w:rPr>
          <w:rFonts w:hint="eastAsia" w:ascii="宋体" w:hAnsi="宋体" w:eastAsia="宋体" w:cs="宋体"/>
          <w:color w:val="auto"/>
          <w:sz w:val="24"/>
          <w:highlight w:val="none"/>
        </w:rPr>
        <w:t>应赔偿给甲方造成的全部经济损失外</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还应向甲方支付违约金</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该违约金金额按以下较高者确定：（1）</w:t>
      </w:r>
      <w:r>
        <w:rPr>
          <w:rFonts w:hint="eastAsia" w:ascii="宋体" w:hAnsi="宋体" w:eastAsia="宋体" w:cs="宋体"/>
          <w:color w:val="auto"/>
          <w:sz w:val="24"/>
          <w:highlight w:val="none"/>
          <w:u w:val="single"/>
        </w:rPr>
        <w:t>10000.00</w:t>
      </w:r>
      <w:r>
        <w:rPr>
          <w:rFonts w:hint="eastAsia" w:ascii="宋体" w:hAnsi="宋体" w:eastAsia="宋体" w:cs="宋体"/>
          <w:color w:val="auto"/>
          <w:sz w:val="24"/>
          <w:highlight w:val="none"/>
        </w:rPr>
        <w:t>元</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按本合同约定</w:t>
      </w:r>
      <w:r>
        <w:rPr>
          <w:rFonts w:hint="eastAsia" w:ascii="宋体" w:hAnsi="宋体" w:eastAsia="宋体" w:cs="宋体"/>
          <w:color w:val="auto"/>
          <w:sz w:val="24"/>
          <w:highlight w:val="none"/>
        </w:rPr>
        <w:t>供货期限</w:t>
      </w:r>
      <w:r>
        <w:rPr>
          <w:rFonts w:hint="eastAsia" w:ascii="宋体" w:hAnsi="宋体" w:eastAsia="宋体" w:cs="宋体"/>
          <w:color w:val="auto"/>
          <w:sz w:val="24"/>
          <w:highlight w:val="none"/>
          <w:lang w:val="en-US" w:eastAsia="zh-CN"/>
        </w:rPr>
        <w:t>内耗材累计结算总金额</w:t>
      </w:r>
      <w:r>
        <w:rPr>
          <w:rFonts w:hint="eastAsia" w:ascii="宋体" w:hAnsi="宋体" w:eastAsia="宋体" w:cs="宋体"/>
          <w:color w:val="auto"/>
          <w:sz w:val="24"/>
          <w:highlight w:val="none"/>
          <w:u w:val="single"/>
          <w:lang w:val="en-US" w:eastAsia="zh-CN"/>
        </w:rPr>
        <w:t>10%</w:t>
      </w:r>
      <w:r>
        <w:rPr>
          <w:rFonts w:hint="eastAsia" w:ascii="宋体" w:hAnsi="宋体" w:eastAsia="宋体" w:cs="宋体"/>
          <w:color w:val="auto"/>
          <w:sz w:val="24"/>
          <w:highlight w:val="none"/>
          <w:u w:val="none"/>
          <w:lang w:val="en-US" w:eastAsia="zh-CN"/>
        </w:rPr>
        <w:t>计算的违约金金额。</w:t>
      </w:r>
    </w:p>
    <w:p w14:paraId="7CB7F695">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u w:val="single"/>
          <w14:textFill>
            <w14:solidFill>
              <w14:schemeClr w14:val="tx1"/>
            </w14:solidFill>
          </w14:textFill>
        </w:rPr>
      </w:pPr>
      <w:r>
        <w:rPr>
          <w:rFonts w:hint="eastAsia" w:ascii="宋体" w:hAnsi="宋体" w:eastAsia="宋体" w:cs="宋体"/>
          <w:b/>
          <w:bCs/>
          <w:color w:val="auto"/>
          <w:sz w:val="24"/>
          <w:highlight w:val="none"/>
          <w:u w:val="single"/>
        </w:rPr>
        <w:t>12.</w:t>
      </w:r>
      <w:r>
        <w:rPr>
          <w:rFonts w:hint="eastAsia" w:ascii="宋体" w:hAnsi="宋体" w:eastAsia="宋体" w:cs="宋体"/>
          <w:b/>
          <w:bCs/>
          <w:color w:val="auto"/>
          <w:sz w:val="24"/>
          <w:highlight w:val="none"/>
          <w:u w:val="single"/>
          <w:lang w:val="en-US" w:eastAsia="zh-CN"/>
        </w:rPr>
        <w:t>5</w:t>
      </w:r>
      <w:r>
        <w:rPr>
          <w:rFonts w:hint="eastAsia" w:ascii="宋体" w:hAnsi="宋体" w:eastAsia="宋体" w:cs="宋体"/>
          <w:b/>
          <w:bCs/>
          <w:color w:val="auto"/>
          <w:sz w:val="24"/>
          <w:highlight w:val="none"/>
          <w:u w:val="single"/>
        </w:rPr>
        <w:t xml:space="preserve"> 无论甲方在任意时候（不限于本合同履行期间）发现存在违反本合同廉洁条款及供应商考核管理制度约定的行为，</w:t>
      </w:r>
      <w:r>
        <w:rPr>
          <w:rFonts w:hint="eastAsia" w:ascii="宋体" w:hAnsi="宋体" w:eastAsia="宋体" w:cs="宋体"/>
          <w:b/>
          <w:bCs/>
          <w:color w:val="auto"/>
          <w:sz w:val="24"/>
          <w:highlight w:val="none"/>
          <w:u w:val="single"/>
          <w:lang w:val="en-US" w:eastAsia="zh-CN"/>
        </w:rPr>
        <w:t>乙方均须向甲方支付一次性惩罚性违约金，该违约金金额按以下较高者确定：（1）按本合同约定供货期限内耗材累计结算总金额10%计算的违约金金额；（2）根据《娄底市中心医院医疗器械供应商考核管理制度》规定计算的廉政违约金金额。</w:t>
      </w:r>
      <w:r>
        <w:rPr>
          <w:rFonts w:hint="eastAsia" w:ascii="宋体" w:hAnsi="宋体" w:eastAsia="宋体" w:cs="宋体"/>
          <w:b/>
          <w:bCs/>
          <w:color w:val="auto"/>
          <w:sz w:val="24"/>
          <w:szCs w:val="24"/>
          <w:highlight w:val="none"/>
          <w:u w:val="single"/>
          <w:lang w:val="en-US" w:eastAsia="zh-CN"/>
        </w:rPr>
        <w:t>如乙方除需承担违反廉洁条款及供应商考核管理制度的违约责任外，同时存在其他违约行为，乙方仍须就其他违约行为承担相应违约</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责任。</w:t>
      </w:r>
    </w:p>
    <w:p w14:paraId="7911B647">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u w:val="single"/>
          <w14:textFill>
            <w14:solidFill>
              <w14:schemeClr w14:val="tx1"/>
            </w14:solidFill>
          </w14:textFill>
        </w:rPr>
        <w:t>12.</w:t>
      </w:r>
      <w:r>
        <w:rPr>
          <w:rFonts w:hint="eastAsia" w:ascii="宋体" w:hAnsi="宋体" w:eastAsia="宋体" w:cs="宋体"/>
          <w:b/>
          <w:bCs/>
          <w:color w:val="000000" w:themeColor="text1"/>
          <w:sz w:val="24"/>
          <w:u w:val="single"/>
          <w:lang w:val="en-US" w:eastAsia="zh-CN"/>
          <w14:textFill>
            <w14:solidFill>
              <w14:schemeClr w14:val="tx1"/>
            </w14:solidFill>
          </w14:textFill>
        </w:rPr>
        <w:t>6</w:t>
      </w:r>
      <w:r>
        <w:rPr>
          <w:rFonts w:hint="eastAsia" w:ascii="宋体" w:hAnsi="宋体" w:eastAsia="宋体" w:cs="宋体"/>
          <w:b/>
          <w:bCs/>
          <w:color w:val="000000" w:themeColor="text1"/>
          <w:sz w:val="24"/>
          <w:u w:val="single"/>
          <w14:textFill>
            <w14:solidFill>
              <w14:schemeClr w14:val="tx1"/>
            </w14:solidFill>
          </w14:textFill>
        </w:rPr>
        <w:t xml:space="preserve"> 依据本合同约定乙方应支付给甲方的违约金，甲方有权在应支付给乙方的任意价款中直接予以扣除，如扣除部分不足，乙方应在接到甲方通知后3日内补足。</w:t>
      </w:r>
    </w:p>
    <w:p w14:paraId="378AABBE">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w:t>
      </w:r>
      <w:r>
        <w:rPr>
          <w:rFonts w:hint="eastAsia" w:ascii="宋体" w:hAnsi="宋体" w:cs="宋体"/>
          <w:b/>
          <w:bCs/>
          <w:color w:val="000000" w:themeColor="text1"/>
          <w:sz w:val="24"/>
          <w14:textFill>
            <w14:solidFill>
              <w14:schemeClr w14:val="tx1"/>
            </w14:solidFill>
          </w14:textFill>
        </w:rPr>
        <w:t>十三</w:t>
      </w:r>
      <w:r>
        <w:rPr>
          <w:rFonts w:hint="eastAsia" w:ascii="宋体" w:hAnsi="宋体" w:eastAsia="宋体" w:cs="宋体"/>
          <w:b/>
          <w:bCs/>
          <w:color w:val="000000" w:themeColor="text1"/>
          <w:sz w:val="24"/>
          <w14:textFill>
            <w14:solidFill>
              <w14:schemeClr w14:val="tx1"/>
            </w14:solidFill>
          </w14:textFill>
        </w:rPr>
        <w:t>条 争议解决</w:t>
      </w:r>
    </w:p>
    <w:p w14:paraId="5DEB6BD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13.1 本合同适用中华人民共和国法律，并按其解释。</w:t>
      </w:r>
    </w:p>
    <w:p w14:paraId="2B96074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13.2 如双方在履行本合同过程中发生争议，双方应先协商解决，协商解决不成的，任一方均可向甲方所在地有管辖权的人民法院提起诉讼解决。</w:t>
      </w:r>
    </w:p>
    <w:p w14:paraId="35A30524">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w:t>
      </w:r>
      <w:r>
        <w:rPr>
          <w:rFonts w:hint="eastAsia" w:ascii="宋体" w:hAnsi="宋体" w:cs="宋体"/>
          <w:b/>
          <w:bCs/>
          <w:color w:val="000000" w:themeColor="text1"/>
          <w:sz w:val="24"/>
          <w14:textFill>
            <w14:solidFill>
              <w14:schemeClr w14:val="tx1"/>
            </w14:solidFill>
          </w14:textFill>
        </w:rPr>
        <w:t>四</w:t>
      </w:r>
      <w:r>
        <w:rPr>
          <w:rFonts w:hint="eastAsia" w:ascii="宋体" w:hAnsi="宋体" w:eastAsia="宋体" w:cs="宋体"/>
          <w:b/>
          <w:bCs/>
          <w:color w:val="000000" w:themeColor="text1"/>
          <w:sz w:val="24"/>
          <w14:textFill>
            <w14:solidFill>
              <w14:schemeClr w14:val="tx1"/>
            </w14:solidFill>
          </w14:textFill>
        </w:rPr>
        <w:t>条 附则</w:t>
      </w:r>
    </w:p>
    <w:p w14:paraId="3A8961E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rPr>
      </w:pPr>
      <w:r>
        <w:rPr>
          <w:rFonts w:hint="eastAsia" w:ascii="宋体" w:hAnsi="宋体" w:eastAsia="宋体" w:cs="宋体"/>
          <w:color w:val="auto"/>
          <w:sz w:val="24"/>
        </w:rPr>
        <w:t>1</w:t>
      </w:r>
      <w:r>
        <w:rPr>
          <w:rFonts w:hint="eastAsia" w:ascii="宋体" w:hAnsi="宋体" w:eastAsia="宋体" w:cs="宋体"/>
          <w:color w:val="auto"/>
          <w:sz w:val="24"/>
          <w:lang w:val="en-US" w:eastAsia="zh-CN"/>
        </w:rPr>
        <w:t>4</w:t>
      </w:r>
      <w:r>
        <w:rPr>
          <w:rFonts w:hint="eastAsia" w:ascii="宋体" w:hAnsi="宋体" w:eastAsia="宋体" w:cs="宋体"/>
          <w:color w:val="auto"/>
          <w:sz w:val="24"/>
        </w:rPr>
        <w:t>.</w:t>
      </w:r>
      <w:r>
        <w:rPr>
          <w:rFonts w:hint="eastAsia" w:ascii="宋体" w:hAnsi="宋体" w:eastAsia="宋体" w:cs="宋体"/>
          <w:color w:val="auto"/>
          <w:sz w:val="24"/>
          <w:lang w:val="en-US" w:eastAsia="zh-CN"/>
        </w:rPr>
        <w:t>1 甲方《娄底市中心医院医疗器械供应商考核管理制度》、</w:t>
      </w:r>
      <w:r>
        <w:rPr>
          <w:rFonts w:hint="eastAsia" w:ascii="宋体" w:hAnsi="宋体" w:eastAsia="宋体" w:cs="宋体"/>
          <w:color w:val="auto"/>
          <w:sz w:val="24"/>
          <w:lang w:eastAsia="zh-CN"/>
        </w:rPr>
        <w:t>乙方加盖公章的资质复印件、售后承诺等作为本合同附件。</w:t>
      </w:r>
    </w:p>
    <w:p w14:paraId="4A090CB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auto"/>
          <w:sz w:val="24"/>
        </w:rPr>
        <w:t>14.</w:t>
      </w:r>
      <w:r>
        <w:rPr>
          <w:rFonts w:hint="eastAsia" w:ascii="宋体" w:hAnsi="宋体" w:eastAsia="宋体" w:cs="宋体"/>
          <w:color w:val="auto"/>
          <w:sz w:val="24"/>
          <w:lang w:val="en-US" w:eastAsia="zh-CN"/>
        </w:rPr>
        <w:t>2</w:t>
      </w:r>
      <w:r>
        <w:rPr>
          <w:rFonts w:hint="eastAsia" w:ascii="宋体" w:hAnsi="宋体" w:eastAsia="宋体" w:cs="宋体"/>
          <w:color w:val="auto"/>
          <w:sz w:val="24"/>
        </w:rPr>
        <w:t xml:space="preserve"> 本合同组成文件和优先解释顺序：</w:t>
      </w:r>
      <w:r>
        <w:rPr>
          <w:rFonts w:hint="eastAsia" w:ascii="宋体" w:hAnsi="宋体" w:eastAsia="宋体" w:cs="宋体"/>
          <w:color w:val="auto"/>
          <w:sz w:val="24"/>
          <w:lang w:eastAsia="zh-CN"/>
        </w:rPr>
        <w:t>乙方在履行本合同中作</w:t>
      </w:r>
      <w:r>
        <w:rPr>
          <w:rFonts w:hint="eastAsia" w:ascii="宋体" w:hAnsi="宋体" w:eastAsia="宋体" w:cs="宋体"/>
          <w:color w:val="000000" w:themeColor="text1"/>
          <w:sz w:val="24"/>
          <w:lang w:eastAsia="zh-CN"/>
          <w14:textFill>
            <w14:solidFill>
              <w14:schemeClr w14:val="tx1"/>
            </w14:solidFill>
          </w14:textFill>
        </w:rPr>
        <w:t>出的书面承诺；</w:t>
      </w:r>
      <w:r>
        <w:rPr>
          <w:rFonts w:hint="eastAsia" w:ascii="宋体" w:hAnsi="宋体" w:eastAsia="宋体" w:cs="宋体"/>
          <w:color w:val="000000" w:themeColor="text1"/>
          <w:sz w:val="24"/>
          <w14:textFill>
            <w14:solidFill>
              <w14:schemeClr w14:val="tx1"/>
            </w14:solidFill>
          </w14:textFill>
        </w:rPr>
        <w:t>本合同补充协议；本合同及附件；</w:t>
      </w:r>
      <w:r>
        <w:rPr>
          <w:rFonts w:hint="eastAsia" w:ascii="宋体" w:hAnsi="宋体" w:eastAsia="宋体" w:cs="宋体"/>
          <w:color w:val="000000" w:themeColor="text1"/>
          <w:sz w:val="24"/>
          <w:lang w:eastAsia="zh-CN"/>
          <w14:textFill>
            <w14:solidFill>
              <w14:schemeClr w14:val="tx1"/>
            </w14:solidFill>
          </w14:textFill>
        </w:rPr>
        <w:t>中标通知书</w:t>
      </w:r>
      <w:r>
        <w:rPr>
          <w:rFonts w:hint="eastAsia" w:ascii="宋体" w:hAnsi="宋体" w:eastAsia="宋体" w:cs="宋体"/>
          <w:color w:val="000000" w:themeColor="text1"/>
          <w:sz w:val="24"/>
          <w:lang w:val="en-US" w:eastAsia="zh-CN"/>
          <w14:textFill>
            <w14:solidFill>
              <w14:schemeClr w14:val="tx1"/>
            </w14:solidFill>
          </w14:textFill>
        </w:rPr>
        <w:t>/成交通知书/</w:t>
      </w:r>
      <w:r>
        <w:rPr>
          <w:rFonts w:hint="eastAsia" w:ascii="宋体" w:hAnsi="宋体" w:eastAsia="宋体" w:cs="宋体"/>
          <w:color w:val="000000" w:themeColor="text1"/>
          <w:sz w:val="24"/>
          <w14:textFill>
            <w14:solidFill>
              <w14:schemeClr w14:val="tx1"/>
            </w14:solidFill>
          </w14:textFill>
        </w:rPr>
        <w:t>议价结果公示</w:t>
      </w:r>
      <w:r>
        <w:rPr>
          <w:rFonts w:hint="eastAsia" w:ascii="宋体" w:hAnsi="宋体" w:eastAsia="宋体" w:cs="宋体"/>
          <w:color w:val="000000" w:themeColor="text1"/>
          <w:sz w:val="24"/>
          <w:lang w:val="en-US" w:eastAsia="zh-CN"/>
          <w14:textFill>
            <w14:solidFill>
              <w14:schemeClr w14:val="tx1"/>
            </w14:solidFill>
          </w14:textFill>
        </w:rPr>
        <w:t>/成交公告</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eastAsia="zh-CN"/>
          <w14:textFill>
            <w14:solidFill>
              <w14:schemeClr w14:val="tx1"/>
            </w14:solidFill>
          </w14:textFill>
        </w:rPr>
        <w:t>投标文件</w:t>
      </w:r>
      <w:r>
        <w:rPr>
          <w:rFonts w:hint="eastAsia" w:ascii="宋体" w:hAnsi="宋体" w:eastAsia="宋体" w:cs="宋体"/>
          <w:color w:val="000000" w:themeColor="text1"/>
          <w:sz w:val="24"/>
          <w:lang w:val="en-US"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响应文件；</w:t>
      </w:r>
      <w:r>
        <w:rPr>
          <w:rFonts w:hint="eastAsia" w:ascii="宋体" w:hAnsi="宋体" w:eastAsia="宋体" w:cs="宋体"/>
          <w:color w:val="000000" w:themeColor="text1"/>
          <w:sz w:val="24"/>
          <w:lang w:eastAsia="zh-CN"/>
          <w14:textFill>
            <w14:solidFill>
              <w14:schemeClr w14:val="tx1"/>
            </w14:solidFill>
          </w14:textFill>
        </w:rPr>
        <w:t>招标文件</w:t>
      </w:r>
      <w:r>
        <w:rPr>
          <w:rFonts w:hint="eastAsia" w:ascii="宋体" w:hAnsi="宋体" w:eastAsia="宋体" w:cs="宋体"/>
          <w:color w:val="000000" w:themeColor="text1"/>
          <w:sz w:val="24"/>
          <w:lang w:val="en-US"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采购文件</w:t>
      </w:r>
      <w:r>
        <w:rPr>
          <w:rFonts w:hint="eastAsia" w:ascii="宋体" w:hAnsi="宋体" w:eastAsia="宋体" w:cs="宋体"/>
          <w:color w:val="000000" w:themeColor="text1"/>
          <w:sz w:val="24"/>
          <w:lang w:val="en-US" w:eastAsia="zh-CN"/>
          <w14:textFill>
            <w14:solidFill>
              <w14:schemeClr w14:val="tx1"/>
            </w14:solidFill>
          </w14:textFill>
        </w:rPr>
        <w:t>/采购需求</w:t>
      </w:r>
      <w:r>
        <w:rPr>
          <w:rFonts w:hint="eastAsia" w:ascii="宋体" w:hAnsi="宋体" w:eastAsia="宋体" w:cs="宋体"/>
          <w:color w:val="000000" w:themeColor="text1"/>
          <w:sz w:val="24"/>
          <w14:textFill>
            <w14:solidFill>
              <w14:schemeClr w14:val="tx1"/>
            </w14:solidFill>
          </w14:textFill>
        </w:rPr>
        <w:t>；其他与本合同有关的资料。</w:t>
      </w:r>
    </w:p>
    <w:p w14:paraId="5838E19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14.</w:t>
      </w:r>
      <w:r>
        <w:rPr>
          <w:rFonts w:hint="eastAsia" w:ascii="宋体" w:hAnsi="宋体" w:eastAsia="宋体" w:cs="宋体"/>
          <w:color w:val="000000" w:themeColor="text1"/>
          <w:sz w:val="24"/>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 xml:space="preserve"> 本合同一式</w:t>
      </w:r>
      <w:r>
        <w:rPr>
          <w:rFonts w:hint="eastAsia" w:ascii="宋体" w:hAnsi="宋体" w:eastAsia="宋体" w:cs="宋体"/>
          <w:color w:val="000000" w:themeColor="text1"/>
          <w:sz w:val="24"/>
          <w:lang w:val="en-US" w:eastAsia="zh-CN"/>
          <w14:textFill>
            <w14:solidFill>
              <w14:schemeClr w14:val="tx1"/>
            </w14:solidFill>
          </w14:textFill>
        </w:rPr>
        <w:t>伍</w:t>
      </w:r>
      <w:r>
        <w:rPr>
          <w:rFonts w:hint="eastAsia" w:ascii="宋体" w:hAnsi="宋体" w:eastAsia="宋体" w:cs="宋体"/>
          <w:color w:val="000000" w:themeColor="text1"/>
          <w:sz w:val="24"/>
          <w14:textFill>
            <w14:solidFill>
              <w14:schemeClr w14:val="tx1"/>
            </w14:solidFill>
          </w14:textFill>
        </w:rPr>
        <w:t>份，甲方执肆份、乙方执壹份，自双方签字并盖章后生效。</w:t>
      </w:r>
    </w:p>
    <w:p w14:paraId="1117EF11">
      <w:pPr>
        <w:keepNext w:val="0"/>
        <w:keepLines w:val="0"/>
        <w:pageBreakBefore w:val="0"/>
        <w:widowControl w:val="0"/>
        <w:kinsoku/>
        <w:wordWrap/>
        <w:overflowPunct/>
        <w:topLinePunct w:val="0"/>
        <w:bidi w:val="0"/>
        <w:snapToGrid/>
        <w:spacing w:line="440" w:lineRule="exact"/>
        <w:ind w:firstLine="480" w:firstLineChars="200"/>
        <w:textAlignment w:val="auto"/>
        <w:rPr>
          <w:rFonts w:ascii="宋体" w:hAnsi="宋体" w:eastAsia="宋体" w:cs="宋体"/>
          <w:color w:val="000000" w:themeColor="text1"/>
          <w:sz w:val="24"/>
          <w14:textFill>
            <w14:solidFill>
              <w14:schemeClr w14:val="tx1"/>
            </w14:solidFill>
          </w14:textFill>
        </w:rPr>
      </w:pPr>
    </w:p>
    <w:p w14:paraId="14FDADB0">
      <w:pPr>
        <w:keepNext w:val="0"/>
        <w:keepLines w:val="0"/>
        <w:pageBreakBefore w:val="0"/>
        <w:widowControl w:val="0"/>
        <w:kinsoku/>
        <w:wordWrap/>
        <w:overflowPunct/>
        <w:topLinePunct w:val="0"/>
        <w:bidi w:val="0"/>
        <w:snapToGrid/>
        <w:spacing w:line="520" w:lineRule="exact"/>
        <w:ind w:firstLine="0" w:firstLineChars="0"/>
        <w:textAlignment w:val="auto"/>
        <w:rPr>
          <w:rFonts w:hint="eastAsia" w:eastAsia="宋体"/>
          <w:color w:val="000000" w:themeColor="text1"/>
          <w:sz w:val="24"/>
          <w:lang w:val="en-US" w:eastAsia="zh-CN"/>
          <w14:textFill>
            <w14:solidFill>
              <w14:schemeClr w14:val="tx1"/>
            </w14:solidFill>
          </w14:textFill>
        </w:rPr>
      </w:pPr>
      <w:r>
        <w:rPr>
          <w:rFonts w:ascii="宋体" w:hAnsi="宋体" w:eastAsia="宋体" w:cs="宋体"/>
          <w:color w:val="000000" w:themeColor="text1"/>
          <w:sz w:val="24"/>
          <w14:textFill>
            <w14:solidFill>
              <w14:schemeClr w14:val="tx1"/>
            </w14:solidFill>
          </w14:textFill>
        </w:rPr>
        <w:t>甲方（盖章）：</w:t>
      </w:r>
      <w:r>
        <w:rPr>
          <w:rFonts w:hint="eastAsia" w:ascii="宋体" w:hAnsi="宋体" w:eastAsia="宋体" w:cs="宋体"/>
          <w:color w:val="000000" w:themeColor="text1"/>
          <w:sz w:val="24"/>
          <w14:textFill>
            <w14:solidFill>
              <w14:schemeClr w14:val="tx1"/>
            </w14:solidFill>
          </w14:textFill>
        </w:rPr>
        <w:t>娄底市中心医院</w:t>
      </w:r>
      <w:r>
        <w:rPr>
          <w:rFonts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 xml:space="preserve"> 乙方（盖章）</w:t>
      </w:r>
      <w:r>
        <w:rPr>
          <w:rFonts w:hint="eastAsia" w:ascii="宋体" w:hAnsi="宋体" w:eastAsia="宋体" w:cs="宋体"/>
          <w:color w:val="000000" w:themeColor="text1"/>
          <w:sz w:val="24"/>
          <w14:textFill>
            <w14:solidFill>
              <w14:schemeClr w14:val="tx1"/>
            </w14:solidFill>
          </w14:textFill>
        </w:rPr>
        <w:t>：</w:t>
      </w:r>
      <w:r>
        <w:rPr>
          <w:rFonts w:hint="eastAsia" w:eastAsia="宋体"/>
          <w:color w:val="000000" w:themeColor="text1"/>
          <w:sz w:val="24"/>
          <w:lang w:val="en-US" w:eastAsia="zh-CN"/>
          <w14:textFill>
            <w14:solidFill>
              <w14:schemeClr w14:val="tx1"/>
            </w14:solidFill>
          </w14:textFill>
        </w:rPr>
        <w:t xml:space="preserve">  </w:t>
      </w:r>
    </w:p>
    <w:p w14:paraId="58D1AA43">
      <w:pPr>
        <w:pStyle w:val="12"/>
        <w:keepNext w:val="0"/>
        <w:keepLines w:val="0"/>
        <w:pageBreakBefore w:val="0"/>
        <w:widowControl w:val="0"/>
        <w:kinsoku/>
        <w:wordWrap/>
        <w:overflowPunct/>
        <w:topLinePunct w:val="0"/>
        <w:bidi w:val="0"/>
        <w:snapToGrid/>
        <w:spacing w:line="520" w:lineRule="exact"/>
        <w:ind w:firstLine="0" w:firstLineChars="0"/>
        <w:textAlignment w:val="auto"/>
        <w:rPr>
          <w:rFonts w:hint="eastAsia" w:eastAsia="宋体"/>
          <w:color w:val="000000" w:themeColor="text1"/>
          <w:sz w:val="24"/>
          <w:lang w:val="en-US" w:eastAsia="zh-CN"/>
          <w14:textFill>
            <w14:solidFill>
              <w14:schemeClr w14:val="tx1"/>
            </w14:solidFill>
          </w14:textFill>
        </w:rPr>
      </w:pPr>
    </w:p>
    <w:p w14:paraId="203F3F8E">
      <w:pPr>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 xml:space="preserve">法定代表人（签字）：        </w:t>
      </w:r>
      <w:r>
        <w:rPr>
          <w:rFonts w:hint="eastAsia" w:ascii="宋体" w:hAnsi="宋体" w:eastAsia="宋体" w:cs="宋体"/>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 xml:space="preserve">法定代表人（签字）：  </w:t>
      </w:r>
    </w:p>
    <w:p w14:paraId="5147420F">
      <w:pPr>
        <w:pStyle w:val="12"/>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p>
    <w:p w14:paraId="094475EA">
      <w:pPr>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或</w:t>
      </w:r>
      <w:r>
        <w:rPr>
          <w:rFonts w:ascii="宋体" w:hAnsi="宋体" w:eastAsia="宋体" w:cs="宋体"/>
          <w:color w:val="000000" w:themeColor="text1"/>
          <w:sz w:val="24"/>
          <w14:textFill>
            <w14:solidFill>
              <w14:schemeClr w14:val="tx1"/>
            </w14:solidFill>
          </w14:textFill>
        </w:rPr>
        <w:t xml:space="preserve">委托代理人（签字）：        </w:t>
      </w:r>
      <w:r>
        <w:rPr>
          <w:rFonts w:hint="eastAsia" w:ascii="宋体" w:hAnsi="宋体" w:eastAsia="宋体" w:cs="宋体"/>
          <w:color w:val="000000" w:themeColor="text1"/>
          <w:sz w:val="24"/>
          <w14:textFill>
            <w14:solidFill>
              <w14:schemeClr w14:val="tx1"/>
            </w14:solidFill>
          </w14:textFill>
        </w:rPr>
        <w:t xml:space="preserve">      或</w:t>
      </w:r>
      <w:r>
        <w:rPr>
          <w:rFonts w:ascii="宋体" w:hAnsi="宋体" w:eastAsia="宋体" w:cs="宋体"/>
          <w:color w:val="000000" w:themeColor="text1"/>
          <w:sz w:val="24"/>
          <w14:textFill>
            <w14:solidFill>
              <w14:schemeClr w14:val="tx1"/>
            </w14:solidFill>
          </w14:textFill>
        </w:rPr>
        <w:t>委托代理人（签字）：</w:t>
      </w:r>
    </w:p>
    <w:p w14:paraId="64FD3950">
      <w:pPr>
        <w:pStyle w:val="12"/>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p>
    <w:p w14:paraId="2F5EEFF6">
      <w:pPr>
        <w:keepNext w:val="0"/>
        <w:keepLines w:val="0"/>
        <w:pageBreakBefore w:val="0"/>
        <w:widowControl w:val="0"/>
        <w:kinsoku/>
        <w:wordWrap/>
        <w:overflowPunct/>
        <w:topLinePunct w:val="0"/>
        <w:bidi w:val="0"/>
        <w:snapToGrid/>
        <w:spacing w:line="520" w:lineRule="exact"/>
        <w:ind w:firstLine="0" w:firstLineChars="0"/>
        <w:textAlignment w:val="auto"/>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合同签订地</w:t>
      </w:r>
      <w:r>
        <w:rPr>
          <w:rFonts w:hint="eastAsia" w:ascii="宋体" w:hAnsi="宋体" w:eastAsia="宋体" w:cs="宋体"/>
          <w:color w:val="000000" w:themeColor="text1"/>
          <w:sz w:val="24"/>
          <w14:textFill>
            <w14:solidFill>
              <w14:schemeClr w14:val="tx1"/>
            </w14:solidFill>
          </w14:textFill>
        </w:rPr>
        <w:t>履行地</w:t>
      </w:r>
      <w:r>
        <w:rPr>
          <w:rFonts w:ascii="宋体" w:hAnsi="宋体" w:eastAsia="宋体" w:cs="宋体"/>
          <w:color w:val="000000" w:themeColor="text1"/>
          <w:sz w:val="24"/>
          <w14:textFill>
            <w14:solidFill>
              <w14:schemeClr w14:val="tx1"/>
            </w14:solidFill>
          </w14:textFill>
        </w:rPr>
        <w:t xml:space="preserve">：娄底市娄星区 </w:t>
      </w:r>
      <w:r>
        <w:rPr>
          <w:rFonts w:hint="eastAsia" w:ascii="宋体" w:hAnsi="宋体" w:eastAsia="宋体" w:cs="宋体"/>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签订时间：</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年</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月</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日</w:t>
      </w:r>
    </w:p>
    <w:p w14:paraId="590B4F85">
      <w:pPr>
        <w:rPr>
          <w:rFonts w:hint="eastAsia" w:eastAsia="宋体"/>
          <w:lang w:eastAsia="zh-CN"/>
        </w:rPr>
      </w:pPr>
    </w:p>
    <w:p w14:paraId="13CB7BA2">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011010E4">
      <w:pPr>
        <w:jc w:val="center"/>
        <w:rPr>
          <w:rFonts w:hint="eastAsia" w:ascii="宋体" w:hAnsi="宋体" w:cs="宋体"/>
          <w:b/>
          <w:color w:val="auto"/>
          <w:sz w:val="28"/>
          <w:szCs w:val="28"/>
        </w:rPr>
      </w:pPr>
      <w:r>
        <w:rPr>
          <w:rFonts w:hint="eastAsia"/>
          <w:b/>
          <w:color w:val="auto"/>
          <w:sz w:val="24"/>
          <w:lang w:eastAsia="zh-CN"/>
        </w:rPr>
        <w:t>注：此项内容需包含投标商品名称、数量、品牌、型号、单价、总价、等信息</w:t>
      </w:r>
    </w:p>
    <w:p w14:paraId="79160DB8">
      <w:pPr>
        <w:adjustRightInd w:val="0"/>
        <w:snapToGrid w:val="0"/>
        <w:spacing w:line="360" w:lineRule="auto"/>
        <w:jc w:val="center"/>
        <w:rPr>
          <w:rFonts w:hint="eastAsia" w:ascii="宋体" w:hAnsi="宋体" w:cs="宋体"/>
          <w:b/>
          <w:color w:val="auto"/>
          <w:sz w:val="28"/>
          <w:szCs w:val="28"/>
        </w:rPr>
      </w:pPr>
    </w:p>
    <w:p w14:paraId="0BE5A1F4">
      <w:pPr>
        <w:adjustRightInd w:val="0"/>
        <w:snapToGrid w:val="0"/>
        <w:spacing w:line="360" w:lineRule="auto"/>
        <w:jc w:val="center"/>
        <w:rPr>
          <w:rFonts w:hint="eastAsia" w:ascii="宋体" w:hAnsi="宋体" w:cs="宋体"/>
          <w:b/>
          <w:color w:val="auto"/>
          <w:sz w:val="28"/>
          <w:szCs w:val="28"/>
        </w:rPr>
      </w:pPr>
    </w:p>
    <w:p w14:paraId="6879CD5C">
      <w:pPr>
        <w:adjustRightInd w:val="0"/>
        <w:snapToGrid w:val="0"/>
        <w:spacing w:line="360" w:lineRule="auto"/>
        <w:jc w:val="center"/>
        <w:rPr>
          <w:rFonts w:hint="eastAsia" w:ascii="宋体" w:hAnsi="宋体" w:cs="宋体"/>
          <w:b/>
          <w:color w:val="auto"/>
          <w:sz w:val="28"/>
          <w:szCs w:val="28"/>
        </w:rPr>
      </w:pPr>
    </w:p>
    <w:p w14:paraId="0E1A3DC9">
      <w:pPr>
        <w:adjustRightInd w:val="0"/>
        <w:snapToGrid w:val="0"/>
        <w:spacing w:line="360" w:lineRule="auto"/>
        <w:jc w:val="center"/>
        <w:rPr>
          <w:rFonts w:hint="eastAsia" w:ascii="宋体" w:hAnsi="宋体" w:cs="宋体"/>
          <w:b/>
          <w:color w:val="auto"/>
          <w:sz w:val="28"/>
          <w:szCs w:val="28"/>
        </w:rPr>
      </w:pPr>
    </w:p>
    <w:p w14:paraId="44CED749">
      <w:pPr>
        <w:adjustRightInd w:val="0"/>
        <w:snapToGrid w:val="0"/>
        <w:spacing w:line="360" w:lineRule="auto"/>
        <w:jc w:val="center"/>
        <w:rPr>
          <w:rFonts w:hint="eastAsia" w:ascii="宋体" w:hAnsi="宋体" w:cs="宋体"/>
          <w:b/>
          <w:color w:val="auto"/>
          <w:sz w:val="28"/>
          <w:szCs w:val="28"/>
        </w:rPr>
      </w:pPr>
    </w:p>
    <w:p w14:paraId="3396CEE6">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9"/>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3"/>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3"/>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417F85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272F242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43CAB480">
      <w:pPr>
        <w:pStyle w:val="19"/>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3"/>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20"/>
        <w:rPr>
          <w:color w:val="auto"/>
        </w:rPr>
      </w:pPr>
    </w:p>
    <w:p w14:paraId="43E00E01">
      <w:pPr>
        <w:pStyle w:val="19"/>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华文宋体">
    <w:panose1 w:val="02010600040101010101"/>
    <w:charset w:val="86"/>
    <w:family w:val="auto"/>
    <w:pitch w:val="default"/>
    <w:sig w:usb0="00000287" w:usb1="080F0000" w:usb2="00000000" w:usb3="00000000" w:csb0="0004009F" w:csb1="DFD7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9"/>
      <w:rPr>
        <w:rFonts w:hint="eastAsia" w:ascii="方正仿宋_GB2312" w:eastAsia="方正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9"/>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方正仿宋_GB2312" w:eastAsia="方正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9"/>
      <w:rPr>
        <w:rFonts w:hint="eastAsia" w:ascii="方正仿宋_GB2312" w:eastAsia="方正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9"/>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9"/>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方正仿宋_GB2312" w:eastAsia="方正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10"/>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32B0CE48"/>
    <w:multiLevelType w:val="singleLevel"/>
    <w:tmpl w:val="32B0CE48"/>
    <w:lvl w:ilvl="0" w:tentative="0">
      <w:start w:val="1"/>
      <w:numFmt w:val="decimal"/>
      <w:suff w:val="space"/>
      <w:lvlText w:val="%1."/>
      <w:lvlJc w:val="left"/>
      <w:rPr>
        <w:rFonts w:hint="default" w:ascii="Times New Roman" w:hAnsi="Times New Roman" w:cs="Times New Roman"/>
        <w:b/>
        <w:bCs/>
        <w:sz w:val="21"/>
        <w:szCs w:val="21"/>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2390242"/>
    <w:rsid w:val="03943AE1"/>
    <w:rsid w:val="03E43FAE"/>
    <w:rsid w:val="04653F41"/>
    <w:rsid w:val="04B72FC8"/>
    <w:rsid w:val="04F57A38"/>
    <w:rsid w:val="06934BAA"/>
    <w:rsid w:val="06E91EC4"/>
    <w:rsid w:val="086F75C9"/>
    <w:rsid w:val="09C0303A"/>
    <w:rsid w:val="0A3F4F3C"/>
    <w:rsid w:val="0B3EF958"/>
    <w:rsid w:val="0CA247DD"/>
    <w:rsid w:val="0E331420"/>
    <w:rsid w:val="0EDD1643"/>
    <w:rsid w:val="0FB47E4C"/>
    <w:rsid w:val="0FB86C6D"/>
    <w:rsid w:val="0FB9029C"/>
    <w:rsid w:val="10897B23"/>
    <w:rsid w:val="10914EF9"/>
    <w:rsid w:val="10B8663C"/>
    <w:rsid w:val="12080B62"/>
    <w:rsid w:val="12994AC5"/>
    <w:rsid w:val="129F447F"/>
    <w:rsid w:val="12C86253"/>
    <w:rsid w:val="15060AC8"/>
    <w:rsid w:val="15675A4C"/>
    <w:rsid w:val="17F91BB8"/>
    <w:rsid w:val="1AF56B46"/>
    <w:rsid w:val="1BD8B5CD"/>
    <w:rsid w:val="1DD7486D"/>
    <w:rsid w:val="1E79119D"/>
    <w:rsid w:val="1F334F58"/>
    <w:rsid w:val="1F796B24"/>
    <w:rsid w:val="1F7D8E9C"/>
    <w:rsid w:val="1F7F353B"/>
    <w:rsid w:val="1FE73549"/>
    <w:rsid w:val="1FEB1D55"/>
    <w:rsid w:val="1FFF5D63"/>
    <w:rsid w:val="2038045E"/>
    <w:rsid w:val="20AF0900"/>
    <w:rsid w:val="20B41DA7"/>
    <w:rsid w:val="21C61C7A"/>
    <w:rsid w:val="24881A32"/>
    <w:rsid w:val="272B6E6C"/>
    <w:rsid w:val="27CF2BB7"/>
    <w:rsid w:val="28E81B29"/>
    <w:rsid w:val="28FD390A"/>
    <w:rsid w:val="29B45A41"/>
    <w:rsid w:val="2A174DA9"/>
    <w:rsid w:val="2AB010A8"/>
    <w:rsid w:val="2AC66F99"/>
    <w:rsid w:val="2C0A2E19"/>
    <w:rsid w:val="2C7642D0"/>
    <w:rsid w:val="2DD77C64"/>
    <w:rsid w:val="2DDA1E78"/>
    <w:rsid w:val="2DE00B8C"/>
    <w:rsid w:val="2EAC037F"/>
    <w:rsid w:val="2EB67A5C"/>
    <w:rsid w:val="2F1D4B15"/>
    <w:rsid w:val="302741D2"/>
    <w:rsid w:val="308B184D"/>
    <w:rsid w:val="309C1E01"/>
    <w:rsid w:val="30BB11DD"/>
    <w:rsid w:val="31F17CD1"/>
    <w:rsid w:val="32E941A9"/>
    <w:rsid w:val="33330659"/>
    <w:rsid w:val="33384C93"/>
    <w:rsid w:val="340F06E9"/>
    <w:rsid w:val="3564DC9E"/>
    <w:rsid w:val="36E47928"/>
    <w:rsid w:val="372F7378"/>
    <w:rsid w:val="397348CD"/>
    <w:rsid w:val="3A994AB7"/>
    <w:rsid w:val="3B3B544D"/>
    <w:rsid w:val="3B654F2B"/>
    <w:rsid w:val="3BB72BAE"/>
    <w:rsid w:val="3BFC7D2B"/>
    <w:rsid w:val="3BFDED5B"/>
    <w:rsid w:val="3C7C799C"/>
    <w:rsid w:val="3C8A61A4"/>
    <w:rsid w:val="3D5E17FF"/>
    <w:rsid w:val="3DAF329E"/>
    <w:rsid w:val="3DDF65DD"/>
    <w:rsid w:val="3DFD1951"/>
    <w:rsid w:val="3DFF7085"/>
    <w:rsid w:val="3E1F0DA4"/>
    <w:rsid w:val="3E584E51"/>
    <w:rsid w:val="3E6DFF5D"/>
    <w:rsid w:val="3EBE1ADE"/>
    <w:rsid w:val="3EEB6045"/>
    <w:rsid w:val="3FFB35EB"/>
    <w:rsid w:val="403B4B34"/>
    <w:rsid w:val="4140452A"/>
    <w:rsid w:val="414D7889"/>
    <w:rsid w:val="41BB0BAE"/>
    <w:rsid w:val="429A4992"/>
    <w:rsid w:val="435B161D"/>
    <w:rsid w:val="43B25DAC"/>
    <w:rsid w:val="44771DFD"/>
    <w:rsid w:val="45D569C3"/>
    <w:rsid w:val="4A354E62"/>
    <w:rsid w:val="4AEE1A11"/>
    <w:rsid w:val="4B7F39F4"/>
    <w:rsid w:val="4BAE646F"/>
    <w:rsid w:val="4CAC1559"/>
    <w:rsid w:val="4D754257"/>
    <w:rsid w:val="4DCD6AB3"/>
    <w:rsid w:val="4FBBF41E"/>
    <w:rsid w:val="4FEAE078"/>
    <w:rsid w:val="50216DCD"/>
    <w:rsid w:val="50540C20"/>
    <w:rsid w:val="506258C6"/>
    <w:rsid w:val="51AC28BD"/>
    <w:rsid w:val="52183ACC"/>
    <w:rsid w:val="53B55872"/>
    <w:rsid w:val="54AD4386"/>
    <w:rsid w:val="581A7C72"/>
    <w:rsid w:val="583A4BD7"/>
    <w:rsid w:val="587C2104"/>
    <w:rsid w:val="59C74B1F"/>
    <w:rsid w:val="5D7DEF8F"/>
    <w:rsid w:val="5FF5377A"/>
    <w:rsid w:val="5FF87B1A"/>
    <w:rsid w:val="611B6B1B"/>
    <w:rsid w:val="616F1903"/>
    <w:rsid w:val="62C222C2"/>
    <w:rsid w:val="632D7C40"/>
    <w:rsid w:val="64133D6A"/>
    <w:rsid w:val="678E4F5D"/>
    <w:rsid w:val="67EF7C46"/>
    <w:rsid w:val="680E122C"/>
    <w:rsid w:val="6A4E1D63"/>
    <w:rsid w:val="6AAEC9BA"/>
    <w:rsid w:val="6BEB05B6"/>
    <w:rsid w:val="6DE375E4"/>
    <w:rsid w:val="6E8E5287"/>
    <w:rsid w:val="6EEFAA13"/>
    <w:rsid w:val="6FBE332C"/>
    <w:rsid w:val="71554367"/>
    <w:rsid w:val="71584067"/>
    <w:rsid w:val="735201FF"/>
    <w:rsid w:val="737B50A4"/>
    <w:rsid w:val="73F40E72"/>
    <w:rsid w:val="74566F5C"/>
    <w:rsid w:val="750117A8"/>
    <w:rsid w:val="755B2270"/>
    <w:rsid w:val="756D0455"/>
    <w:rsid w:val="75A9D64A"/>
    <w:rsid w:val="767B308C"/>
    <w:rsid w:val="76920D75"/>
    <w:rsid w:val="77423DFF"/>
    <w:rsid w:val="77FF9A21"/>
    <w:rsid w:val="783B5EA9"/>
    <w:rsid w:val="79EB699D"/>
    <w:rsid w:val="7AFA0D0D"/>
    <w:rsid w:val="7B0620DE"/>
    <w:rsid w:val="7BBF44BB"/>
    <w:rsid w:val="7BF15CE4"/>
    <w:rsid w:val="7C3A27E5"/>
    <w:rsid w:val="7D7DDB2B"/>
    <w:rsid w:val="7D7DE384"/>
    <w:rsid w:val="7D9727DD"/>
    <w:rsid w:val="7EB7CCC1"/>
    <w:rsid w:val="7EFB4F6E"/>
    <w:rsid w:val="7EFFE97F"/>
    <w:rsid w:val="7F1A5E95"/>
    <w:rsid w:val="7F395B1C"/>
    <w:rsid w:val="7FF732F4"/>
    <w:rsid w:val="7FFB0877"/>
    <w:rsid w:val="7FFC7260"/>
    <w:rsid w:val="AEEF08BF"/>
    <w:rsid w:val="B6731A39"/>
    <w:rsid w:val="B67CF350"/>
    <w:rsid w:val="B79FD79D"/>
    <w:rsid w:val="BB9D4226"/>
    <w:rsid w:val="BDF94BB8"/>
    <w:rsid w:val="C9B9B7E2"/>
    <w:rsid w:val="CF6FC6A9"/>
    <w:rsid w:val="CF6FDE4D"/>
    <w:rsid w:val="D7A51AD4"/>
    <w:rsid w:val="D7C71D86"/>
    <w:rsid w:val="DAFFE800"/>
    <w:rsid w:val="DB7FA50B"/>
    <w:rsid w:val="DBB7234C"/>
    <w:rsid w:val="DEE6BED4"/>
    <w:rsid w:val="DFCF8CDC"/>
    <w:rsid w:val="DFF9E878"/>
    <w:rsid w:val="EBE6D05A"/>
    <w:rsid w:val="EC77BDEB"/>
    <w:rsid w:val="EF1FB877"/>
    <w:rsid w:val="EF3F27D1"/>
    <w:rsid w:val="F3ABDAF2"/>
    <w:rsid w:val="F65EB4A3"/>
    <w:rsid w:val="F9FBFB7B"/>
    <w:rsid w:val="FCE75AC1"/>
    <w:rsid w:val="FDAFD04E"/>
    <w:rsid w:val="FFA568CB"/>
    <w:rsid w:val="FFBE060A"/>
    <w:rsid w:val="FFEED1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4">
    <w:name w:val="Normal Indent"/>
    <w:basedOn w:val="1"/>
    <w:next w:val="5"/>
    <w:qFormat/>
    <w:uiPriority w:val="0"/>
    <w:pPr>
      <w:widowControl/>
      <w:ind w:firstLine="420"/>
      <w:jc w:val="left"/>
    </w:pPr>
    <w:rPr>
      <w:kern w:val="0"/>
      <w:sz w:val="20"/>
      <w:szCs w:val="20"/>
    </w:rPr>
  </w:style>
  <w:style w:type="paragraph" w:customStyle="1" w:styleId="5">
    <w:name w:val="Default"/>
    <w:autoRedefine/>
    <w:qFormat/>
    <w:uiPriority w:val="0"/>
    <w:pPr>
      <w:widowControl w:val="0"/>
      <w:autoSpaceDE w:val="0"/>
      <w:autoSpaceDN w:val="0"/>
      <w:adjustRightInd w:val="0"/>
    </w:pPr>
    <w:rPr>
      <w:rFonts w:ascii="方正仿宋_GB2312" w:hAnsi="Times New Roman" w:eastAsia="方正仿宋_GB2312" w:cs="方正仿宋_GB2312"/>
      <w:color w:val="000000"/>
      <w:sz w:val="24"/>
      <w:szCs w:val="24"/>
      <w:lang w:val="en-US" w:eastAsia="zh-CN" w:bidi="ar-SA"/>
    </w:rPr>
  </w:style>
  <w:style w:type="paragraph" w:styleId="6">
    <w:name w:val="Body Text"/>
    <w:basedOn w:val="1"/>
    <w:next w:val="7"/>
    <w:qFormat/>
    <w:uiPriority w:val="0"/>
    <w:pPr>
      <w:spacing w:line="360" w:lineRule="auto"/>
    </w:pPr>
    <w:rPr>
      <w:sz w:val="24"/>
      <w:szCs w:val="20"/>
    </w:rPr>
  </w:style>
  <w:style w:type="paragraph" w:styleId="7">
    <w:name w:val="Date"/>
    <w:basedOn w:val="1"/>
    <w:next w:val="1"/>
    <w:qFormat/>
    <w:uiPriority w:val="0"/>
    <w:pPr>
      <w:ind w:left="100" w:leftChars="2500"/>
    </w:pPr>
    <w:rPr>
      <w:rFonts w:eastAsia="黑体"/>
      <w:b/>
      <w:spacing w:val="-2"/>
      <w:sz w:val="30"/>
    </w:rPr>
  </w:style>
  <w:style w:type="paragraph" w:styleId="8">
    <w:name w:val="Body Text Indent"/>
    <w:basedOn w:val="1"/>
    <w:autoRedefine/>
    <w:qFormat/>
    <w:uiPriority w:val="99"/>
    <w:pPr>
      <w:spacing w:line="400" w:lineRule="exact"/>
      <w:ind w:left="630"/>
    </w:pPr>
    <w:rPr>
      <w:rFonts w:ascii="楷体_GB2312"/>
      <w:sz w:val="30"/>
      <w:szCs w:val="30"/>
    </w:rPr>
  </w:style>
  <w:style w:type="paragraph" w:styleId="9">
    <w:name w:val="footer"/>
    <w:basedOn w:val="1"/>
    <w:autoRedefine/>
    <w:qFormat/>
    <w:uiPriority w:val="0"/>
    <w:pPr>
      <w:tabs>
        <w:tab w:val="center" w:pos="4153"/>
        <w:tab w:val="right" w:pos="8306"/>
      </w:tabs>
      <w:snapToGrid w:val="0"/>
      <w:jc w:val="left"/>
    </w:pPr>
    <w:rPr>
      <w:kern w:val="0"/>
      <w:sz w:val="18"/>
    </w:rPr>
  </w:style>
  <w:style w:type="paragraph" w:styleId="10">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autoRedefine/>
    <w:qFormat/>
    <w:uiPriority w:val="0"/>
    <w:rPr>
      <w:sz w:val="24"/>
    </w:rPr>
  </w:style>
  <w:style w:type="paragraph" w:styleId="12">
    <w:name w:val="Body Text First Indent 2"/>
    <w:basedOn w:val="8"/>
    <w:autoRedefine/>
    <w:qFormat/>
    <w:uiPriority w:val="0"/>
    <w:pPr>
      <w:overflowPunct w:val="0"/>
      <w:adjustRightInd w:val="0"/>
      <w:spacing w:line="500" w:lineRule="exact"/>
      <w:ind w:firstLine="420" w:firstLineChars="200"/>
      <w:textAlignment w:val="baseline"/>
    </w:pPr>
    <w:rPr>
      <w:rFonts w:eastAsia="方正仿宋_GB2312"/>
      <w:kern w:val="28"/>
      <w:sz w:val="28"/>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customStyle="1" w:styleId="17">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8">
    <w:name w:val="大标题"/>
    <w:basedOn w:val="1"/>
    <w:next w:val="12"/>
    <w:autoRedefine/>
    <w:qFormat/>
    <w:uiPriority w:val="0"/>
    <w:pPr>
      <w:jc w:val="center"/>
    </w:pPr>
    <w:rPr>
      <w:rFonts w:ascii="Arial" w:hAnsi="Arial" w:eastAsia="宋体"/>
      <w:b/>
      <w:sz w:val="28"/>
      <w:szCs w:val="24"/>
    </w:rPr>
  </w:style>
  <w:style w:type="paragraph" w:customStyle="1" w:styleId="19">
    <w:name w:val="列出段落1"/>
    <w:basedOn w:val="1"/>
    <w:autoRedefine/>
    <w:qFormat/>
    <w:uiPriority w:val="99"/>
    <w:pPr>
      <w:ind w:firstLine="420" w:firstLineChars="200"/>
    </w:pPr>
  </w:style>
  <w:style w:type="paragraph" w:customStyle="1" w:styleId="20">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21">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6471</Words>
  <Characters>6659</Characters>
  <Lines>0</Lines>
  <Paragraphs>0</Paragraphs>
  <TotalTime>7</TotalTime>
  <ScaleCrop>false</ScaleCrop>
  <LinksUpToDate>false</LinksUpToDate>
  <CharactersWithSpaces>7131</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2023-07-20T17:45:00Z</dcterms:created>
  <dc:creator>是小豹子</dc:creator>
  <cp:lastModifiedBy>沁sqr</cp:lastModifiedBy>
  <dcterms:modified xsi:type="dcterms:W3CDTF">2026-06-10T11:09:47Z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