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911C0">
      <w:pPr>
        <w:pStyle w:val="14"/>
        <w:adjustRightInd w:val="0"/>
        <w:snapToGrid w:val="0"/>
        <w:spacing w:line="360" w:lineRule="auto"/>
        <w:jc w:val="center"/>
        <w:rPr>
          <w:rFonts w:hint="eastAsia" w:ascii="仿宋" w:hAnsi="仿宋" w:eastAsia="仿宋" w:cs="仿宋"/>
          <w:b/>
          <w:color w:val="auto"/>
          <w:sz w:val="52"/>
          <w:szCs w:val="52"/>
          <w:lang w:val="en-US" w:eastAsia="zh-CN"/>
        </w:rPr>
      </w:pPr>
    </w:p>
    <w:p w14:paraId="558BDCD2">
      <w:pPr>
        <w:pStyle w:val="14"/>
        <w:adjustRightInd w:val="0"/>
        <w:snapToGrid w:val="0"/>
        <w:spacing w:line="360" w:lineRule="auto"/>
        <w:jc w:val="center"/>
        <w:rPr>
          <w:rFonts w:hint="eastAsia" w:ascii="仿宋" w:hAnsi="仿宋" w:eastAsia="仿宋" w:cs="仿宋"/>
          <w:b/>
          <w:color w:val="auto"/>
          <w:sz w:val="52"/>
          <w:szCs w:val="52"/>
          <w:lang w:val="en-US" w:eastAsia="zh-CN"/>
        </w:rPr>
      </w:pPr>
    </w:p>
    <w:p w14:paraId="6115D794">
      <w:pPr>
        <w:pStyle w:val="14"/>
        <w:adjustRightInd w:val="0"/>
        <w:snapToGrid w:val="0"/>
        <w:spacing w:line="360" w:lineRule="auto"/>
        <w:jc w:val="center"/>
        <w:rPr>
          <w:rFonts w:hint="eastAsia" w:ascii="仿宋" w:hAnsi="仿宋" w:eastAsia="仿宋" w:cs="仿宋"/>
          <w:b/>
          <w:color w:val="auto"/>
          <w:sz w:val="52"/>
          <w:szCs w:val="52"/>
          <w:lang w:val="en-US" w:eastAsia="zh-CN"/>
        </w:rPr>
      </w:pPr>
      <w:r>
        <w:rPr>
          <w:rFonts w:hint="eastAsia" w:ascii="仿宋" w:hAnsi="仿宋" w:eastAsia="仿宋" w:cs="仿宋"/>
          <w:b/>
          <w:color w:val="auto"/>
          <w:sz w:val="52"/>
          <w:szCs w:val="52"/>
          <w:lang w:val="en-US" w:eastAsia="zh-CN"/>
        </w:rPr>
        <w:t>广州医科大学附属第一医院娄底医院</w:t>
      </w:r>
    </w:p>
    <w:p w14:paraId="72217AE5">
      <w:pPr>
        <w:pStyle w:val="14"/>
        <w:adjustRightInd w:val="0"/>
        <w:snapToGrid w:val="0"/>
        <w:spacing w:line="360" w:lineRule="auto"/>
        <w:jc w:val="center"/>
        <w:rPr>
          <w:rFonts w:hint="eastAsia" w:ascii="仿宋" w:hAnsi="仿宋" w:eastAsia="仿宋" w:cs="仿宋"/>
          <w:b/>
          <w:color w:val="auto"/>
          <w:sz w:val="84"/>
          <w:szCs w:val="84"/>
          <w:lang w:val="en-US" w:eastAsia="zh-CN"/>
        </w:rPr>
      </w:pPr>
    </w:p>
    <w:p w14:paraId="144BEA95">
      <w:pPr>
        <w:pStyle w:val="14"/>
        <w:adjustRightInd w:val="0"/>
        <w:snapToGrid w:val="0"/>
        <w:spacing w:line="360" w:lineRule="auto"/>
        <w:jc w:val="center"/>
        <w:rPr>
          <w:rFonts w:hint="eastAsia" w:ascii="仿宋" w:hAnsi="仿宋" w:eastAsia="仿宋" w:cs="仿宋"/>
          <w:b/>
          <w:color w:val="auto"/>
          <w:sz w:val="32"/>
          <w:szCs w:val="32"/>
        </w:rPr>
      </w:pPr>
      <w:r>
        <w:rPr>
          <w:rFonts w:hint="eastAsia" w:ascii="仿宋" w:hAnsi="仿宋" w:eastAsia="仿宋" w:cs="仿宋"/>
          <w:b/>
          <w:color w:val="auto"/>
          <w:sz w:val="84"/>
          <w:szCs w:val="84"/>
          <w:lang w:val="en-US" w:eastAsia="zh-CN"/>
        </w:rPr>
        <w:t>招标</w:t>
      </w:r>
      <w:r>
        <w:rPr>
          <w:rFonts w:hint="eastAsia" w:ascii="仿宋" w:hAnsi="仿宋" w:eastAsia="仿宋" w:cs="仿宋"/>
          <w:b/>
          <w:color w:val="auto"/>
          <w:sz w:val="84"/>
          <w:szCs w:val="84"/>
        </w:rPr>
        <w:t>文件</w:t>
      </w:r>
    </w:p>
    <w:p w14:paraId="6D036C94">
      <w:pPr>
        <w:pStyle w:val="14"/>
        <w:adjustRightInd w:val="0"/>
        <w:snapToGrid w:val="0"/>
        <w:spacing w:before="156" w:beforeLines="50" w:line="360" w:lineRule="auto"/>
        <w:rPr>
          <w:rFonts w:hint="eastAsia" w:ascii="仿宋" w:hAnsi="仿宋" w:eastAsia="仿宋" w:cs="仿宋"/>
          <w:b/>
          <w:color w:val="auto"/>
          <w:sz w:val="32"/>
          <w:szCs w:val="32"/>
        </w:rPr>
      </w:pPr>
    </w:p>
    <w:p w14:paraId="195EC157">
      <w:pPr>
        <w:pStyle w:val="14"/>
        <w:adjustRightInd w:val="0"/>
        <w:snapToGrid w:val="0"/>
        <w:spacing w:line="360" w:lineRule="auto"/>
        <w:ind w:left="2878" w:leftChars="304" w:hanging="2240" w:hangingChars="700"/>
        <w:rPr>
          <w:rFonts w:hint="eastAsia" w:ascii="仿宋" w:hAnsi="仿宋" w:eastAsia="仿宋" w:cs="仿宋"/>
          <w:color w:val="auto"/>
          <w:sz w:val="32"/>
          <w:szCs w:val="32"/>
        </w:rPr>
      </w:pPr>
      <w:r>
        <w:rPr>
          <w:rFonts w:hint="eastAsia" w:ascii="仿宋" w:hAnsi="仿宋" w:eastAsia="仿宋" w:cs="仿宋"/>
          <w:color w:val="auto"/>
          <w:sz w:val="32"/>
          <w:szCs w:val="32"/>
        </w:rPr>
        <w:t>采购项目名称:</w:t>
      </w:r>
      <w:r>
        <w:rPr>
          <w:rFonts w:hint="eastAsia" w:ascii="仿宋" w:hAnsi="仿宋" w:eastAsia="仿宋" w:cs="仿宋"/>
          <w:color w:val="auto"/>
          <w:sz w:val="32"/>
          <w:szCs w:val="32"/>
          <w:lang w:val="en-US" w:eastAsia="zh-CN"/>
        </w:rPr>
        <w:t>广州医科大学附属第一医院娄底医院全院放射（辐射）</w:t>
      </w:r>
      <w:r>
        <w:rPr>
          <w:rFonts w:hint="eastAsia" w:ascii="仿宋" w:hAnsi="仿宋" w:eastAsia="仿宋" w:cs="仿宋"/>
          <w:color w:val="auto"/>
          <w:sz w:val="32"/>
          <w:szCs w:val="32"/>
        </w:rPr>
        <w:t>射线装置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场所及</w:t>
      </w:r>
      <w:r>
        <w:rPr>
          <w:rFonts w:hint="eastAsia" w:ascii="仿宋" w:hAnsi="仿宋" w:eastAsia="仿宋" w:cs="仿宋"/>
          <w:color w:val="auto"/>
          <w:sz w:val="32"/>
          <w:szCs w:val="32"/>
        </w:rPr>
        <w:t>核技术环评、验收、预评、控评服务</w:t>
      </w:r>
      <w:r>
        <w:rPr>
          <w:rFonts w:hint="eastAsia" w:ascii="仿宋" w:hAnsi="仿宋" w:eastAsia="仿宋" w:cs="仿宋"/>
          <w:color w:val="auto"/>
          <w:sz w:val="32"/>
          <w:szCs w:val="32"/>
          <w:lang w:val="en-US" w:eastAsia="zh-CN"/>
        </w:rPr>
        <w:t>及证件办理</w:t>
      </w:r>
      <w:r>
        <w:rPr>
          <w:rFonts w:hint="eastAsia" w:ascii="仿宋" w:hAnsi="仿宋" w:eastAsia="仿宋" w:cs="仿宋"/>
          <w:color w:val="auto"/>
          <w:sz w:val="32"/>
          <w:szCs w:val="32"/>
        </w:rPr>
        <w:t>项目</w:t>
      </w:r>
    </w:p>
    <w:p w14:paraId="5B6041DA">
      <w:pPr>
        <w:adjustRightInd w:val="0"/>
        <w:snapToGrid w:val="0"/>
        <w:spacing w:line="36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采购人:</w:t>
      </w:r>
      <w:r>
        <w:rPr>
          <w:rFonts w:hint="eastAsia" w:ascii="仿宋" w:hAnsi="仿宋" w:eastAsia="仿宋" w:cs="仿宋"/>
          <w:color w:val="auto"/>
          <w:sz w:val="32"/>
          <w:szCs w:val="32"/>
          <w:lang w:val="en-US" w:eastAsia="zh-CN"/>
        </w:rPr>
        <w:t>广州医科大学附属第一医院娄底医院</w:t>
      </w:r>
    </w:p>
    <w:p w14:paraId="7064B75F">
      <w:pPr>
        <w:jc w:val="center"/>
        <w:rPr>
          <w:rFonts w:hint="eastAsia" w:ascii="仿宋" w:hAnsi="仿宋" w:eastAsia="仿宋" w:cs="仿宋"/>
          <w:b/>
          <w:color w:val="auto"/>
          <w:sz w:val="32"/>
        </w:rPr>
      </w:pPr>
    </w:p>
    <w:p w14:paraId="7491EE7F">
      <w:pPr>
        <w:jc w:val="center"/>
        <w:rPr>
          <w:rFonts w:hint="eastAsia" w:ascii="仿宋" w:hAnsi="仿宋" w:eastAsia="仿宋" w:cs="仿宋"/>
          <w:b/>
          <w:color w:val="auto"/>
          <w:sz w:val="32"/>
        </w:rPr>
      </w:pPr>
    </w:p>
    <w:p w14:paraId="7CD10650">
      <w:pPr>
        <w:jc w:val="center"/>
        <w:rPr>
          <w:rFonts w:hint="eastAsia" w:ascii="仿宋" w:hAnsi="仿宋" w:eastAsia="仿宋" w:cs="仿宋"/>
          <w:b/>
          <w:color w:val="auto"/>
          <w:sz w:val="32"/>
        </w:rPr>
      </w:pPr>
    </w:p>
    <w:p w14:paraId="64F70532">
      <w:pPr>
        <w:jc w:val="center"/>
        <w:rPr>
          <w:rFonts w:hint="eastAsia" w:ascii="仿宋" w:hAnsi="仿宋" w:eastAsia="仿宋" w:cs="仿宋"/>
          <w:b/>
          <w:color w:val="auto"/>
          <w:sz w:val="32"/>
        </w:rPr>
      </w:pPr>
    </w:p>
    <w:p w14:paraId="3D5B3F3D">
      <w:pPr>
        <w:jc w:val="center"/>
        <w:rPr>
          <w:rFonts w:hint="eastAsia" w:ascii="仿宋" w:hAnsi="仿宋" w:eastAsia="仿宋" w:cs="仿宋"/>
          <w:b/>
          <w:color w:val="auto"/>
          <w:sz w:val="32"/>
        </w:rPr>
      </w:pPr>
    </w:p>
    <w:p w14:paraId="09B22BA7">
      <w:pPr>
        <w:jc w:val="center"/>
        <w:rPr>
          <w:rFonts w:hint="eastAsia" w:ascii="仿宋" w:hAnsi="仿宋" w:eastAsia="仿宋" w:cs="仿宋"/>
          <w:color w:val="auto"/>
          <w:spacing w:val="160"/>
          <w:sz w:val="36"/>
          <w:szCs w:val="36"/>
        </w:rPr>
        <w:sectPr>
          <w:pgSz w:w="11906" w:h="16838"/>
          <w:pgMar w:top="1440" w:right="1531" w:bottom="1440" w:left="1531"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仿宋" w:hAnsi="仿宋" w:eastAsia="仿宋" w:cs="仿宋"/>
          <w:b/>
          <w:color w:val="auto"/>
          <w:sz w:val="32"/>
        </w:rPr>
        <w:t>202</w:t>
      </w:r>
      <w:r>
        <w:rPr>
          <w:rFonts w:hint="eastAsia" w:ascii="仿宋" w:hAnsi="仿宋" w:eastAsia="仿宋" w:cs="仿宋"/>
          <w:b/>
          <w:color w:val="auto"/>
          <w:sz w:val="32"/>
          <w:lang w:val="en-US" w:eastAsia="zh-CN"/>
        </w:rPr>
        <w:t>6</w:t>
      </w:r>
      <w:r>
        <w:rPr>
          <w:rFonts w:hint="eastAsia" w:ascii="仿宋" w:hAnsi="仿宋" w:eastAsia="仿宋" w:cs="仿宋"/>
          <w:b/>
          <w:color w:val="auto"/>
          <w:sz w:val="32"/>
        </w:rPr>
        <w:t>年0</w:t>
      </w:r>
      <w:r>
        <w:rPr>
          <w:rFonts w:hint="eastAsia" w:ascii="仿宋" w:hAnsi="仿宋" w:eastAsia="仿宋" w:cs="仿宋"/>
          <w:b/>
          <w:color w:val="auto"/>
          <w:sz w:val="32"/>
          <w:lang w:val="en-US" w:eastAsia="zh-CN"/>
        </w:rPr>
        <w:t>6</w:t>
      </w:r>
      <w:r>
        <w:rPr>
          <w:rFonts w:hint="eastAsia" w:ascii="仿宋" w:hAnsi="仿宋" w:eastAsia="仿宋" w:cs="仿宋"/>
          <w:b/>
          <w:color w:val="auto"/>
          <w:sz w:val="32"/>
        </w:rPr>
        <w:t>月</w:t>
      </w:r>
    </w:p>
    <w:p w14:paraId="46E662AB">
      <w:pPr>
        <w:pStyle w:val="3"/>
        <w:numPr>
          <w:ilvl w:val="0"/>
          <w:numId w:val="0"/>
        </w:numPr>
        <w:spacing w:line="240" w:lineRule="auto"/>
        <w:jc w:val="center"/>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第一章投标邀请</w:t>
      </w:r>
    </w:p>
    <w:p w14:paraId="211D536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广州医科大学附属第一医院娄底医院对全院放射（辐射）射线装置、场所及核技术环评、验收、预评、控评服务及证件办理项目，进行挂网，公告如下：</w:t>
      </w:r>
    </w:p>
    <w:p w14:paraId="529A850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 w:hAnsi="仿宋" w:eastAsia="仿宋" w:cs="仿宋"/>
          <w:b/>
          <w:bCs w:val="0"/>
          <w:color w:val="auto"/>
          <w:sz w:val="28"/>
          <w:szCs w:val="28"/>
          <w:lang w:val="en-US" w:eastAsia="zh-CN"/>
        </w:rPr>
      </w:pPr>
      <w:r>
        <w:rPr>
          <w:rFonts w:hint="eastAsia" w:ascii="仿宋" w:hAnsi="仿宋" w:eastAsia="仿宋" w:cs="仿宋"/>
          <w:b/>
          <w:bCs w:val="0"/>
          <w:color w:val="auto"/>
          <w:sz w:val="28"/>
          <w:szCs w:val="28"/>
          <w:lang w:val="en-US" w:eastAsia="zh-CN"/>
        </w:rPr>
        <w:t>一、项目基本情况</w:t>
      </w:r>
    </w:p>
    <w:p w14:paraId="3D9A1D9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1、项目名称：广州医科大学附属第一医院娄底医院对全院放射（辐射）射线装置、场所及核技术环评、验收、预评、控评服务及证件办理项目</w:t>
      </w:r>
    </w:p>
    <w:p w14:paraId="2CB2B99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2、采购内容：预评价、控制效果评价及放射诊疗许可证办理；环境影响评价、环保竣工验收及辐射安全许可证办理。</w:t>
      </w:r>
    </w:p>
    <w:p w14:paraId="712059C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3、标段划分：本项目不分标段，投标人须对本项目所有采购内容进行投标。</w:t>
      </w:r>
    </w:p>
    <w:p w14:paraId="6579C51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4、预算金额：780000元，投标报价不得超过本预算，否则按无效投标处理。</w:t>
      </w:r>
    </w:p>
    <w:p w14:paraId="48A7A02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5、服务期限：自合同签订之日起至完成采购需求要求的所有工作并取得全部许可证书止</w:t>
      </w:r>
    </w:p>
    <w:p w14:paraId="5CBCE15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6、采购方式：娄底市中心医院官网公开挂网，院内公开招标，由招标人内部评标。</w:t>
      </w:r>
    </w:p>
    <w:p w14:paraId="3BFCB29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 w:hAnsi="仿宋" w:eastAsia="仿宋" w:cs="仿宋"/>
          <w:b/>
          <w:bCs w:val="0"/>
          <w:color w:val="auto"/>
          <w:sz w:val="28"/>
          <w:szCs w:val="28"/>
          <w:lang w:val="en-US" w:eastAsia="zh-CN"/>
        </w:rPr>
      </w:pPr>
      <w:r>
        <w:rPr>
          <w:rFonts w:hint="eastAsia" w:ascii="仿宋" w:hAnsi="仿宋" w:eastAsia="仿宋" w:cs="仿宋"/>
          <w:b/>
          <w:bCs w:val="0"/>
          <w:color w:val="auto"/>
          <w:sz w:val="28"/>
          <w:szCs w:val="28"/>
          <w:lang w:val="en-US" w:eastAsia="zh-CN"/>
        </w:rPr>
        <w:t>二、评标办法：</w:t>
      </w:r>
    </w:p>
    <w:p w14:paraId="00939F5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本项目采用综合评估法。根据投标人的资格性文件、商务标文件，重点参照投标人企业资质、信誉、类似项目情况、技术方案、服务方案以及投标报价，按照招标文件规定的评分标准综合评定，综合得分由高到低排序，确定1名中标人。</w:t>
      </w:r>
    </w:p>
    <w:p w14:paraId="6274270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 w:hAnsi="仿宋" w:eastAsia="仿宋" w:cs="仿宋"/>
          <w:b/>
          <w:bCs/>
          <w:i w:val="0"/>
          <w:iCs w:val="0"/>
          <w:caps w:val="0"/>
          <w:color w:val="auto"/>
          <w:spacing w:val="0"/>
          <w:sz w:val="28"/>
          <w:szCs w:val="28"/>
          <w:shd w:val="clear" w:fill="FFFFFF"/>
          <w:lang w:val="en-US" w:eastAsia="zh-CN"/>
        </w:rPr>
      </w:pPr>
      <w:r>
        <w:rPr>
          <w:rFonts w:hint="eastAsia" w:ascii="仿宋" w:hAnsi="仿宋" w:eastAsia="仿宋" w:cs="仿宋"/>
          <w:b/>
          <w:bCs/>
          <w:i w:val="0"/>
          <w:iCs w:val="0"/>
          <w:caps w:val="0"/>
          <w:color w:val="auto"/>
          <w:spacing w:val="0"/>
          <w:sz w:val="28"/>
          <w:szCs w:val="28"/>
          <w:shd w:val="clear" w:fill="FFFFFF"/>
          <w:lang w:val="en-US" w:eastAsia="zh-CN"/>
        </w:rPr>
        <w:t>三、投标人资格要求</w:t>
      </w:r>
    </w:p>
    <w:p w14:paraId="550C28F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1、基本资格条件：</w:t>
      </w:r>
    </w:p>
    <w:p w14:paraId="28A57598">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（1）具有独立承担民事责任的能力；</w:t>
      </w:r>
    </w:p>
    <w:p w14:paraId="6A3312D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（2）具有良好的商业信誉和健全的财务会计制度；</w:t>
      </w:r>
    </w:p>
    <w:p w14:paraId="6C0569E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（3）具有履行合同所必需的设备和专业技术能力；</w:t>
      </w:r>
    </w:p>
    <w:p w14:paraId="0287A95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（4）有依法缴纳税收和社会保障资金的良好记录；</w:t>
      </w:r>
    </w:p>
    <w:p w14:paraId="14DC50C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（5）参加采购活动前三年内，在经营活动中没有重大违法记录；</w:t>
      </w:r>
    </w:p>
    <w:p w14:paraId="2EFB82B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（6）法律、行政法规规定的其他条件。</w:t>
      </w:r>
    </w:p>
    <w:p w14:paraId="2F49D93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2、本项目的特定资格要求：</w:t>
      </w:r>
    </w:p>
    <w:p w14:paraId="41AD36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eastAsia" w:ascii="仿宋" w:hAnsi="仿宋" w:eastAsia="仿宋" w:cs="仿宋"/>
          <w:i w:val="0"/>
          <w:iCs w:val="0"/>
          <w:caps w:val="0"/>
          <w:color w:val="auto"/>
          <w:spacing w:val="0"/>
          <w:kern w:val="0"/>
          <w:sz w:val="28"/>
          <w:szCs w:val="28"/>
          <w:shd w:val="clear" w:fill="FFFFFF"/>
          <w:lang w:val="en-US" w:eastAsia="zh-CN" w:bidi="ar-SA"/>
        </w:rPr>
      </w:pPr>
      <w:r>
        <w:rPr>
          <w:rFonts w:hint="eastAsia" w:ascii="仿宋" w:hAnsi="仿宋" w:eastAsia="仿宋" w:cs="仿宋"/>
          <w:i w:val="0"/>
          <w:iCs w:val="0"/>
          <w:caps w:val="0"/>
          <w:color w:val="auto"/>
          <w:spacing w:val="0"/>
          <w:kern w:val="0"/>
          <w:sz w:val="28"/>
          <w:szCs w:val="28"/>
          <w:shd w:val="clear" w:fill="FFFFFF"/>
          <w:lang w:val="en-US" w:eastAsia="zh-CN" w:bidi="ar-SA"/>
        </w:rPr>
        <w:t>（1）须具有省级以上卫生部门批准（备案）的《放射卫生技术服务机构资质证书》，放射诊疗建设项目职业病危害放射防护评价（甲级）资质；</w:t>
      </w:r>
    </w:p>
    <w:p w14:paraId="6744321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kern w:val="0"/>
          <w:sz w:val="28"/>
          <w:szCs w:val="28"/>
          <w:shd w:val="clear" w:fill="FFFFFF"/>
          <w:lang w:val="en-US" w:eastAsia="zh-CN" w:bidi="ar-SA"/>
        </w:rPr>
      </w:pPr>
      <w:r>
        <w:rPr>
          <w:rFonts w:hint="eastAsia" w:ascii="仿宋" w:hAnsi="仿宋" w:eastAsia="仿宋" w:cs="仿宋"/>
          <w:i w:val="0"/>
          <w:iCs w:val="0"/>
          <w:caps w:val="0"/>
          <w:color w:val="auto"/>
          <w:spacing w:val="0"/>
          <w:kern w:val="0"/>
          <w:sz w:val="28"/>
          <w:szCs w:val="28"/>
          <w:shd w:val="clear" w:fill="FFFFFF"/>
          <w:lang w:val="en-US" w:eastAsia="zh-CN" w:bidi="ar-SA"/>
        </w:rPr>
        <w:t>（2）供应商为环境影响评价信用平台（http：//114.251.10.92：8080/XYPT/）登记备案的企业；</w:t>
      </w:r>
    </w:p>
    <w:p w14:paraId="31E80E6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kern w:val="0"/>
          <w:sz w:val="28"/>
          <w:szCs w:val="28"/>
          <w:shd w:val="clear" w:fill="FFFFFF"/>
          <w:lang w:val="en-US" w:eastAsia="zh-CN" w:bidi="ar-SA"/>
        </w:rPr>
      </w:pPr>
      <w:r>
        <w:rPr>
          <w:rFonts w:hint="eastAsia" w:ascii="仿宋" w:hAnsi="仿宋" w:eastAsia="仿宋" w:cs="仿宋"/>
          <w:i w:val="0"/>
          <w:iCs w:val="0"/>
          <w:caps w:val="0"/>
          <w:color w:val="auto"/>
          <w:spacing w:val="0"/>
          <w:kern w:val="0"/>
          <w:sz w:val="28"/>
          <w:szCs w:val="28"/>
          <w:shd w:val="clear" w:fill="FFFFFF"/>
          <w:lang w:val="en-US" w:eastAsia="zh-CN" w:bidi="ar-SA"/>
        </w:rPr>
        <w:t>（3）供应商具有《检验检测机构资质认定证书》（CMA），具备放射诊疗工作场所辐射环境监测能力。</w:t>
      </w:r>
    </w:p>
    <w:p w14:paraId="4B06B43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3、单位负责人为同一人或者存在直接控股、管理关系的不同供应商，不得参加同一合同项下的采购活动。</w:t>
      </w:r>
    </w:p>
    <w:p w14:paraId="54F83E8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4、为本采购项目提供整体设计、规范编制或者项目管理、监理、检测等服务的，不得再参加此项目的其他采购活动。</w:t>
      </w:r>
    </w:p>
    <w:p w14:paraId="2BAF6793">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5、列入失信被执行人、税收违法黑名单、政府采购严重违法失信行为记录名单的，拒绝其参与采购活动。</w:t>
      </w:r>
    </w:p>
    <w:p w14:paraId="4F4403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56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i w:val="0"/>
          <w:iCs w:val="0"/>
          <w:caps w:val="0"/>
          <w:color w:val="auto"/>
          <w:spacing w:val="0"/>
          <w:sz w:val="28"/>
          <w:szCs w:val="28"/>
          <w:shd w:val="clear" w:fill="FFFFFF"/>
          <w:lang w:val="en-US" w:eastAsia="zh-CN"/>
        </w:rPr>
        <w:t>6、本次采购接受联合体投标，联合体要求：</w:t>
      </w:r>
    </w:p>
    <w:p w14:paraId="167293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560" w:firstLineChars="200"/>
        <w:jc w:val="lef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①联合体成员数量不超过2家；</w:t>
      </w:r>
    </w:p>
    <w:p w14:paraId="68C4E2E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560" w:firstLineChars="200"/>
        <w:jc w:val="lef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②联合体各方应共同满足本项目全部资格条件，或按资质互补覆盖全部要求；</w:t>
      </w:r>
    </w:p>
    <w:p w14:paraId="6532A55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560" w:firstLineChars="200"/>
        <w:jc w:val="lef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fldChar w:fldCharType="begin"/>
      </w:r>
      <w:r>
        <w:rPr>
          <w:rFonts w:hint="eastAsia" w:ascii="仿宋" w:hAnsi="仿宋" w:eastAsia="仿宋" w:cs="仿宋"/>
          <w:i w:val="0"/>
          <w:iCs w:val="0"/>
          <w:caps w:val="0"/>
          <w:color w:val="auto"/>
          <w:spacing w:val="0"/>
          <w:sz w:val="28"/>
          <w:szCs w:val="28"/>
          <w:shd w:val="clear" w:fill="FFFFFF"/>
          <w:lang w:val="en-US" w:eastAsia="zh-CN"/>
        </w:rPr>
        <w:instrText xml:space="preserve"> = 3 \* GB3 \* MERGEFORMAT </w:instrText>
      </w:r>
      <w:r>
        <w:rPr>
          <w:rFonts w:hint="eastAsia" w:ascii="仿宋" w:hAnsi="仿宋" w:eastAsia="仿宋" w:cs="仿宋"/>
          <w:i w:val="0"/>
          <w:iCs w:val="0"/>
          <w:caps w:val="0"/>
          <w:color w:val="auto"/>
          <w:spacing w:val="0"/>
          <w:sz w:val="28"/>
          <w:szCs w:val="28"/>
          <w:shd w:val="clear" w:fill="FFFFFF"/>
          <w:lang w:val="en-US" w:eastAsia="zh-CN"/>
        </w:rPr>
        <w:fldChar w:fldCharType="separate"/>
      </w:r>
      <w:r>
        <w:rPr>
          <w:rFonts w:hint="eastAsia" w:ascii="仿宋" w:hAnsi="仿宋" w:eastAsia="仿宋" w:cs="仿宋"/>
          <w:i w:val="0"/>
          <w:iCs w:val="0"/>
          <w:caps w:val="0"/>
          <w:color w:val="auto"/>
          <w:spacing w:val="0"/>
          <w:sz w:val="28"/>
          <w:szCs w:val="28"/>
          <w:shd w:val="clear" w:fill="FFFFFF"/>
          <w:lang w:val="en-US" w:eastAsia="zh-CN"/>
        </w:rPr>
        <w:t>③</w:t>
      </w:r>
      <w:r>
        <w:rPr>
          <w:rFonts w:hint="eastAsia" w:ascii="仿宋" w:hAnsi="仿宋" w:eastAsia="仿宋" w:cs="仿宋"/>
          <w:i w:val="0"/>
          <w:iCs w:val="0"/>
          <w:caps w:val="0"/>
          <w:color w:val="auto"/>
          <w:spacing w:val="0"/>
          <w:sz w:val="28"/>
          <w:szCs w:val="28"/>
          <w:shd w:val="clear" w:fill="FFFFFF"/>
          <w:lang w:val="en-US" w:eastAsia="zh-CN"/>
        </w:rPr>
        <w:fldChar w:fldCharType="end"/>
      </w:r>
      <w:r>
        <w:rPr>
          <w:rFonts w:hint="eastAsia" w:ascii="仿宋" w:hAnsi="仿宋" w:eastAsia="仿宋" w:cs="仿宋"/>
          <w:i w:val="0"/>
          <w:iCs w:val="0"/>
          <w:caps w:val="0"/>
          <w:color w:val="auto"/>
          <w:spacing w:val="0"/>
          <w:sz w:val="28"/>
          <w:szCs w:val="28"/>
          <w:shd w:val="clear" w:fill="FFFFFF"/>
          <w:lang w:val="en-US" w:eastAsia="zh-CN"/>
        </w:rPr>
        <w:t>须提供联合体协议书，明确牵头人、成员分工、责任承担、权利义务；</w:t>
      </w:r>
    </w:p>
    <w:p w14:paraId="2295A42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560" w:firstLineChars="200"/>
        <w:jc w:val="lef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④联合体各方不得再以自己名义单独或参加其他联合体参与本项目投标。</w:t>
      </w:r>
    </w:p>
    <w:p w14:paraId="22A615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560" w:firstLineChars="200"/>
        <w:jc w:val="lef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⑤联合体牵头人负责投标文件签署、合同签订及履约协调。</w:t>
      </w:r>
    </w:p>
    <w:p w14:paraId="66ECA5E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 w:hAnsi="仿宋" w:eastAsia="仿宋" w:cs="仿宋"/>
          <w:b/>
          <w:bCs w:val="0"/>
          <w:color w:val="auto"/>
          <w:kern w:val="0"/>
          <w:sz w:val="28"/>
          <w:szCs w:val="28"/>
          <w:lang w:val="en-US" w:eastAsia="zh-CN" w:bidi="ar-SA"/>
        </w:rPr>
      </w:pPr>
      <w:r>
        <w:rPr>
          <w:rFonts w:hint="eastAsia" w:ascii="仿宋" w:hAnsi="仿宋" w:eastAsia="仿宋" w:cs="仿宋"/>
          <w:b/>
          <w:bCs w:val="0"/>
          <w:color w:val="auto"/>
          <w:kern w:val="0"/>
          <w:sz w:val="28"/>
          <w:szCs w:val="28"/>
          <w:lang w:val="en-US" w:eastAsia="zh-CN" w:bidi="ar-SA"/>
        </w:rPr>
        <w:t>四、报名方式、投标截止时间、开标时间及地点：</w:t>
      </w:r>
    </w:p>
    <w:p w14:paraId="3DA6F09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6D7F5F0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2、报名截止时间：自本报名信息发布之日起5个工作日；</w:t>
      </w:r>
    </w:p>
    <w:p w14:paraId="20AA601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3、投标文件递交截止时间及开标时间：2026年6月12日14:30；</w:t>
      </w:r>
    </w:p>
    <w:p w14:paraId="3C13876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4、投标文件递交及开标地点：娄底市中心医院综合楼420室。</w:t>
      </w:r>
    </w:p>
    <w:p w14:paraId="76911C3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 w:hAnsi="仿宋" w:eastAsia="仿宋" w:cs="仿宋"/>
          <w:b/>
          <w:bCs w:val="0"/>
          <w:color w:val="auto"/>
          <w:kern w:val="0"/>
          <w:sz w:val="28"/>
          <w:szCs w:val="28"/>
          <w:lang w:val="en-US" w:eastAsia="zh-CN" w:bidi="ar-SA"/>
        </w:rPr>
      </w:pPr>
      <w:r>
        <w:rPr>
          <w:rFonts w:hint="eastAsia" w:ascii="仿宋" w:hAnsi="仿宋" w:eastAsia="仿宋" w:cs="仿宋"/>
          <w:b/>
          <w:bCs w:val="0"/>
          <w:color w:val="auto"/>
          <w:kern w:val="0"/>
          <w:sz w:val="28"/>
          <w:szCs w:val="28"/>
          <w:lang w:val="en-US" w:eastAsia="zh-CN" w:bidi="ar-SA"/>
        </w:rPr>
        <w:t>五、招标人地址和联系方法：</w:t>
      </w:r>
    </w:p>
    <w:p w14:paraId="0449468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1、招标人名称：娄底市中心医院</w:t>
      </w:r>
    </w:p>
    <w:p w14:paraId="22CFF10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2、联系人及联系方式：廖海星15873871616</w:t>
      </w:r>
    </w:p>
    <w:p w14:paraId="5141471F">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3、招标人地址：娄底市长青中街51号</w:t>
      </w:r>
    </w:p>
    <w:p w14:paraId="376A01D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 w:hAnsi="仿宋" w:eastAsia="仿宋" w:cs="仿宋"/>
          <w:b/>
          <w:bCs w:val="0"/>
          <w:color w:val="auto"/>
          <w:kern w:val="0"/>
          <w:sz w:val="28"/>
          <w:szCs w:val="28"/>
          <w:lang w:val="en-US" w:eastAsia="zh-CN" w:bidi="ar-SA"/>
        </w:rPr>
      </w:pPr>
      <w:r>
        <w:rPr>
          <w:rFonts w:hint="eastAsia" w:ascii="仿宋" w:hAnsi="仿宋" w:eastAsia="仿宋" w:cs="仿宋"/>
          <w:b/>
          <w:bCs w:val="0"/>
          <w:color w:val="auto"/>
          <w:kern w:val="0"/>
          <w:sz w:val="28"/>
          <w:szCs w:val="28"/>
          <w:lang w:val="en-US" w:eastAsia="zh-CN" w:bidi="ar-SA"/>
        </w:rPr>
        <w:t>六、投标须知</w:t>
      </w:r>
    </w:p>
    <w:p w14:paraId="2256C15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1、否决投标的情形：</w:t>
      </w:r>
    </w:p>
    <w:p w14:paraId="00C887C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1.1、投标人以他人名义投标、串通投标、以行贿手段谋取中标的；</w:t>
      </w:r>
    </w:p>
    <w:p w14:paraId="32666238">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1.3、评标委员会认定投标人以低于成本报价竞标的；</w:t>
      </w:r>
    </w:p>
    <w:p w14:paraId="12A7472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1.4、投标人未按照要求出席开标会的；</w:t>
      </w:r>
    </w:p>
    <w:p w14:paraId="43B3A0F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2、有下列情形之一的，招标人将重新招标：</w:t>
      </w:r>
    </w:p>
    <w:p w14:paraId="58B98D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2.1、投标截止时间止，投标人少于3家的；</w:t>
      </w:r>
    </w:p>
    <w:p w14:paraId="71BCFD3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2.2、经评标委员会评审后，符合资格审查的投标人少于3家的。</w:t>
      </w:r>
    </w:p>
    <w:p w14:paraId="573EED2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3、投标单位必须提供纸质投标文件及电子版投标文件（PDF格式签字盖章版本）</w:t>
      </w:r>
    </w:p>
    <w:p w14:paraId="2995783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left="0" w:firstLine="562" w:firstLineChars="200"/>
        <w:textAlignment w:val="auto"/>
        <w:rPr>
          <w:rFonts w:hint="default" w:ascii="仿宋" w:hAnsi="仿宋" w:eastAsia="仿宋" w:cs="仿宋"/>
          <w:b/>
          <w:bCs w:val="0"/>
          <w:color w:val="auto"/>
          <w:kern w:val="0"/>
          <w:sz w:val="28"/>
          <w:szCs w:val="28"/>
          <w:lang w:val="en-US" w:eastAsia="zh-CN" w:bidi="ar-SA"/>
        </w:rPr>
      </w:pPr>
      <w:r>
        <w:rPr>
          <w:rFonts w:hint="eastAsia" w:ascii="仿宋" w:hAnsi="仿宋" w:eastAsia="仿宋" w:cs="仿宋"/>
          <w:b/>
          <w:bCs w:val="0"/>
          <w:color w:val="auto"/>
          <w:kern w:val="0"/>
          <w:sz w:val="28"/>
          <w:szCs w:val="28"/>
          <w:lang w:val="en-US" w:eastAsia="zh-CN" w:bidi="ar-SA"/>
        </w:rPr>
        <w:t>4、本项目一般技术和商务条款偏离≥1项将导致投标无效。</w:t>
      </w:r>
    </w:p>
    <w:p w14:paraId="24BB5981">
      <w:pPr>
        <w:rPr>
          <w:rFonts w:hint="eastAsia" w:ascii="仿宋" w:hAnsi="仿宋" w:eastAsia="仿宋" w:cs="仿宋"/>
          <w:b/>
          <w:bCs w:val="0"/>
          <w:color w:val="auto"/>
          <w:kern w:val="44"/>
          <w:sz w:val="30"/>
          <w:szCs w:val="30"/>
          <w:lang w:val="en-US" w:eastAsia="zh-CN" w:bidi="ar-SA"/>
        </w:rPr>
      </w:pPr>
      <w:r>
        <w:rPr>
          <w:rFonts w:hint="eastAsia" w:ascii="仿宋" w:hAnsi="仿宋" w:eastAsia="仿宋" w:cs="仿宋"/>
          <w:b/>
          <w:bCs w:val="0"/>
          <w:color w:val="auto"/>
          <w:kern w:val="44"/>
          <w:sz w:val="30"/>
          <w:szCs w:val="30"/>
          <w:lang w:val="en-US" w:eastAsia="zh-CN" w:bidi="ar-SA"/>
        </w:rPr>
        <w:br w:type="page"/>
      </w:r>
    </w:p>
    <w:p w14:paraId="05885A1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仿宋" w:hAnsi="仿宋" w:eastAsia="仿宋" w:cs="仿宋"/>
          <w:b/>
          <w:bCs w:val="0"/>
          <w:color w:val="auto"/>
          <w:kern w:val="44"/>
          <w:sz w:val="30"/>
          <w:szCs w:val="30"/>
          <w:lang w:val="en-US" w:eastAsia="zh-CN" w:bidi="ar-SA"/>
        </w:rPr>
      </w:pPr>
      <w:r>
        <w:rPr>
          <w:rFonts w:hint="eastAsia" w:ascii="仿宋" w:hAnsi="仿宋" w:eastAsia="仿宋" w:cs="仿宋"/>
          <w:b/>
          <w:bCs w:val="0"/>
          <w:color w:val="auto"/>
          <w:kern w:val="44"/>
          <w:sz w:val="30"/>
          <w:szCs w:val="30"/>
          <w:lang w:val="en-US" w:eastAsia="zh-CN" w:bidi="ar-SA"/>
        </w:rPr>
        <w:t>第二章投标人须知</w:t>
      </w:r>
    </w:p>
    <w:p w14:paraId="31C8A27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1、资金来源：自筹资金。</w:t>
      </w:r>
    </w:p>
    <w:p w14:paraId="141C579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color w:val="auto"/>
          <w:sz w:val="28"/>
          <w:szCs w:val="28"/>
          <w:lang w:val="en-US" w:eastAsia="zh-CN"/>
        </w:rPr>
        <w:t>2、投标费用：投标人自行承担所有投标相关费用。</w:t>
      </w:r>
    </w:p>
    <w:p w14:paraId="1C34A3F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bCs/>
          <w:color w:val="auto"/>
          <w:kern w:val="0"/>
          <w:sz w:val="28"/>
          <w:szCs w:val="28"/>
          <w:lang w:val="en-US" w:eastAsia="zh-CN" w:bidi="ar-SA"/>
        </w:rPr>
        <w:t>3、招标文件的澄清：投标人对招标文件如有疑问要求澄清，应当在投标截止时间3日前以书面形式提交至招标人，招标人对投标人的澄清要求</w:t>
      </w:r>
      <w:r>
        <w:rPr>
          <w:rFonts w:hint="eastAsia" w:ascii="仿宋" w:hAnsi="仿宋" w:eastAsia="仿宋" w:cs="仿宋"/>
          <w:color w:val="auto"/>
          <w:sz w:val="28"/>
          <w:szCs w:val="28"/>
          <w:lang w:val="en-US" w:eastAsia="zh-CN"/>
        </w:rPr>
        <w:t>均以书面形式予以答复。澄清的内容是招标文件的组成部分，具有约束作用。</w:t>
      </w:r>
    </w:p>
    <w:p w14:paraId="6070B77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4、招标文件的修改：在投标截止时间前，无论出于何种原因，招标人可主动地或在解答投标人提出的澄清问题时对招标文件进行修改，修改的内容为招标文件的组成部分。</w:t>
      </w:r>
    </w:p>
    <w:p w14:paraId="2BBE32C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5、投标文件的编制</w:t>
      </w:r>
    </w:p>
    <w:p w14:paraId="5070D40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5.1投标人应认真阅读招标文件的所有内容，按招标文件的要求提供投标文件，并保证提供的全部资料的真实性，以使其投标对招标文件作出实质性响应，否则，其投标将被否决。</w:t>
      </w:r>
    </w:p>
    <w:p w14:paraId="327B78B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5.2投标文件组成：投标函、资格证明文件、技术方案、报价表、联合体协议书等。</w:t>
      </w:r>
    </w:p>
    <w:p w14:paraId="510A1FE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color w:val="auto"/>
          <w:sz w:val="28"/>
          <w:szCs w:val="28"/>
          <w:lang w:val="en-US" w:eastAsia="zh-CN"/>
        </w:rPr>
        <w:t>6.投标文件的制作和签署</w:t>
      </w:r>
    </w:p>
    <w:p w14:paraId="599CF25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bCs/>
          <w:color w:val="auto"/>
          <w:kern w:val="0"/>
          <w:sz w:val="28"/>
          <w:szCs w:val="28"/>
          <w:lang w:val="en-US" w:eastAsia="zh-CN" w:bidi="ar-SA"/>
        </w:rPr>
        <w:t>6.1投标人应准备投标文件正本一份、副本一份。每套投标</w:t>
      </w:r>
      <w:r>
        <w:rPr>
          <w:rFonts w:hint="eastAsia" w:ascii="仿宋" w:hAnsi="仿宋" w:eastAsia="仿宋" w:cs="仿宋"/>
          <w:color w:val="auto"/>
          <w:sz w:val="28"/>
          <w:szCs w:val="28"/>
          <w:lang w:val="en-US" w:eastAsia="zh-CN"/>
        </w:rPr>
        <w:t>文件须清楚地标明“正本”或“副本”。若正本和副本不符，以正本为准。</w:t>
      </w:r>
    </w:p>
    <w:p w14:paraId="36DA88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6.2投标文件的正本需打印，并在规定的地方加盖公章并由投标人法定代表人或其授权代表签字。投标文件的副本可采用正本的复印件。</w:t>
      </w:r>
    </w:p>
    <w:p w14:paraId="2862EE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6.3投标文件不得采用活页夹装订，建议采用胶装。</w:t>
      </w:r>
    </w:p>
    <w:p w14:paraId="48C939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6.4提供全套投标文件电子版一份（U盘，电子版文件为投标文件正本扫描件，PDF格式），电子版与纸质文本不一致时，以纸质文本为准。</w:t>
      </w:r>
    </w:p>
    <w:p w14:paraId="1381C7D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7.投标文件的密封和标记</w:t>
      </w:r>
    </w:p>
    <w:p w14:paraId="2DAC16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7.1投标人应将投标文件（含电子版）密封包装，并在封口处加盖投标人的公章。</w:t>
      </w:r>
    </w:p>
    <w:p w14:paraId="7216136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7.2投标文件外层封套应标记的内容：</w:t>
      </w:r>
    </w:p>
    <w:tbl>
      <w:tblPr>
        <w:tblStyle w:val="20"/>
        <w:tblW w:w="8780" w:type="dxa"/>
        <w:jc w:val="center"/>
        <w:tblLayout w:type="fixed"/>
        <w:tblCellMar>
          <w:top w:w="0" w:type="dxa"/>
          <w:left w:w="108" w:type="dxa"/>
          <w:bottom w:w="0" w:type="dxa"/>
          <w:right w:w="108" w:type="dxa"/>
        </w:tblCellMar>
      </w:tblPr>
      <w:tblGrid>
        <w:gridCol w:w="8780"/>
      </w:tblGrid>
      <w:tr w14:paraId="2D740692">
        <w:tblPrEx>
          <w:tblCellMar>
            <w:top w:w="0" w:type="dxa"/>
            <w:left w:w="108" w:type="dxa"/>
            <w:bottom w:w="0" w:type="dxa"/>
            <w:right w:w="108" w:type="dxa"/>
          </w:tblCellMar>
        </w:tblPrEx>
        <w:trPr>
          <w:trHeight w:val="1677" w:hRule="atLeast"/>
          <w:jc w:val="center"/>
        </w:trPr>
        <w:tc>
          <w:tcPr>
            <w:tcW w:w="8780" w:type="dxa"/>
            <w:tcBorders>
              <w:top w:val="single" w:color="000000" w:sz="4" w:space="0"/>
              <w:left w:val="single" w:color="000000" w:sz="4" w:space="0"/>
              <w:bottom w:val="single" w:color="000000" w:sz="4" w:space="0"/>
              <w:right w:val="single" w:color="000000" w:sz="4" w:space="0"/>
            </w:tcBorders>
          </w:tcPr>
          <w:p w14:paraId="5569769B">
            <w:pPr>
              <w:widowControl/>
              <w:spacing w:line="360" w:lineRule="auto"/>
              <w:ind w:left="4" w:hanging="4"/>
              <w:rPr>
                <w:rFonts w:hint="eastAsia" w:ascii="仿宋" w:hAnsi="仿宋" w:eastAsia="仿宋" w:cs="仿宋"/>
                <w:color w:val="auto"/>
                <w:kern w:val="0"/>
                <w:sz w:val="28"/>
                <w:szCs w:val="28"/>
                <w:lang w:eastAsia="zh-CN"/>
              </w:rPr>
            </w:pPr>
            <w:r>
              <w:rPr>
                <w:rFonts w:hint="eastAsia" w:ascii="仿宋" w:hAnsi="仿宋" w:eastAsia="仿宋" w:cs="仿宋"/>
                <w:color w:val="auto"/>
                <w:spacing w:val="15"/>
                <w:kern w:val="0"/>
                <w:sz w:val="28"/>
                <w:szCs w:val="28"/>
                <w:lang w:val="en-US" w:eastAsia="zh-CN"/>
              </w:rPr>
              <w:t>招标</w:t>
            </w:r>
            <w:r>
              <w:rPr>
                <w:rFonts w:hint="eastAsia" w:ascii="仿宋" w:hAnsi="仿宋" w:eastAsia="仿宋" w:cs="仿宋"/>
                <w:color w:val="auto"/>
                <w:spacing w:val="15"/>
                <w:kern w:val="0"/>
                <w:sz w:val="28"/>
                <w:szCs w:val="28"/>
              </w:rPr>
              <w:t>人：</w:t>
            </w:r>
          </w:p>
          <w:p w14:paraId="0D018DFB">
            <w:pPr>
              <w:widowControl/>
              <w:spacing w:line="360" w:lineRule="auto"/>
              <w:ind w:left="4" w:hanging="4"/>
              <w:rPr>
                <w:rFonts w:hint="eastAsia" w:ascii="仿宋" w:hAnsi="仿宋" w:eastAsia="仿宋" w:cs="仿宋"/>
                <w:color w:val="auto"/>
                <w:spacing w:val="15"/>
                <w:kern w:val="0"/>
                <w:sz w:val="28"/>
                <w:szCs w:val="28"/>
              </w:rPr>
            </w:pPr>
            <w:r>
              <w:rPr>
                <w:rFonts w:hint="eastAsia" w:ascii="仿宋" w:hAnsi="仿宋" w:eastAsia="仿宋" w:cs="仿宋"/>
                <w:color w:val="auto"/>
                <w:spacing w:val="15"/>
                <w:kern w:val="0"/>
                <w:sz w:val="28"/>
                <w:szCs w:val="28"/>
              </w:rPr>
              <w:t>项目名称：</w:t>
            </w:r>
          </w:p>
          <w:p w14:paraId="15557450">
            <w:pPr>
              <w:widowControl/>
              <w:spacing w:line="360" w:lineRule="auto"/>
              <w:rPr>
                <w:rFonts w:hint="eastAsia" w:ascii="仿宋" w:hAnsi="仿宋" w:eastAsia="仿宋" w:cs="仿宋"/>
                <w:color w:val="auto"/>
                <w:spacing w:val="15"/>
                <w:kern w:val="0"/>
                <w:sz w:val="28"/>
                <w:szCs w:val="28"/>
              </w:rPr>
            </w:pPr>
            <w:r>
              <w:rPr>
                <w:rFonts w:hint="eastAsia" w:ascii="仿宋" w:hAnsi="仿宋" w:eastAsia="仿宋" w:cs="仿宋"/>
                <w:color w:val="auto"/>
                <w:spacing w:val="15"/>
                <w:kern w:val="0"/>
                <w:sz w:val="28"/>
                <w:szCs w:val="28"/>
                <w:lang w:eastAsia="zh-CN"/>
              </w:rPr>
              <w:t>投标人</w:t>
            </w:r>
            <w:r>
              <w:rPr>
                <w:rFonts w:hint="eastAsia" w:ascii="仿宋" w:hAnsi="仿宋" w:eastAsia="仿宋" w:cs="仿宋"/>
                <w:color w:val="auto"/>
                <w:spacing w:val="15"/>
                <w:kern w:val="0"/>
                <w:sz w:val="28"/>
                <w:szCs w:val="28"/>
              </w:rPr>
              <w:t>：</w:t>
            </w:r>
          </w:p>
          <w:p w14:paraId="718C9999">
            <w:pPr>
              <w:widowControl/>
              <w:spacing w:line="360" w:lineRule="auto"/>
              <w:rPr>
                <w:rFonts w:hint="eastAsia" w:ascii="仿宋" w:hAnsi="仿宋" w:eastAsia="仿宋" w:cs="仿宋"/>
                <w:color w:val="auto"/>
                <w:spacing w:val="15"/>
                <w:kern w:val="0"/>
                <w:sz w:val="28"/>
                <w:szCs w:val="28"/>
              </w:rPr>
            </w:pPr>
            <w:r>
              <w:rPr>
                <w:rFonts w:hint="eastAsia" w:ascii="仿宋" w:hAnsi="仿宋" w:eastAsia="仿宋" w:cs="仿宋"/>
                <w:color w:val="auto"/>
                <w:spacing w:val="15"/>
                <w:kern w:val="0"/>
                <w:sz w:val="28"/>
                <w:szCs w:val="28"/>
              </w:rPr>
              <w:t>在</w:t>
            </w:r>
            <w:r>
              <w:rPr>
                <w:rFonts w:hint="eastAsia" w:ascii="仿宋" w:hAnsi="仿宋" w:eastAsia="仿宋" w:cs="仿宋"/>
                <w:color w:val="auto"/>
                <w:spacing w:val="15"/>
                <w:kern w:val="0"/>
                <w:sz w:val="28"/>
                <w:szCs w:val="28"/>
                <w:u w:val="single"/>
              </w:rPr>
              <w:t>202</w:t>
            </w:r>
            <w:r>
              <w:rPr>
                <w:rFonts w:hint="eastAsia" w:ascii="仿宋" w:hAnsi="仿宋" w:eastAsia="仿宋" w:cs="仿宋"/>
                <w:color w:val="auto"/>
                <w:spacing w:val="15"/>
                <w:kern w:val="0"/>
                <w:sz w:val="28"/>
                <w:szCs w:val="28"/>
                <w:u w:val="single"/>
                <w:lang w:val="en-US" w:eastAsia="zh-CN"/>
              </w:rPr>
              <w:t>6</w:t>
            </w:r>
            <w:r>
              <w:rPr>
                <w:rFonts w:hint="eastAsia" w:ascii="仿宋" w:hAnsi="仿宋" w:eastAsia="仿宋" w:cs="仿宋"/>
                <w:color w:val="auto"/>
                <w:spacing w:val="15"/>
                <w:kern w:val="0"/>
                <w:sz w:val="28"/>
                <w:szCs w:val="28"/>
              </w:rPr>
              <w:t>年月日时分，此时间以前不得开封。</w:t>
            </w:r>
          </w:p>
        </w:tc>
      </w:tr>
    </w:tbl>
    <w:p w14:paraId="546CC16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8.投标文件递交</w:t>
      </w:r>
    </w:p>
    <w:p w14:paraId="62A6730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default"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8.1投标文件递交截止时间：2026年6月12日14:30</w:t>
      </w:r>
      <w:bookmarkStart w:id="4" w:name="_GoBack"/>
      <w:bookmarkEnd w:id="4"/>
    </w:p>
    <w:p w14:paraId="661674C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8.2地址：娄底市中心医院综合楼420室</w:t>
      </w:r>
    </w:p>
    <w:p w14:paraId="3E2E59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8.3投标人应在规定的截止时间前将投标文件递交至指定地点。</w:t>
      </w:r>
    </w:p>
    <w:p w14:paraId="213DC2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8.4招标人将拒绝接收在招标文件规定的投标文件递交截止期后送达的任何投标文件。</w:t>
      </w:r>
    </w:p>
    <w:p w14:paraId="0334231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9.开标</w:t>
      </w:r>
    </w:p>
    <w:p w14:paraId="3676C8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9.1开标时间：同投标文件递交截止时间。</w:t>
      </w:r>
    </w:p>
    <w:p w14:paraId="13228E7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9.2开标地址：同投标文件递交地址。</w:t>
      </w:r>
    </w:p>
    <w:p w14:paraId="4CBF9A0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9.3招标人在招标文件规定的日期、时间和地点组织公开开标。开标时邀请所有投标人代表参加。投标人须派法定代表人（或被授权委托人）参加开标仪式。</w:t>
      </w:r>
    </w:p>
    <w:p w14:paraId="618715A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9.4开标时，招标人当众宣读投标人名称、投标价格以及招标人认为合适的其他内容。</w:t>
      </w:r>
      <w:r>
        <w:rPr>
          <w:rFonts w:hint="eastAsia" w:ascii="仿宋" w:hAnsi="仿宋" w:eastAsia="仿宋" w:cs="仿宋"/>
          <w:color w:val="auto"/>
          <w:sz w:val="28"/>
          <w:szCs w:val="28"/>
          <w:lang w:val="en-US" w:eastAsia="zh-CN"/>
        </w:rPr>
        <w:cr/>
      </w:r>
      <w:r>
        <w:rPr>
          <w:rFonts w:hint="eastAsia" w:ascii="仿宋" w:hAnsi="仿宋" w:eastAsia="仿宋" w:cs="仿宋"/>
          <w:color w:val="auto"/>
          <w:sz w:val="28"/>
          <w:szCs w:val="28"/>
          <w:lang w:val="en-US" w:eastAsia="zh-CN"/>
        </w:rPr>
        <w:t>9.5投标文件有下列情形之一的，有下列情形的投标文件将予以拒收：</w:t>
      </w:r>
    </w:p>
    <w:p w14:paraId="008DCFF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（1）逾期送达的或者未送达指定地点的；</w:t>
      </w:r>
    </w:p>
    <w:p w14:paraId="3F471BD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（2）未按招标文件要求密封的。</w:t>
      </w:r>
    </w:p>
    <w:p w14:paraId="68BE793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除了上述情形外，开标时将不拒绝任何投标。</w:t>
      </w:r>
    </w:p>
    <w:p w14:paraId="736CBE5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10.评标</w:t>
      </w:r>
    </w:p>
    <w:p w14:paraId="4495253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10.1评标办法：综合评估法，按得分从高到低推荐中标候选人。</w:t>
      </w:r>
    </w:p>
    <w:p w14:paraId="72111DD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10.2投标文件的澄清</w:t>
      </w:r>
    </w:p>
    <w:p w14:paraId="7E8FAC5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在评标期间，评标委员会可要求投标人对其投标文件中含义不明确的内容作必要的澄清或说明，但澄清或说明不得超出投标文件的范围或改变投标文件实质性内容。有关澄清的要求和答复均应以书面形式提交，澄清的内容为投标文件的组成部分。</w:t>
      </w:r>
    </w:p>
    <w:p w14:paraId="052527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10.3评标委员会对进入详细评审的投标人进行综合评分并作出排序，得分最高的投标人将被确认为第一中标候选人，依此类推。得分相同的，按投标报价由低到高顺序排列；得分且投标报价相同的，按技术能力评审得分由高到低顺序排列。</w:t>
      </w:r>
    </w:p>
    <w:p w14:paraId="5E42FF3F">
      <w:pPr>
        <w:tabs>
          <w:tab w:val="left" w:pos="1080"/>
        </w:tabs>
        <w:spacing w:line="360" w:lineRule="auto"/>
        <w:ind w:firstLine="602" w:firstLineChars="200"/>
        <w:rPr>
          <w:rFonts w:hint="eastAsia" w:ascii="仿宋" w:hAnsi="仿宋" w:eastAsia="仿宋" w:cs="仿宋"/>
          <w:color w:val="auto"/>
          <w:szCs w:val="21"/>
          <w:highlight w:val="none"/>
        </w:rPr>
      </w:pPr>
      <w:r>
        <w:rPr>
          <w:rFonts w:hint="eastAsia" w:ascii="仿宋" w:hAnsi="仿宋" w:eastAsia="仿宋" w:cs="仿宋"/>
          <w:b/>
          <w:bCs w:val="0"/>
          <w:color w:val="auto"/>
          <w:kern w:val="44"/>
          <w:sz w:val="30"/>
          <w:szCs w:val="30"/>
          <w:lang w:val="en-US" w:eastAsia="zh-CN" w:bidi="ar-SA"/>
        </w:rPr>
        <w:br w:type="page"/>
      </w:r>
    </w:p>
    <w:p w14:paraId="5E560B5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仿宋" w:hAnsi="仿宋" w:eastAsia="仿宋" w:cs="仿宋"/>
          <w:b/>
          <w:bCs w:val="0"/>
          <w:color w:val="auto"/>
          <w:kern w:val="44"/>
          <w:sz w:val="44"/>
          <w:szCs w:val="44"/>
          <w:lang w:val="en-US" w:eastAsia="zh-CN" w:bidi="ar-SA"/>
        </w:rPr>
      </w:pPr>
      <w:r>
        <w:rPr>
          <w:rFonts w:hint="eastAsia" w:ascii="仿宋" w:hAnsi="仿宋" w:eastAsia="仿宋" w:cs="仿宋"/>
          <w:b/>
          <w:bCs w:val="0"/>
          <w:color w:val="auto"/>
          <w:kern w:val="44"/>
          <w:sz w:val="30"/>
          <w:szCs w:val="30"/>
          <w:lang w:val="en-US" w:eastAsia="zh-CN" w:bidi="ar-SA"/>
        </w:rPr>
        <w:t>第三章采购需求</w:t>
      </w:r>
    </w:p>
    <w:p w14:paraId="6EA4F60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一、服务目标：</w:t>
      </w:r>
    </w:p>
    <w:p w14:paraId="24C3C45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预评价、控制效果评价及放射诊疗许可证办理</w:t>
      </w:r>
    </w:p>
    <w:p w14:paraId="6F3538F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服务内容：完成</w:t>
      </w:r>
      <w:r>
        <w:rPr>
          <w:rFonts w:hint="eastAsia" w:ascii="仿宋" w:hAnsi="仿宋" w:eastAsia="仿宋" w:cs="仿宋"/>
          <w:color w:val="auto"/>
          <w:sz w:val="28"/>
          <w:szCs w:val="28"/>
          <w:lang w:val="en-US" w:eastAsia="zh-CN"/>
        </w:rPr>
        <w:t>采购需求清单中</w:t>
      </w:r>
      <w:r>
        <w:rPr>
          <w:rFonts w:hint="eastAsia" w:ascii="仿宋" w:hAnsi="仿宋" w:eastAsia="仿宋" w:cs="仿宋"/>
          <w:color w:val="auto"/>
          <w:sz w:val="28"/>
          <w:szCs w:val="28"/>
        </w:rPr>
        <w:t>预评价与控制效果评价，组织专家评审、备案，取得《放射诊疗许可证》。</w:t>
      </w:r>
    </w:p>
    <w:p w14:paraId="32385B0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成果要求：评价报告通过专家审查，取得</w:t>
      </w:r>
      <w:r>
        <w:rPr>
          <w:rFonts w:hint="eastAsia" w:ascii="仿宋" w:hAnsi="仿宋" w:eastAsia="仿宋" w:cs="仿宋"/>
          <w:color w:val="auto"/>
          <w:sz w:val="28"/>
          <w:szCs w:val="28"/>
          <w:lang w:val="en-US" w:eastAsia="zh-CN"/>
        </w:rPr>
        <w:t>行政主管部门合格批复</w:t>
      </w:r>
      <w:r>
        <w:rPr>
          <w:rFonts w:hint="eastAsia" w:ascii="仿宋" w:hAnsi="仿宋" w:eastAsia="仿宋" w:cs="仿宋"/>
          <w:color w:val="auto"/>
          <w:sz w:val="28"/>
          <w:szCs w:val="28"/>
        </w:rPr>
        <w:t>文件</w:t>
      </w:r>
      <w:r>
        <w:rPr>
          <w:rFonts w:hint="eastAsia" w:ascii="仿宋" w:hAnsi="仿宋" w:eastAsia="仿宋" w:cs="仿宋"/>
          <w:color w:val="auto"/>
          <w:sz w:val="28"/>
          <w:szCs w:val="28"/>
          <w:lang w:val="en-US" w:eastAsia="zh-CN"/>
        </w:rPr>
        <w:t>及</w:t>
      </w:r>
      <w:r>
        <w:rPr>
          <w:rFonts w:hint="eastAsia" w:ascii="仿宋" w:hAnsi="仿宋" w:eastAsia="仿宋" w:cs="仿宋"/>
          <w:color w:val="auto"/>
          <w:sz w:val="28"/>
          <w:szCs w:val="28"/>
        </w:rPr>
        <w:t>《放射诊疗许可证》。</w:t>
      </w:r>
    </w:p>
    <w:p w14:paraId="72BA718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环境影响评价、环保竣工验收及辐射安全许可证办理</w:t>
      </w:r>
    </w:p>
    <w:p w14:paraId="581326C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服务内容：</w:t>
      </w:r>
      <w:r>
        <w:rPr>
          <w:rFonts w:hint="eastAsia" w:ascii="仿宋" w:hAnsi="仿宋" w:eastAsia="仿宋" w:cs="仿宋"/>
          <w:color w:val="auto"/>
          <w:sz w:val="28"/>
          <w:szCs w:val="28"/>
          <w:lang w:val="en-US" w:eastAsia="zh-CN"/>
        </w:rPr>
        <w:t>完成采购需求清单中</w:t>
      </w:r>
      <w:r>
        <w:rPr>
          <w:rFonts w:hint="eastAsia" w:ascii="仿宋" w:hAnsi="仿宋" w:eastAsia="仿宋" w:cs="仿宋"/>
          <w:color w:val="auto"/>
          <w:sz w:val="28"/>
          <w:szCs w:val="28"/>
        </w:rPr>
        <w:t>环评与环保竣工验收，组织专家评审、备案，协助取得《辐射安全许可证》。</w:t>
      </w:r>
    </w:p>
    <w:p w14:paraId="53B4E39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成果要求：环评及验收报告通过审查，取得</w:t>
      </w:r>
      <w:r>
        <w:rPr>
          <w:rFonts w:hint="eastAsia" w:ascii="仿宋" w:hAnsi="仿宋" w:eastAsia="仿宋" w:cs="仿宋"/>
          <w:color w:val="auto"/>
          <w:sz w:val="28"/>
          <w:szCs w:val="28"/>
          <w:lang w:val="en-US" w:eastAsia="zh-CN"/>
        </w:rPr>
        <w:t>行政主管部门合格批复</w:t>
      </w:r>
      <w:r>
        <w:rPr>
          <w:rFonts w:hint="eastAsia" w:ascii="仿宋" w:hAnsi="仿宋" w:eastAsia="仿宋" w:cs="仿宋"/>
          <w:color w:val="auto"/>
          <w:sz w:val="28"/>
          <w:szCs w:val="28"/>
        </w:rPr>
        <w:t>文件</w:t>
      </w:r>
      <w:r>
        <w:rPr>
          <w:rFonts w:hint="eastAsia" w:ascii="仿宋" w:hAnsi="仿宋" w:eastAsia="仿宋" w:cs="仿宋"/>
          <w:color w:val="auto"/>
          <w:sz w:val="28"/>
          <w:szCs w:val="28"/>
          <w:lang w:val="en-US" w:eastAsia="zh-CN"/>
        </w:rPr>
        <w:t>及</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辐射安全</w:t>
      </w:r>
      <w:r>
        <w:rPr>
          <w:rFonts w:hint="eastAsia" w:ascii="仿宋" w:hAnsi="仿宋" w:eastAsia="仿宋" w:cs="仿宋"/>
          <w:color w:val="auto"/>
          <w:sz w:val="28"/>
          <w:szCs w:val="28"/>
        </w:rPr>
        <w:t>许可证》。</w:t>
      </w:r>
    </w:p>
    <w:p w14:paraId="5F19AE0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二、</w:t>
      </w:r>
      <w:r>
        <w:rPr>
          <w:rFonts w:hint="eastAsia" w:ascii="仿宋" w:hAnsi="仿宋" w:eastAsia="仿宋" w:cs="仿宋"/>
          <w:b/>
          <w:bCs/>
          <w:color w:val="auto"/>
          <w:sz w:val="28"/>
          <w:szCs w:val="28"/>
        </w:rPr>
        <w:t>服务要求：</w:t>
      </w:r>
    </w:p>
    <w:p w14:paraId="4E8D51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核技术利用环境影响评价及验收技术服务相关内容及要求：</w:t>
      </w:r>
    </w:p>
    <w:p w14:paraId="715C7F9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2.1.1、满足国家环境影响评价相关法律法规《中华人民共和国环境影响评价法》、《中华人民共和国放射性污染防治法》、《放射性同位素与射线装置安全和防护条例》等要求以及湖南省生态环境厅核技术利用有关技术规范要求。</w:t>
      </w:r>
    </w:p>
    <w:p w14:paraId="0B5355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2.1.2、编制环境影响评价报告，确保通过技术评审会并取得湖南省生态环境厅对该项目的批复，设备安装完成后须通过项目竣工环保验收等全过程技术服务。（提供承诺函）</w:t>
      </w:r>
    </w:p>
    <w:p w14:paraId="6AEBF03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562" w:firstLineChars="200"/>
        <w:jc w:val="left"/>
        <w:textAlignment w:val="auto"/>
        <w:rPr>
          <w:rFonts w:hint="eastAsia" w:ascii="仿宋" w:hAnsi="仿宋" w:eastAsia="仿宋" w:cs="仿宋"/>
          <w:color w:val="auto"/>
          <w:sz w:val="28"/>
          <w:szCs w:val="28"/>
          <w:lang w:eastAsia="zh-CN"/>
        </w:rPr>
      </w:pPr>
      <w:r>
        <w:rPr>
          <w:rFonts w:hint="eastAsia" w:ascii="仿宋" w:hAnsi="仿宋" w:eastAsia="仿宋" w:cs="仿宋"/>
          <w:b/>
          <w:bCs/>
          <w:color w:val="auto"/>
          <w:sz w:val="28"/>
          <w:szCs w:val="28"/>
        </w:rPr>
        <w:t>2.1.3、评价范围</w:t>
      </w:r>
      <w:r>
        <w:rPr>
          <w:rFonts w:hint="eastAsia" w:ascii="仿宋" w:hAnsi="仿宋" w:eastAsia="仿宋" w:cs="仿宋"/>
          <w:b/>
          <w:bCs/>
          <w:color w:val="auto"/>
          <w:sz w:val="28"/>
          <w:szCs w:val="28"/>
          <w:lang w:val="en-US" w:eastAsia="zh-CN"/>
        </w:rPr>
        <w:t>(包括以下设备、核技术利用项目、场所，以采购人实际数量为准，本次项目采用总价包干，如有清单以外的设备，本合同执行期间，中标人须完成清单以外设备的所有评价工作，采购人不另外支付费用。)</w:t>
      </w:r>
    </w:p>
    <w:tbl>
      <w:tblPr>
        <w:tblStyle w:val="20"/>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90"/>
        <w:gridCol w:w="932"/>
      </w:tblGrid>
      <w:tr w14:paraId="57724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32" w:type="dxa"/>
            <w:gridSpan w:val="2"/>
            <w:tcBorders>
              <w:top w:val="single" w:color="auto" w:sz="12" w:space="0"/>
              <w:left w:val="nil"/>
              <w:bottom w:val="nil"/>
              <w:right w:val="nil"/>
            </w:tcBorders>
            <w:shd w:val="clear" w:color="auto" w:fill="auto"/>
            <w:noWrap w:val="0"/>
            <w:tcMar>
              <w:top w:w="-1" w:type="dxa"/>
              <w:left w:w="-1" w:type="dxa"/>
              <w:bottom w:w="-1" w:type="dxa"/>
              <w:right w:w="-1" w:type="dxa"/>
            </w:tcMar>
            <w:vAlign w:val="center"/>
          </w:tcPr>
          <w:p w14:paraId="49A9977E">
            <w:pPr>
              <w:keepNext w:val="0"/>
              <w:keepLines w:val="0"/>
              <w:widowControl/>
              <w:suppressLineNumbers w:val="0"/>
              <w:snapToGrid w:val="0"/>
              <w:jc w:val="left"/>
              <w:textAlignment w:val="center"/>
              <w:rPr>
                <w:rFonts w:hint="eastAsia" w:ascii="仿宋" w:hAnsi="仿宋" w:eastAsia="仿宋" w:cs="仿宋"/>
                <w:i w:val="0"/>
                <w:iCs w:val="0"/>
                <w:color w:val="auto"/>
                <w:sz w:val="40"/>
                <w:szCs w:val="40"/>
                <w:u w:val="none"/>
              </w:rPr>
            </w:pPr>
            <w:r>
              <w:rPr>
                <w:rFonts w:hint="eastAsia" w:ascii="仿宋" w:hAnsi="仿宋" w:eastAsia="仿宋" w:cs="仿宋"/>
                <w:b/>
                <w:bCs/>
                <w:color w:val="auto"/>
                <w:kern w:val="0"/>
                <w:sz w:val="24"/>
                <w:szCs w:val="24"/>
                <w:lang w:val="en-US" w:eastAsia="zh-CN" w:bidi="ar"/>
              </w:rPr>
              <w:t>附件1：广州医科大学附属第一医院娄底医院环评项目清单</w:t>
            </w:r>
          </w:p>
        </w:tc>
      </w:tr>
      <w:tr w14:paraId="0B972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single" w:color="000000" w:sz="4" w:space="0"/>
              <w:left w:val="nil"/>
              <w:bottom w:val="nil"/>
              <w:right w:val="nil"/>
            </w:tcBorders>
            <w:shd w:val="clear" w:color="auto" w:fill="auto"/>
            <w:noWrap w:val="0"/>
            <w:tcMar>
              <w:top w:w="-1" w:type="dxa"/>
              <w:left w:w="-1" w:type="dxa"/>
              <w:bottom w:w="-1" w:type="dxa"/>
              <w:right w:w="-1" w:type="dxa"/>
            </w:tcMar>
            <w:vAlign w:val="center"/>
          </w:tcPr>
          <w:p w14:paraId="3F3578F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大孔径CT</w:t>
            </w:r>
          </w:p>
        </w:tc>
        <w:tc>
          <w:tcPr>
            <w:tcW w:w="932" w:type="dxa"/>
            <w:tcBorders>
              <w:top w:val="single" w:color="000000" w:sz="4" w:space="0"/>
              <w:left w:val="nil"/>
              <w:bottom w:val="nil"/>
              <w:right w:val="nil"/>
            </w:tcBorders>
            <w:shd w:val="clear" w:color="auto" w:fill="auto"/>
            <w:noWrap w:val="0"/>
            <w:tcMar>
              <w:top w:w="-1" w:type="dxa"/>
              <w:left w:w="-1" w:type="dxa"/>
              <w:bottom w:w="-1" w:type="dxa"/>
              <w:right w:w="-1" w:type="dxa"/>
            </w:tcMar>
            <w:vAlign w:val="center"/>
          </w:tcPr>
          <w:p w14:paraId="39D82971">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1台</w:t>
            </w:r>
          </w:p>
        </w:tc>
      </w:tr>
      <w:tr w14:paraId="0256F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0B950F2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64排及以上CT</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74EFEEE1">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3台</w:t>
            </w:r>
          </w:p>
        </w:tc>
      </w:tr>
      <w:tr w14:paraId="0EE0C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780FC06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乳腺高端CT</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064D66CA">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1台</w:t>
            </w:r>
          </w:p>
        </w:tc>
      </w:tr>
      <w:tr w14:paraId="4F2F9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24C0883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数字X射线摄影机（DR）</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6ACA81E1">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1台</w:t>
            </w:r>
          </w:p>
        </w:tc>
      </w:tr>
      <w:tr w14:paraId="675E9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6B1F580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DDR（动态DR）</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42031398">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1台</w:t>
            </w:r>
          </w:p>
        </w:tc>
      </w:tr>
      <w:tr w14:paraId="5EEE5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1F44294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移动DR</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5A7F3529">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2台</w:t>
            </w:r>
          </w:p>
        </w:tc>
      </w:tr>
      <w:tr w14:paraId="6A895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0BADA2D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胃肠造影机（直接数字化X射线造影系统）</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5B1411C5">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1台</w:t>
            </w:r>
          </w:p>
        </w:tc>
      </w:tr>
      <w:tr w14:paraId="19F76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558A821A">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移动式C形臂X光机</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0435E4DC">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2台</w:t>
            </w:r>
          </w:p>
        </w:tc>
      </w:tr>
      <w:tr w14:paraId="68097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1D50EDA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高能X线密度仪</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3AFCFBF8">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1台</w:t>
            </w:r>
          </w:p>
        </w:tc>
      </w:tr>
      <w:tr w14:paraId="66B62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5E43D37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口腔颌面锥形束计算机体层摄影（CBCT）</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2B2E0A9B">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r>
      <w:tr w14:paraId="52029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000D99C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移动式牙科X摄线机</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4A65675B">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r>
      <w:tr w14:paraId="37A7E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1731DC2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牙科X线数字图像诊断系统</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62B3250F">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r>
      <w:tr w14:paraId="0F3B7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2F0292C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呼吸与危重症医学科介入检查室</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2DFE116E">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2间</w:t>
            </w:r>
          </w:p>
        </w:tc>
      </w:tr>
      <w:tr w14:paraId="4FC4B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4AFBBF4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8间手术室（涉及到放射诊疗）</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5A48CC12">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8间</w:t>
            </w:r>
          </w:p>
        </w:tc>
      </w:tr>
      <w:tr w14:paraId="6A6F1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shd w:val="clear" w:color="auto" w:fill="auto"/>
            <w:noWrap w:val="0"/>
            <w:tcMar>
              <w:top w:w="-1" w:type="dxa"/>
              <w:left w:w="-1" w:type="dxa"/>
              <w:bottom w:w="-1" w:type="dxa"/>
              <w:right w:w="-1" w:type="dxa"/>
            </w:tcMar>
            <w:vAlign w:val="center"/>
          </w:tcPr>
          <w:p w14:paraId="6AF8CC8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89Sr、32P敷贴、223Ra、177Lu、68Ga、125I粒子</w:t>
            </w:r>
          </w:p>
        </w:tc>
        <w:tc>
          <w:tcPr>
            <w:tcW w:w="932" w:type="dxa"/>
            <w:tcBorders>
              <w:top w:val="nil"/>
              <w:left w:val="nil"/>
              <w:bottom w:val="nil"/>
              <w:right w:val="nil"/>
            </w:tcBorders>
            <w:shd w:val="clear" w:color="auto" w:fill="auto"/>
            <w:noWrap w:val="0"/>
            <w:tcMar>
              <w:top w:w="-1" w:type="dxa"/>
              <w:left w:w="-1" w:type="dxa"/>
              <w:bottom w:w="-1" w:type="dxa"/>
              <w:right w:w="-1" w:type="dxa"/>
            </w:tcMar>
            <w:vAlign w:val="center"/>
          </w:tcPr>
          <w:p w14:paraId="496304A2">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w:t>
            </w:r>
          </w:p>
        </w:tc>
      </w:tr>
      <w:tr w14:paraId="7F1FA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590" w:type="dxa"/>
            <w:tcBorders>
              <w:top w:val="nil"/>
              <w:left w:val="nil"/>
              <w:bottom w:val="single" w:color="000000" w:sz="12" w:space="0"/>
              <w:right w:val="nil"/>
            </w:tcBorders>
            <w:shd w:val="clear" w:color="auto" w:fill="auto"/>
            <w:noWrap w:val="0"/>
            <w:tcMar>
              <w:top w:w="-1" w:type="dxa"/>
              <w:left w:w="-1" w:type="dxa"/>
              <w:bottom w:w="-1" w:type="dxa"/>
              <w:right w:w="-1" w:type="dxa"/>
            </w:tcMar>
            <w:vAlign w:val="center"/>
          </w:tcPr>
          <w:p w14:paraId="543B0CE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99mTc、90Sr</w:t>
            </w:r>
          </w:p>
        </w:tc>
        <w:tc>
          <w:tcPr>
            <w:tcW w:w="932" w:type="dxa"/>
            <w:tcBorders>
              <w:top w:val="nil"/>
              <w:left w:val="nil"/>
              <w:bottom w:val="single" w:color="000000" w:sz="12" w:space="0"/>
              <w:right w:val="nil"/>
            </w:tcBorders>
            <w:shd w:val="clear" w:color="auto" w:fill="auto"/>
            <w:noWrap w:val="0"/>
            <w:tcMar>
              <w:top w:w="-1" w:type="dxa"/>
              <w:left w:w="-1" w:type="dxa"/>
              <w:bottom w:w="-1" w:type="dxa"/>
              <w:right w:w="-1" w:type="dxa"/>
            </w:tcMar>
            <w:vAlign w:val="center"/>
          </w:tcPr>
          <w:p w14:paraId="57DC38CB">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w:t>
            </w:r>
          </w:p>
        </w:tc>
      </w:tr>
    </w:tbl>
    <w:p w14:paraId="6BE908DA">
      <w:pPr>
        <w:pStyle w:val="3"/>
        <w:jc w:val="center"/>
        <w:rPr>
          <w:rFonts w:hint="eastAsia" w:ascii="仿宋" w:hAnsi="仿宋" w:eastAsia="仿宋" w:cs="仿宋"/>
          <w:color w:val="auto"/>
          <w:lang w:val="en-US" w:eastAsia="zh-CN"/>
        </w:rPr>
      </w:pPr>
      <w:r>
        <w:rPr>
          <w:rFonts w:hint="eastAsia" w:ascii="仿宋" w:hAnsi="仿宋" w:eastAsia="仿宋" w:cs="仿宋"/>
          <w:b/>
          <w:bCs/>
          <w:color w:val="auto"/>
          <w:kern w:val="0"/>
          <w:sz w:val="24"/>
          <w:szCs w:val="24"/>
          <w:lang w:val="en-US" w:eastAsia="zh-CN" w:bidi="ar"/>
        </w:rPr>
        <w:t>附件2：广州医科大学附属第一医院娄底医院竣工验收清单(如需)</w:t>
      </w:r>
    </w:p>
    <w:tbl>
      <w:tblPr>
        <w:tblStyle w:val="20"/>
        <w:tblW w:w="86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65"/>
        <w:gridCol w:w="787"/>
        <w:gridCol w:w="2810"/>
      </w:tblGrid>
      <w:tr w14:paraId="32C62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5065"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44128A1D">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通用设备名称</w:t>
            </w:r>
          </w:p>
        </w:tc>
        <w:tc>
          <w:tcPr>
            <w:tcW w:w="0" w:type="auto"/>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5282AA63">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数量</w:t>
            </w:r>
          </w:p>
        </w:tc>
        <w:tc>
          <w:tcPr>
            <w:tcW w:w="2810"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265A6BB2">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lang w:val="en-US" w:eastAsia="zh-CN"/>
              </w:rPr>
            </w:pPr>
            <w:r>
              <w:rPr>
                <w:rFonts w:hint="eastAsia" w:ascii="仿宋" w:hAnsi="仿宋" w:eastAsia="仿宋" w:cs="仿宋"/>
                <w:b/>
                <w:bCs/>
                <w:i w:val="0"/>
                <w:iCs w:val="0"/>
                <w:color w:val="auto"/>
                <w:sz w:val="28"/>
                <w:szCs w:val="28"/>
                <w:u w:val="none"/>
                <w:lang w:val="en-US" w:eastAsia="zh-CN"/>
              </w:rPr>
              <w:t>所在科室</w:t>
            </w:r>
          </w:p>
        </w:tc>
      </w:tr>
      <w:tr w14:paraId="4C97F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4DEFBF3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医用电子直线加速器1</w:t>
            </w:r>
          </w:p>
        </w:tc>
        <w:tc>
          <w:tcPr>
            <w:tcW w:w="0" w:type="auto"/>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7F06F5E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56E1340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525FF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5CB5B7AF">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医用电子直线加速器2</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5158A73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7E84C3F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59069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5C3D26D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后装治疗机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00C0D9A">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38473BEA">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43480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2B5B6BD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CT模拟定位机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442FA9F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572D008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104F7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6904277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移动式C形臂X光机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008784D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18C64BC9">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泌尿外科/骨科</w:t>
            </w:r>
          </w:p>
        </w:tc>
      </w:tr>
      <w:tr w14:paraId="2CA3F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436267C9">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64排及以上CT（1）</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81853C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1B47C50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6B3A3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104861C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64排及以上CT（2）</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F96512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D3D228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4F563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2EED9B8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超高端CT</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F26003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1540F7B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094A9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60535D2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乳腺X射线机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06178F1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6D92A75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6654D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26314E2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DR（直接数字化X线摄影系统）</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56C2760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724095D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07942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4DDBBB5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DDR（动态DR）</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BDE7F9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475F196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74A0C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5D3AD72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移动DR</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8D084D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1A377B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3ABE0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474680D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胃肠造影机（直接数字化X线造影系统）</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8C506B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2D9C728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169A5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039437B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移动式C形臂X光机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8D265A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759ADB8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呼吸与危重症医学科</w:t>
            </w:r>
          </w:p>
        </w:tc>
      </w:tr>
      <w:tr w14:paraId="5E928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6574A99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大C臂机DSA</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6702B75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51AE236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介入室</w:t>
            </w:r>
          </w:p>
        </w:tc>
      </w:tr>
      <w:tr w14:paraId="39724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068AB8AF">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PET/CT及配套产品</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6DC5E21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1F39DB6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核医学科</w:t>
            </w:r>
          </w:p>
        </w:tc>
      </w:tr>
      <w:tr w14:paraId="00D5C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7898549F">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SPECT/CT（16排以上）及配套产品</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5B39F6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6C22893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核医学科</w:t>
            </w:r>
          </w:p>
        </w:tc>
      </w:tr>
      <w:tr w14:paraId="283D2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0173125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锶90（40mCi）敷贴器</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BC38D5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67676CB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核医学科</w:t>
            </w:r>
          </w:p>
        </w:tc>
      </w:tr>
      <w:tr w14:paraId="4BF85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396901A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口腔颌面锥形束计算机体层摄影（CBCT）</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2683A5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2AA908B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口腔科</w:t>
            </w:r>
          </w:p>
        </w:tc>
      </w:tr>
      <w:tr w14:paraId="747A4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single" w:color="000000" w:sz="12" w:space="0"/>
              <w:right w:val="nil"/>
            </w:tcBorders>
            <w:shd w:val="clear" w:color="auto" w:fill="FFFFFF"/>
            <w:noWrap w:val="0"/>
            <w:tcMar>
              <w:top w:w="-1" w:type="dxa"/>
              <w:left w:w="-1" w:type="dxa"/>
              <w:bottom w:w="-1" w:type="dxa"/>
              <w:right w:w="-1" w:type="dxa"/>
            </w:tcMar>
            <w:vAlign w:val="center"/>
          </w:tcPr>
          <w:p w14:paraId="2785B9AA">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双能X线骨密度仪</w:t>
            </w:r>
          </w:p>
        </w:tc>
        <w:tc>
          <w:tcPr>
            <w:tcW w:w="787" w:type="dxa"/>
            <w:tcBorders>
              <w:top w:val="nil"/>
              <w:left w:val="nil"/>
              <w:bottom w:val="single" w:color="000000" w:sz="12" w:space="0"/>
              <w:right w:val="nil"/>
            </w:tcBorders>
            <w:shd w:val="clear" w:color="auto" w:fill="FFFFFF"/>
            <w:noWrap w:val="0"/>
            <w:tcMar>
              <w:top w:w="-1" w:type="dxa"/>
              <w:left w:w="-1" w:type="dxa"/>
              <w:bottom w:w="-1" w:type="dxa"/>
              <w:right w:w="-1" w:type="dxa"/>
            </w:tcMar>
            <w:vAlign w:val="center"/>
          </w:tcPr>
          <w:p w14:paraId="2DE6C6D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single" w:color="000000" w:sz="12" w:space="0"/>
              <w:right w:val="nil"/>
            </w:tcBorders>
            <w:shd w:val="clear" w:color="auto" w:fill="FFFFFF"/>
            <w:noWrap w:val="0"/>
            <w:tcMar>
              <w:top w:w="-1" w:type="dxa"/>
              <w:left w:w="-1" w:type="dxa"/>
              <w:bottom w:w="-1" w:type="dxa"/>
              <w:right w:w="-1" w:type="dxa"/>
            </w:tcMar>
            <w:vAlign w:val="center"/>
          </w:tcPr>
          <w:p w14:paraId="0606894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老年内科</w:t>
            </w:r>
          </w:p>
        </w:tc>
      </w:tr>
    </w:tbl>
    <w:p w14:paraId="4617FFC4">
      <w:pPr>
        <w:pStyle w:val="3"/>
        <w:jc w:val="both"/>
        <w:rPr>
          <w:rFonts w:hint="eastAsia" w:ascii="仿宋" w:hAnsi="仿宋" w:eastAsia="仿宋" w:cs="仿宋"/>
          <w:color w:val="auto"/>
          <w:sz w:val="40"/>
          <w:szCs w:val="18"/>
          <w:lang w:eastAsia="zh-CN"/>
        </w:rPr>
      </w:pPr>
      <w:r>
        <w:rPr>
          <w:rFonts w:hint="eastAsia" w:ascii="仿宋" w:hAnsi="仿宋" w:eastAsia="仿宋" w:cs="仿宋"/>
          <w:b/>
          <w:bCs/>
          <w:color w:val="auto"/>
          <w:kern w:val="0"/>
          <w:sz w:val="22"/>
          <w:szCs w:val="22"/>
          <w:lang w:val="en-US" w:eastAsia="zh-CN" w:bidi="ar"/>
        </w:rPr>
        <w:t>附件3：广州医科大学附属第一医院娄底医院核技术利用项目</w:t>
      </w:r>
      <w:r>
        <w:rPr>
          <w:rFonts w:hint="eastAsia" w:ascii="仿宋" w:hAnsi="仿宋" w:eastAsia="仿宋" w:cs="仿宋"/>
          <w:b/>
          <w:bCs/>
          <w:color w:val="auto"/>
          <w:kern w:val="0"/>
          <w:sz w:val="24"/>
          <w:szCs w:val="24"/>
          <w:lang w:val="en-US" w:eastAsia="zh-CN" w:bidi="ar"/>
        </w:rPr>
        <w:t>竣工验收清单(如需)</w:t>
      </w:r>
    </w:p>
    <w:tbl>
      <w:tblPr>
        <w:tblStyle w:val="20"/>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33"/>
        <w:gridCol w:w="5470"/>
        <w:gridCol w:w="1619"/>
      </w:tblGrid>
      <w:tr w14:paraId="43DA7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0" w:type="auto"/>
            <w:tcBorders>
              <w:top w:val="single" w:color="auto" w:sz="12" w:space="0"/>
              <w:left w:val="nil"/>
              <w:bottom w:val="nil"/>
              <w:right w:val="nil"/>
            </w:tcBorders>
            <w:shd w:val="clear" w:color="auto" w:fill="auto"/>
            <w:noWrap w:val="0"/>
            <w:tcMar>
              <w:top w:w="-1" w:type="dxa"/>
              <w:left w:w="-1" w:type="dxa"/>
              <w:bottom w:w="-1" w:type="dxa"/>
              <w:right w:w="-1" w:type="dxa"/>
            </w:tcMar>
            <w:vAlign w:val="center"/>
          </w:tcPr>
          <w:p w14:paraId="2BCCF753">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b/>
                <w:i w:val="0"/>
                <w:iCs w:val="0"/>
                <w:color w:val="auto"/>
                <w:kern w:val="2"/>
                <w:sz w:val="28"/>
                <w:szCs w:val="24"/>
                <w:u w:val="none"/>
                <w:lang w:val="en-US" w:eastAsia="zh-CN" w:bidi="ar-SA"/>
              </w:rPr>
            </w:pPr>
            <w:r>
              <w:rPr>
                <w:rFonts w:hint="eastAsia" w:ascii="仿宋" w:hAnsi="仿宋" w:eastAsia="仿宋" w:cs="仿宋"/>
                <w:b/>
                <w:i w:val="0"/>
                <w:iCs w:val="0"/>
                <w:color w:val="auto"/>
                <w:kern w:val="0"/>
                <w:sz w:val="28"/>
                <w:szCs w:val="24"/>
                <w:u w:val="none"/>
                <w:lang w:val="en-US" w:eastAsia="zh-CN" w:bidi="ar"/>
              </w:rPr>
              <w:t>核素名称</w:t>
            </w:r>
          </w:p>
        </w:tc>
        <w:tc>
          <w:tcPr>
            <w:tcW w:w="5470"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2D2192D0">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lang w:val="en-US" w:eastAsia="zh-CN"/>
              </w:rPr>
            </w:pPr>
            <w:r>
              <w:rPr>
                <w:rFonts w:hint="eastAsia" w:ascii="仿宋" w:hAnsi="仿宋" w:eastAsia="仿宋" w:cs="仿宋"/>
                <w:b/>
                <w:bCs/>
                <w:i w:val="0"/>
                <w:iCs w:val="0"/>
                <w:color w:val="auto"/>
                <w:sz w:val="28"/>
                <w:szCs w:val="28"/>
                <w:u w:val="none"/>
                <w:lang w:val="en-US" w:eastAsia="zh-CN"/>
              </w:rPr>
              <w:t>年最大操作量</w:t>
            </w:r>
          </w:p>
        </w:tc>
        <w:tc>
          <w:tcPr>
            <w:tcW w:w="1619"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7E9119C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lang w:val="en-US" w:eastAsia="zh-CN"/>
              </w:rPr>
            </w:pPr>
            <w:r>
              <w:rPr>
                <w:rFonts w:hint="eastAsia" w:ascii="仿宋" w:hAnsi="仿宋" w:eastAsia="仿宋" w:cs="仿宋"/>
                <w:b/>
                <w:bCs/>
                <w:i w:val="0"/>
                <w:iCs w:val="0"/>
                <w:color w:val="auto"/>
                <w:sz w:val="28"/>
                <w:szCs w:val="28"/>
                <w:u w:val="none"/>
                <w:lang w:val="en-US" w:eastAsia="zh-CN"/>
              </w:rPr>
              <w:t>所在科室</w:t>
            </w:r>
          </w:p>
        </w:tc>
      </w:tr>
      <w:tr w14:paraId="75633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5F8C90F9">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18F</w:t>
            </w:r>
          </w:p>
        </w:tc>
        <w:tc>
          <w:tcPr>
            <w:tcW w:w="5470"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14F5A6F7">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4.992*10^13（生产）3.85*10^12（使用）</w:t>
            </w:r>
          </w:p>
        </w:tc>
        <w:tc>
          <w:tcPr>
            <w:tcW w:w="1619"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01E71DEC">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sz w:val="24"/>
                <w:szCs w:val="28"/>
                <w:u w:val="none"/>
                <w:lang w:val="en-US" w:eastAsia="zh-CN"/>
              </w:rPr>
            </w:pPr>
            <w:r>
              <w:rPr>
                <w:rFonts w:hint="eastAsia" w:ascii="仿宋" w:hAnsi="仿宋" w:eastAsia="仿宋" w:cs="仿宋"/>
                <w:i w:val="0"/>
                <w:iCs w:val="0"/>
                <w:color w:val="auto"/>
                <w:sz w:val="24"/>
                <w:szCs w:val="28"/>
                <w:u w:val="none"/>
                <w:lang w:val="en-US" w:eastAsia="zh-CN"/>
              </w:rPr>
              <w:t>核医学科</w:t>
            </w:r>
          </w:p>
        </w:tc>
      </w:tr>
      <w:tr w14:paraId="68396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63133676">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99mTc</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6EA2E542">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4.81*10^12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044F6B6D">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sz w:val="24"/>
                <w:szCs w:val="28"/>
                <w:u w:val="none"/>
              </w:rPr>
            </w:pPr>
            <w:r>
              <w:rPr>
                <w:rFonts w:hint="eastAsia" w:ascii="仿宋" w:hAnsi="仿宋" w:eastAsia="仿宋" w:cs="仿宋"/>
                <w:i w:val="0"/>
                <w:iCs w:val="0"/>
                <w:color w:val="auto"/>
                <w:sz w:val="24"/>
                <w:szCs w:val="28"/>
                <w:u w:val="none"/>
                <w:lang w:val="en-US" w:eastAsia="zh-CN"/>
              </w:rPr>
              <w:t>核医学科</w:t>
            </w:r>
          </w:p>
        </w:tc>
      </w:tr>
      <w:tr w14:paraId="06895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4F50F47C">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89Sr</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2DCD984B">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3.848*10^11</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10A97254">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sz w:val="24"/>
                <w:szCs w:val="28"/>
                <w:u w:val="none"/>
              </w:rPr>
            </w:pPr>
            <w:r>
              <w:rPr>
                <w:rFonts w:hint="eastAsia" w:ascii="仿宋" w:hAnsi="仿宋" w:eastAsia="仿宋" w:cs="仿宋"/>
                <w:i w:val="0"/>
                <w:iCs w:val="0"/>
                <w:color w:val="auto"/>
                <w:sz w:val="24"/>
                <w:szCs w:val="28"/>
                <w:u w:val="none"/>
                <w:lang w:val="en-US" w:eastAsia="zh-CN"/>
              </w:rPr>
              <w:t>核医学科</w:t>
            </w:r>
          </w:p>
        </w:tc>
      </w:tr>
      <w:tr w14:paraId="30B0A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97E55AD">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131I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016FF916">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2.479*10^12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77C8FC30">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24C82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8ACF6F4">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131I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4E3FEB20">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2.15*10^12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52DDC037">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7DBE5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4D63149B">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131I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0835BA54">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3.7*10^12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4DB50891">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4CE43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002053C1">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177Lu</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318DFB92">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1.48*10^12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33C2EC52">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6209A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940D689">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223Ra</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3919562A">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1.85*10^10</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309F72F8">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2C99D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5B6696C3">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32P</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6B794816">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3.7*10^11</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0AC23BCB">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3A045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43A288A7">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125I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133D2B13">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3.7*10^12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5E085430">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6CA79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433" w:type="dxa"/>
            <w:tcBorders>
              <w:top w:val="nil"/>
              <w:left w:val="nil"/>
              <w:bottom w:val="single" w:color="auto" w:sz="12" w:space="0"/>
              <w:right w:val="nil"/>
            </w:tcBorders>
            <w:shd w:val="clear" w:color="auto" w:fill="FFFFFF"/>
            <w:noWrap w:val="0"/>
            <w:tcMar>
              <w:top w:w="-1" w:type="dxa"/>
              <w:left w:w="-1" w:type="dxa"/>
              <w:bottom w:w="-1" w:type="dxa"/>
              <w:right w:w="-1" w:type="dxa"/>
            </w:tcMar>
            <w:vAlign w:val="center"/>
          </w:tcPr>
          <w:p w14:paraId="4D9A12CB">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225Ac</w:t>
            </w:r>
          </w:p>
        </w:tc>
        <w:tc>
          <w:tcPr>
            <w:tcW w:w="5470" w:type="dxa"/>
            <w:tcBorders>
              <w:top w:val="nil"/>
              <w:left w:val="nil"/>
              <w:bottom w:val="single" w:color="auto" w:sz="12" w:space="0"/>
              <w:right w:val="nil"/>
            </w:tcBorders>
            <w:shd w:val="clear" w:color="auto" w:fill="FFFFFF"/>
            <w:noWrap w:val="0"/>
            <w:tcMar>
              <w:top w:w="-1" w:type="dxa"/>
              <w:left w:w="-1" w:type="dxa"/>
              <w:bottom w:w="-1" w:type="dxa"/>
              <w:right w:w="-1" w:type="dxa"/>
            </w:tcMar>
            <w:vAlign w:val="center"/>
          </w:tcPr>
          <w:p w14:paraId="526D57BC">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1.85*10^10</w:t>
            </w:r>
          </w:p>
        </w:tc>
        <w:tc>
          <w:tcPr>
            <w:tcW w:w="1619" w:type="dxa"/>
            <w:tcBorders>
              <w:top w:val="nil"/>
              <w:left w:val="nil"/>
              <w:bottom w:val="single" w:color="auto" w:sz="12" w:space="0"/>
              <w:right w:val="nil"/>
            </w:tcBorders>
            <w:shd w:val="clear" w:color="auto" w:fill="FFFFFF"/>
            <w:noWrap w:val="0"/>
            <w:tcMar>
              <w:top w:w="-1" w:type="dxa"/>
              <w:left w:w="-1" w:type="dxa"/>
              <w:bottom w:w="-1" w:type="dxa"/>
              <w:right w:w="-1" w:type="dxa"/>
            </w:tcMar>
            <w:vAlign w:val="center"/>
          </w:tcPr>
          <w:p w14:paraId="6B09ECCE">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bl>
    <w:p w14:paraId="23E5835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40" w:firstLineChars="200"/>
        <w:jc w:val="left"/>
        <w:rPr>
          <w:rFonts w:hint="eastAsia" w:ascii="仿宋" w:hAnsi="仿宋" w:eastAsia="仿宋" w:cs="仿宋"/>
          <w:color w:val="auto"/>
          <w:sz w:val="32"/>
          <w:szCs w:val="32"/>
        </w:rPr>
      </w:pPr>
    </w:p>
    <w:p w14:paraId="4D0B904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2.2：职业病危害放射防护预评及控评技术服务相关内容及要求：</w:t>
      </w:r>
    </w:p>
    <w:p w14:paraId="1C1E7A0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2.2.1、满足GB18871-2002及《职业病防治法》、《放射诊疗管理规定》等有关标准要求。</w:t>
      </w:r>
    </w:p>
    <w:p w14:paraId="47FFF27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2.2.2、编制职业病危害放射防护预评价报告，组织专家评审会并取得预评批复，设备安装完成后通过职业病危害放射防护控制效果评价，组织专家评审并取得控评批复。（提供承诺函）</w:t>
      </w:r>
    </w:p>
    <w:p w14:paraId="7FC7434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2.2.3、评价范围</w:t>
      </w:r>
    </w:p>
    <w:p w14:paraId="7EA8593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仿宋" w:hAnsi="仿宋" w:eastAsia="仿宋" w:cs="仿宋"/>
          <w:color w:val="auto"/>
          <w:sz w:val="24"/>
          <w:szCs w:val="24"/>
        </w:rPr>
      </w:pPr>
      <w:r>
        <w:rPr>
          <w:rFonts w:hint="eastAsia" w:ascii="仿宋" w:hAnsi="仿宋" w:eastAsia="仿宋" w:cs="仿宋"/>
          <w:color w:val="auto"/>
          <w:sz w:val="24"/>
          <w:szCs w:val="24"/>
        </w:rPr>
        <w:t>附件</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：广州医科大学附属第一医院娄底医院</w:t>
      </w:r>
      <w:r>
        <w:rPr>
          <w:rFonts w:hint="eastAsia" w:ascii="仿宋" w:hAnsi="仿宋" w:eastAsia="仿宋" w:cs="仿宋"/>
          <w:color w:val="auto"/>
          <w:sz w:val="24"/>
          <w:szCs w:val="24"/>
          <w:lang w:val="en-US" w:eastAsia="zh-CN"/>
        </w:rPr>
        <w:t>预</w:t>
      </w:r>
      <w:r>
        <w:rPr>
          <w:rFonts w:hint="eastAsia" w:ascii="仿宋" w:hAnsi="仿宋" w:eastAsia="仿宋" w:cs="仿宋"/>
          <w:color w:val="auto"/>
          <w:sz w:val="24"/>
          <w:szCs w:val="24"/>
        </w:rPr>
        <w:t>评项目清单</w:t>
      </w:r>
    </w:p>
    <w:tbl>
      <w:tblPr>
        <w:tblStyle w:val="21"/>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91"/>
        <w:gridCol w:w="5119"/>
        <w:gridCol w:w="1012"/>
      </w:tblGrid>
      <w:tr w14:paraId="025C707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91" w:type="dxa"/>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75D01E24">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0"/>
                <w:sz w:val="24"/>
                <w:szCs w:val="24"/>
                <w:lang w:val="en-US" w:eastAsia="zh-CN" w:bidi="ar"/>
              </w:rPr>
              <w:t>类别</w:t>
            </w:r>
          </w:p>
        </w:tc>
        <w:tc>
          <w:tcPr>
            <w:tcW w:w="5119" w:type="dxa"/>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085E7336">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0"/>
                <w:sz w:val="24"/>
                <w:szCs w:val="24"/>
                <w:lang w:val="en-US" w:eastAsia="zh-CN" w:bidi="ar"/>
              </w:rPr>
              <w:t>设备/核素名称</w:t>
            </w:r>
          </w:p>
        </w:tc>
        <w:tc>
          <w:tcPr>
            <w:tcW w:w="1012" w:type="dxa"/>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216FC1E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0"/>
                <w:sz w:val="24"/>
                <w:szCs w:val="24"/>
                <w:lang w:val="en-US" w:eastAsia="zh-CN" w:bidi="ar"/>
              </w:rPr>
              <w:t>数量</w:t>
            </w:r>
          </w:p>
        </w:tc>
      </w:tr>
      <w:tr w14:paraId="28FBAF7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91" w:type="dxa"/>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2107E064">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放射性物质类</w:t>
            </w:r>
          </w:p>
        </w:tc>
        <w:tc>
          <w:tcPr>
            <w:tcW w:w="5119"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163F0FF4">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¹⁷⁷Lu核素治疗</w:t>
            </w:r>
          </w:p>
        </w:tc>
        <w:tc>
          <w:tcPr>
            <w:tcW w:w="1012" w:type="dxa"/>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0B2CC647">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w:t>
            </w:r>
          </w:p>
        </w:tc>
      </w:tr>
      <w:tr w14:paraId="795BA35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91" w:type="dxa"/>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55F3EA30">
            <w:pPr>
              <w:snapToGrid w:val="0"/>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119"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D4630A2">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¹²⁵I粒子</w:t>
            </w:r>
          </w:p>
        </w:tc>
        <w:tc>
          <w:tcPr>
            <w:tcW w:w="1012" w:type="dxa"/>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4985C67C">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w:t>
            </w:r>
          </w:p>
        </w:tc>
      </w:tr>
      <w:tr w14:paraId="35E3E62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91" w:type="dxa"/>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420CED33">
            <w:pPr>
              <w:snapToGrid w:val="0"/>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119"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370AB35">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³²P敷贴</w:t>
            </w:r>
          </w:p>
        </w:tc>
        <w:tc>
          <w:tcPr>
            <w:tcW w:w="1012" w:type="dxa"/>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26577960">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w:t>
            </w:r>
          </w:p>
        </w:tc>
      </w:tr>
      <w:tr w14:paraId="2BA235E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91" w:type="dxa"/>
            <w:vMerge w:val="restart"/>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317BBCF2">
            <w:pPr>
              <w:snapToGrid w:val="0"/>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射线装置场所</w:t>
            </w:r>
          </w:p>
        </w:tc>
        <w:tc>
          <w:tcPr>
            <w:tcW w:w="5119"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79B97D7C">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呼吸与危重症医学科介入检查室</w:t>
            </w:r>
          </w:p>
        </w:tc>
        <w:tc>
          <w:tcPr>
            <w:tcW w:w="1012" w:type="dxa"/>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5C060655">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2间</w:t>
            </w:r>
          </w:p>
        </w:tc>
      </w:tr>
      <w:tr w14:paraId="6DFC086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91" w:type="dxa"/>
            <w:vMerge w:val="continue"/>
            <w:tcBorders>
              <w:left w:val="single" w:color="auto" w:sz="12" w:space="0"/>
              <w:bottom w:val="single" w:color="auto" w:sz="4" w:space="0"/>
            </w:tcBorders>
            <w:shd w:val="clear" w:color="auto" w:fill="auto"/>
            <w:noWrap w:val="0"/>
            <w:tcMar>
              <w:top w:w="-1" w:type="dxa"/>
              <w:left w:w="-1" w:type="dxa"/>
              <w:bottom w:w="-1" w:type="dxa"/>
              <w:right w:w="-1" w:type="dxa"/>
            </w:tcMar>
            <w:vAlign w:val="center"/>
          </w:tcPr>
          <w:p w14:paraId="6DFFA8EA">
            <w:pPr>
              <w:snapToGrid w:val="0"/>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119" w:type="dxa"/>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5DBCF5EB">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8间手术室（涉及到放射诊疗）</w:t>
            </w:r>
          </w:p>
        </w:tc>
        <w:tc>
          <w:tcPr>
            <w:tcW w:w="1012" w:type="dxa"/>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2FC522CA">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8间</w:t>
            </w:r>
          </w:p>
        </w:tc>
      </w:tr>
    </w:tbl>
    <w:p w14:paraId="0D58DFC8">
      <w:pPr>
        <w:pStyle w:val="3"/>
        <w:jc w:val="center"/>
        <w:rPr>
          <w:rFonts w:hint="eastAsia" w:ascii="仿宋" w:hAnsi="仿宋" w:eastAsia="仿宋" w:cs="仿宋"/>
          <w:color w:val="auto"/>
          <w:lang w:eastAsia="zh-CN"/>
        </w:rPr>
      </w:pPr>
      <w:r>
        <w:rPr>
          <w:rFonts w:hint="eastAsia" w:ascii="仿宋" w:hAnsi="仿宋" w:eastAsia="仿宋" w:cs="仿宋"/>
          <w:b/>
          <w:bCs/>
          <w:color w:val="auto"/>
          <w:kern w:val="0"/>
          <w:sz w:val="24"/>
          <w:szCs w:val="24"/>
          <w:lang w:val="en-US" w:eastAsia="zh-CN" w:bidi="ar"/>
        </w:rPr>
        <w:t>附件2：广州医科大学附属第一医院娄底医院控评清单</w:t>
      </w:r>
    </w:p>
    <w:tbl>
      <w:tblPr>
        <w:tblStyle w:val="20"/>
        <w:tblW w:w="86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65"/>
        <w:gridCol w:w="787"/>
        <w:gridCol w:w="2810"/>
      </w:tblGrid>
      <w:tr w14:paraId="00DDF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5065"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4E124445">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通用设备名称</w:t>
            </w:r>
          </w:p>
        </w:tc>
        <w:tc>
          <w:tcPr>
            <w:tcW w:w="0" w:type="auto"/>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2CB2D060">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数量</w:t>
            </w:r>
          </w:p>
        </w:tc>
        <w:tc>
          <w:tcPr>
            <w:tcW w:w="2810"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7D2C0CC9">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lang w:val="en-US" w:eastAsia="zh-CN"/>
              </w:rPr>
            </w:pPr>
            <w:r>
              <w:rPr>
                <w:rFonts w:hint="eastAsia" w:ascii="仿宋" w:hAnsi="仿宋" w:eastAsia="仿宋" w:cs="仿宋"/>
                <w:b/>
                <w:bCs/>
                <w:i w:val="0"/>
                <w:iCs w:val="0"/>
                <w:color w:val="auto"/>
                <w:sz w:val="28"/>
                <w:szCs w:val="28"/>
                <w:u w:val="none"/>
                <w:lang w:val="en-US" w:eastAsia="zh-CN"/>
              </w:rPr>
              <w:t>所在科室</w:t>
            </w:r>
          </w:p>
        </w:tc>
      </w:tr>
      <w:tr w14:paraId="7B858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145350A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医用电子直线加速器1</w:t>
            </w:r>
          </w:p>
        </w:tc>
        <w:tc>
          <w:tcPr>
            <w:tcW w:w="0" w:type="auto"/>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48D4259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58E3717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71ED9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39F0EE6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医用电子直线加速器2</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0D9969D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6C6E7B0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17767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4A1EA51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后装治疗机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5F753E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591566E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4E009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3380FED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CT模拟定位机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0FC4BC7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763A44F9">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53192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097066B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移动式C形臂X光机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4F78646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820938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泌尿外科/骨科</w:t>
            </w:r>
          </w:p>
        </w:tc>
      </w:tr>
      <w:tr w14:paraId="276F2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34C4A6F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64排及以上CT（1）</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DBABC4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6FB9B3E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6112B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69AA85B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64排及以上CT（2）</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5B50C3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10CD3ED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41213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173DD18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超高端CT</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953F05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71C0E24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064C5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47BEB52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乳腺X射线机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6C643C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1CA336A">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1F8B1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084CF83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DR（直接数字化X线摄影系统）</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247E9F49">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46D6A809">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1CDAD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6D85F7E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DDR（动态DR）</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45C2F69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42DCA54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7E822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670FAFC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移动DR</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924E14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2059659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4845D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6C3E061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胃肠造影机（直接数字化X线造影系统）</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7261AA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31EDCBA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49B22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684C476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移动式C形臂X光机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326D56A">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781AB33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呼吸与危重症医学科</w:t>
            </w:r>
          </w:p>
        </w:tc>
      </w:tr>
      <w:tr w14:paraId="757F5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1B41B92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大C臂机DSA</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FA9C1E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16B56B1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介入室</w:t>
            </w:r>
          </w:p>
        </w:tc>
      </w:tr>
      <w:tr w14:paraId="5A097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73C7C79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PET/CT及配套产品</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87E5B4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1315674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核医学科</w:t>
            </w:r>
          </w:p>
        </w:tc>
      </w:tr>
      <w:tr w14:paraId="64F9F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04B1857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SPECT/CT（16排以上）及配套产品</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0B0C6B5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136643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核医学科</w:t>
            </w:r>
          </w:p>
        </w:tc>
      </w:tr>
      <w:tr w14:paraId="69D37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5A7E3C0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锶90（40mCi）敷贴器</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A03DC4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4AE11A5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核医学科</w:t>
            </w:r>
          </w:p>
        </w:tc>
      </w:tr>
      <w:tr w14:paraId="6D05F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2F5ACF1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口腔颌面锥形束计算机体层摄影（CBCT）</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D28E5C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15B71F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口腔科</w:t>
            </w:r>
          </w:p>
        </w:tc>
      </w:tr>
      <w:tr w14:paraId="080F7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65" w:type="dxa"/>
            <w:tcBorders>
              <w:top w:val="nil"/>
              <w:left w:val="nil"/>
              <w:bottom w:val="single" w:color="000000" w:sz="12" w:space="0"/>
              <w:right w:val="nil"/>
            </w:tcBorders>
            <w:shd w:val="clear" w:color="auto" w:fill="FFFFFF"/>
            <w:noWrap w:val="0"/>
            <w:tcMar>
              <w:top w:w="-1" w:type="dxa"/>
              <w:left w:w="-1" w:type="dxa"/>
              <w:bottom w:w="-1" w:type="dxa"/>
              <w:right w:w="-1" w:type="dxa"/>
            </w:tcMar>
            <w:vAlign w:val="center"/>
          </w:tcPr>
          <w:p w14:paraId="287010B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双能X线骨密度仪</w:t>
            </w:r>
          </w:p>
        </w:tc>
        <w:tc>
          <w:tcPr>
            <w:tcW w:w="787" w:type="dxa"/>
            <w:tcBorders>
              <w:top w:val="nil"/>
              <w:left w:val="nil"/>
              <w:bottom w:val="single" w:color="000000" w:sz="12" w:space="0"/>
              <w:right w:val="nil"/>
            </w:tcBorders>
            <w:shd w:val="clear" w:color="auto" w:fill="FFFFFF"/>
            <w:noWrap w:val="0"/>
            <w:tcMar>
              <w:top w:w="-1" w:type="dxa"/>
              <w:left w:w="-1" w:type="dxa"/>
              <w:bottom w:w="-1" w:type="dxa"/>
              <w:right w:w="-1" w:type="dxa"/>
            </w:tcMar>
            <w:vAlign w:val="center"/>
          </w:tcPr>
          <w:p w14:paraId="7E112D3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single" w:color="000000" w:sz="12" w:space="0"/>
              <w:right w:val="nil"/>
            </w:tcBorders>
            <w:shd w:val="clear" w:color="auto" w:fill="FFFFFF"/>
            <w:noWrap w:val="0"/>
            <w:tcMar>
              <w:top w:w="-1" w:type="dxa"/>
              <w:left w:w="-1" w:type="dxa"/>
              <w:bottom w:w="-1" w:type="dxa"/>
              <w:right w:w="-1" w:type="dxa"/>
            </w:tcMar>
            <w:vAlign w:val="center"/>
          </w:tcPr>
          <w:p w14:paraId="74AAA48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老年内科</w:t>
            </w:r>
          </w:p>
        </w:tc>
      </w:tr>
    </w:tbl>
    <w:p w14:paraId="60B96AC6">
      <w:pPr>
        <w:pStyle w:val="3"/>
        <w:jc w:val="both"/>
        <w:rPr>
          <w:rFonts w:hint="eastAsia" w:ascii="仿宋" w:hAnsi="仿宋" w:eastAsia="仿宋" w:cs="仿宋"/>
          <w:color w:val="auto"/>
          <w:sz w:val="40"/>
          <w:szCs w:val="18"/>
          <w:lang w:eastAsia="zh-CN"/>
        </w:rPr>
      </w:pPr>
      <w:r>
        <w:rPr>
          <w:rFonts w:hint="eastAsia" w:ascii="仿宋" w:hAnsi="仿宋" w:eastAsia="仿宋" w:cs="仿宋"/>
          <w:b/>
          <w:bCs/>
          <w:color w:val="auto"/>
          <w:kern w:val="0"/>
          <w:sz w:val="22"/>
          <w:szCs w:val="22"/>
          <w:lang w:val="en-US" w:eastAsia="zh-CN" w:bidi="ar"/>
        </w:rPr>
        <w:t>附件3：广州医科大学附属第一医院娄底医院核技术利用项目控评清单</w:t>
      </w:r>
    </w:p>
    <w:tbl>
      <w:tblPr>
        <w:tblStyle w:val="20"/>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33"/>
        <w:gridCol w:w="5470"/>
        <w:gridCol w:w="1619"/>
      </w:tblGrid>
      <w:tr w14:paraId="6F10F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0" w:type="auto"/>
            <w:tcBorders>
              <w:top w:val="single" w:color="auto" w:sz="12" w:space="0"/>
              <w:left w:val="nil"/>
              <w:bottom w:val="nil"/>
              <w:right w:val="nil"/>
            </w:tcBorders>
            <w:shd w:val="clear" w:color="auto" w:fill="auto"/>
            <w:noWrap w:val="0"/>
            <w:tcMar>
              <w:top w:w="-1" w:type="dxa"/>
              <w:left w:w="-1" w:type="dxa"/>
              <w:bottom w:w="-1" w:type="dxa"/>
              <w:right w:w="-1" w:type="dxa"/>
            </w:tcMar>
            <w:vAlign w:val="center"/>
          </w:tcPr>
          <w:p w14:paraId="649D407D">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b/>
                <w:i w:val="0"/>
                <w:iCs w:val="0"/>
                <w:color w:val="auto"/>
                <w:kern w:val="2"/>
                <w:sz w:val="28"/>
                <w:szCs w:val="24"/>
                <w:u w:val="none"/>
                <w:lang w:val="en-US" w:eastAsia="zh-CN" w:bidi="ar-SA"/>
              </w:rPr>
            </w:pPr>
            <w:r>
              <w:rPr>
                <w:rFonts w:hint="eastAsia" w:ascii="仿宋" w:hAnsi="仿宋" w:eastAsia="仿宋" w:cs="仿宋"/>
                <w:b/>
                <w:i w:val="0"/>
                <w:iCs w:val="0"/>
                <w:color w:val="auto"/>
                <w:kern w:val="0"/>
                <w:sz w:val="28"/>
                <w:szCs w:val="24"/>
                <w:u w:val="none"/>
                <w:lang w:val="en-US" w:eastAsia="zh-CN" w:bidi="ar"/>
              </w:rPr>
              <w:t>核素名称</w:t>
            </w:r>
          </w:p>
        </w:tc>
        <w:tc>
          <w:tcPr>
            <w:tcW w:w="5470"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18B93913">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lang w:val="en-US" w:eastAsia="zh-CN"/>
              </w:rPr>
            </w:pPr>
            <w:r>
              <w:rPr>
                <w:rFonts w:hint="eastAsia" w:ascii="仿宋" w:hAnsi="仿宋" w:eastAsia="仿宋" w:cs="仿宋"/>
                <w:b/>
                <w:bCs/>
                <w:i w:val="0"/>
                <w:iCs w:val="0"/>
                <w:color w:val="auto"/>
                <w:sz w:val="28"/>
                <w:szCs w:val="28"/>
                <w:u w:val="none"/>
                <w:lang w:val="en-US" w:eastAsia="zh-CN"/>
              </w:rPr>
              <w:t>年最大操作量</w:t>
            </w:r>
          </w:p>
        </w:tc>
        <w:tc>
          <w:tcPr>
            <w:tcW w:w="1619"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2F418846">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lang w:val="en-US" w:eastAsia="zh-CN"/>
              </w:rPr>
            </w:pPr>
            <w:r>
              <w:rPr>
                <w:rFonts w:hint="eastAsia" w:ascii="仿宋" w:hAnsi="仿宋" w:eastAsia="仿宋" w:cs="仿宋"/>
                <w:b/>
                <w:bCs/>
                <w:i w:val="0"/>
                <w:iCs w:val="0"/>
                <w:color w:val="auto"/>
                <w:sz w:val="28"/>
                <w:szCs w:val="28"/>
                <w:u w:val="none"/>
                <w:lang w:val="en-US" w:eastAsia="zh-CN"/>
              </w:rPr>
              <w:t>所在科室</w:t>
            </w:r>
          </w:p>
        </w:tc>
      </w:tr>
      <w:tr w14:paraId="551A6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411091A6">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18F</w:t>
            </w:r>
          </w:p>
        </w:tc>
        <w:tc>
          <w:tcPr>
            <w:tcW w:w="5470"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584FC3CD">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4.992*10^13（生产）3.85*10^12（使用）</w:t>
            </w:r>
          </w:p>
        </w:tc>
        <w:tc>
          <w:tcPr>
            <w:tcW w:w="1619"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62F55E97">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sz w:val="24"/>
                <w:szCs w:val="28"/>
                <w:u w:val="none"/>
                <w:lang w:val="en-US" w:eastAsia="zh-CN"/>
              </w:rPr>
            </w:pPr>
            <w:r>
              <w:rPr>
                <w:rFonts w:hint="eastAsia" w:ascii="仿宋" w:hAnsi="仿宋" w:eastAsia="仿宋" w:cs="仿宋"/>
                <w:i w:val="0"/>
                <w:iCs w:val="0"/>
                <w:color w:val="auto"/>
                <w:sz w:val="24"/>
                <w:szCs w:val="28"/>
                <w:u w:val="none"/>
                <w:lang w:val="en-US" w:eastAsia="zh-CN"/>
              </w:rPr>
              <w:t>核医学科</w:t>
            </w:r>
          </w:p>
        </w:tc>
      </w:tr>
      <w:tr w14:paraId="2B3AF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AC791CE">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99mTc</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506BBD39">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4.81*10^12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6F3661AC">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sz w:val="24"/>
                <w:szCs w:val="28"/>
                <w:u w:val="none"/>
              </w:rPr>
            </w:pPr>
            <w:r>
              <w:rPr>
                <w:rFonts w:hint="eastAsia" w:ascii="仿宋" w:hAnsi="仿宋" w:eastAsia="仿宋" w:cs="仿宋"/>
                <w:i w:val="0"/>
                <w:iCs w:val="0"/>
                <w:color w:val="auto"/>
                <w:sz w:val="24"/>
                <w:szCs w:val="28"/>
                <w:u w:val="none"/>
                <w:lang w:val="en-US" w:eastAsia="zh-CN"/>
              </w:rPr>
              <w:t>核医学科</w:t>
            </w:r>
          </w:p>
        </w:tc>
      </w:tr>
      <w:tr w14:paraId="50790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52262754">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89Sr</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04DB6767">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3.848*10^11</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262B7512">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sz w:val="24"/>
                <w:szCs w:val="28"/>
                <w:u w:val="none"/>
              </w:rPr>
            </w:pPr>
            <w:r>
              <w:rPr>
                <w:rFonts w:hint="eastAsia" w:ascii="仿宋" w:hAnsi="仿宋" w:eastAsia="仿宋" w:cs="仿宋"/>
                <w:i w:val="0"/>
                <w:iCs w:val="0"/>
                <w:color w:val="auto"/>
                <w:sz w:val="24"/>
                <w:szCs w:val="28"/>
                <w:u w:val="none"/>
                <w:lang w:val="en-US" w:eastAsia="zh-CN"/>
              </w:rPr>
              <w:t>核医学科</w:t>
            </w:r>
          </w:p>
        </w:tc>
      </w:tr>
      <w:tr w14:paraId="1C1EC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59408DE6">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131I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4E620EF6">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2.479*10^12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5DA3F488">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4CD18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4B30983">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131I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00CBD742">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2.15*10^12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6C9BDAA8">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29C6F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648212C0">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131I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02453545">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3.7*10^12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42C79A70">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000AA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6A2628E">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177Lu</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6E2DAA1F">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1.48*10^12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1C012AE5">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1C3EF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2D931925">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223Ra</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022F626A">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1.85*10^10</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60590727">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3B17A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C987F01">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32P</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622B6C2A">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3.7*10^11</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5470C1BA">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11342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2DA9CF16">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125I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48E5BFB4">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3.7*10^12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70456CBA">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58AF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433" w:type="dxa"/>
            <w:tcBorders>
              <w:top w:val="nil"/>
              <w:left w:val="nil"/>
              <w:bottom w:val="single" w:color="auto" w:sz="12" w:space="0"/>
              <w:right w:val="nil"/>
            </w:tcBorders>
            <w:shd w:val="clear" w:color="auto" w:fill="FFFFFF"/>
            <w:noWrap w:val="0"/>
            <w:tcMar>
              <w:top w:w="-1" w:type="dxa"/>
              <w:left w:w="-1" w:type="dxa"/>
              <w:bottom w:w="-1" w:type="dxa"/>
              <w:right w:w="-1" w:type="dxa"/>
            </w:tcMar>
            <w:vAlign w:val="center"/>
          </w:tcPr>
          <w:p w14:paraId="5B4063DE">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225Ac</w:t>
            </w:r>
          </w:p>
        </w:tc>
        <w:tc>
          <w:tcPr>
            <w:tcW w:w="5470" w:type="dxa"/>
            <w:tcBorders>
              <w:top w:val="nil"/>
              <w:left w:val="nil"/>
              <w:bottom w:val="single" w:color="auto" w:sz="12" w:space="0"/>
              <w:right w:val="nil"/>
            </w:tcBorders>
            <w:shd w:val="clear" w:color="auto" w:fill="FFFFFF"/>
            <w:noWrap w:val="0"/>
            <w:tcMar>
              <w:top w:w="-1" w:type="dxa"/>
              <w:left w:w="-1" w:type="dxa"/>
              <w:bottom w:w="-1" w:type="dxa"/>
              <w:right w:w="-1" w:type="dxa"/>
            </w:tcMar>
            <w:vAlign w:val="center"/>
          </w:tcPr>
          <w:p w14:paraId="6BF5EA4D">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1.85*10^10</w:t>
            </w:r>
          </w:p>
        </w:tc>
        <w:tc>
          <w:tcPr>
            <w:tcW w:w="1619" w:type="dxa"/>
            <w:tcBorders>
              <w:top w:val="nil"/>
              <w:left w:val="nil"/>
              <w:bottom w:val="single" w:color="auto" w:sz="12" w:space="0"/>
              <w:right w:val="nil"/>
            </w:tcBorders>
            <w:shd w:val="clear" w:color="auto" w:fill="FFFFFF"/>
            <w:noWrap w:val="0"/>
            <w:tcMar>
              <w:top w:w="-1" w:type="dxa"/>
              <w:left w:w="-1" w:type="dxa"/>
              <w:bottom w:w="-1" w:type="dxa"/>
              <w:right w:w="-1" w:type="dxa"/>
            </w:tcMar>
            <w:vAlign w:val="center"/>
          </w:tcPr>
          <w:p w14:paraId="0BAD1510">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bl>
    <w:p w14:paraId="7DB4CA87">
      <w:pPr>
        <w:rPr>
          <w:rFonts w:hint="eastAsia" w:ascii="仿宋" w:hAnsi="仿宋" w:eastAsia="仿宋" w:cs="仿宋"/>
          <w:color w:val="auto"/>
          <w:lang w:eastAsia="zh-CN"/>
        </w:rPr>
      </w:pPr>
    </w:p>
    <w:p w14:paraId="4E095E47">
      <w:pPr>
        <w:rPr>
          <w:rFonts w:hint="eastAsia" w:ascii="仿宋" w:hAnsi="仿宋" w:eastAsia="仿宋" w:cs="仿宋"/>
          <w:color w:val="auto"/>
          <w:lang w:val="en-US" w:eastAsia="zh-CN"/>
        </w:rPr>
      </w:pPr>
      <w:r>
        <w:rPr>
          <w:rFonts w:hint="eastAsia" w:ascii="仿宋" w:hAnsi="仿宋" w:eastAsia="仿宋" w:cs="仿宋"/>
          <w:color w:val="auto"/>
          <w:lang w:val="en-US" w:eastAsia="zh-CN"/>
        </w:rPr>
        <w:t>三、</w:t>
      </w:r>
    </w:p>
    <w:p w14:paraId="76D48437">
      <w:pPr>
        <w:rPr>
          <w:rFonts w:hint="eastAsia" w:ascii="仿宋" w:hAnsi="仿宋" w:eastAsia="仿宋" w:cs="仿宋"/>
          <w:color w:val="auto"/>
          <w:lang w:val="en-US" w:eastAsia="zh-CN"/>
        </w:rPr>
      </w:pPr>
    </w:p>
    <w:p w14:paraId="5EEF1A01">
      <w:pPr>
        <w:rPr>
          <w:rFonts w:hint="eastAsia" w:ascii="仿宋" w:hAnsi="仿宋" w:eastAsia="仿宋" w:cs="仿宋"/>
          <w:b/>
          <w:bCs w:val="0"/>
          <w:color w:val="auto"/>
          <w:kern w:val="44"/>
          <w:sz w:val="30"/>
          <w:szCs w:val="30"/>
          <w:lang w:val="en-US" w:eastAsia="zh-CN" w:bidi="ar-SA"/>
        </w:rPr>
      </w:pPr>
      <w:r>
        <w:rPr>
          <w:rFonts w:hint="eastAsia" w:ascii="仿宋" w:hAnsi="仿宋" w:eastAsia="仿宋" w:cs="仿宋"/>
          <w:b/>
          <w:bCs w:val="0"/>
          <w:color w:val="auto"/>
          <w:kern w:val="44"/>
          <w:sz w:val="30"/>
          <w:szCs w:val="30"/>
          <w:lang w:val="en-US" w:eastAsia="zh-CN" w:bidi="ar-SA"/>
        </w:rPr>
        <w:br w:type="page"/>
      </w:r>
    </w:p>
    <w:p w14:paraId="21D2E84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仿宋" w:hAnsi="仿宋" w:eastAsia="仿宋" w:cs="仿宋"/>
          <w:b/>
          <w:bCs w:val="0"/>
          <w:color w:val="auto"/>
          <w:kern w:val="44"/>
          <w:sz w:val="30"/>
          <w:szCs w:val="30"/>
          <w:lang w:val="en-US" w:eastAsia="zh-CN" w:bidi="ar-SA"/>
        </w:rPr>
      </w:pPr>
      <w:r>
        <w:rPr>
          <w:rFonts w:hint="eastAsia" w:ascii="仿宋" w:hAnsi="仿宋" w:eastAsia="仿宋" w:cs="仿宋"/>
          <w:b/>
          <w:bCs w:val="0"/>
          <w:color w:val="auto"/>
          <w:kern w:val="44"/>
          <w:sz w:val="30"/>
          <w:szCs w:val="30"/>
          <w:lang w:val="en-US" w:eastAsia="zh-CN" w:bidi="ar-SA"/>
        </w:rPr>
        <w:t>第四章合同主要条款</w:t>
      </w:r>
    </w:p>
    <w:p w14:paraId="107F6BBD">
      <w:pPr>
        <w:widowControl w:val="0"/>
        <w:numPr>
          <w:ilvl w:val="0"/>
          <w:numId w:val="0"/>
        </w:numPr>
        <w:jc w:val="both"/>
        <w:rPr>
          <w:rFonts w:hint="eastAsia" w:ascii="仿宋" w:hAnsi="仿宋" w:eastAsia="仿宋" w:cs="仿宋"/>
          <w:color w:val="auto"/>
          <w:lang w:val="en-US" w:eastAsia="zh-CN"/>
        </w:rPr>
      </w:pPr>
    </w:p>
    <w:p w14:paraId="1D83BD1C">
      <w:pPr>
        <w:widowControl w:val="0"/>
        <w:numPr>
          <w:ilvl w:val="0"/>
          <w:numId w:val="0"/>
        </w:numPr>
        <w:jc w:val="both"/>
        <w:rPr>
          <w:rFonts w:hint="eastAsia" w:ascii="仿宋" w:hAnsi="仿宋" w:eastAsia="仿宋" w:cs="仿宋"/>
          <w:color w:val="auto"/>
          <w:lang w:val="en-US" w:eastAsia="zh-CN"/>
        </w:rPr>
      </w:pPr>
    </w:p>
    <w:p w14:paraId="0AEEA427">
      <w:pPr>
        <w:widowControl w:val="0"/>
        <w:numPr>
          <w:ilvl w:val="0"/>
          <w:numId w:val="0"/>
        </w:numPr>
        <w:jc w:val="both"/>
        <w:rPr>
          <w:rFonts w:hint="eastAsia" w:ascii="仿宋" w:hAnsi="仿宋" w:eastAsia="仿宋" w:cs="仿宋"/>
          <w:color w:val="auto"/>
          <w:lang w:val="en-US" w:eastAsia="zh-CN"/>
        </w:rPr>
      </w:pPr>
    </w:p>
    <w:p w14:paraId="2FD2A2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b w:val="0"/>
          <w:bCs w:val="0"/>
          <w:color w:val="auto"/>
          <w:kern w:val="0"/>
          <w:sz w:val="28"/>
          <w:szCs w:val="28"/>
          <w:lang w:val="en-US" w:eastAsia="zh-CN" w:bidi="ar"/>
        </w:rPr>
      </w:pPr>
      <w:r>
        <w:rPr>
          <w:rFonts w:hint="eastAsia" w:ascii="仿宋" w:hAnsi="仿宋" w:eastAsia="仿宋" w:cs="仿宋"/>
          <w:b/>
          <w:bCs/>
          <w:color w:val="auto"/>
          <w:kern w:val="0"/>
          <w:sz w:val="28"/>
          <w:szCs w:val="28"/>
          <w:lang w:val="en-US" w:eastAsia="zh-CN" w:bidi="ar"/>
        </w:rPr>
        <w:t>一、报价包含：</w:t>
      </w:r>
      <w:r>
        <w:rPr>
          <w:rFonts w:hint="eastAsia" w:ascii="仿宋" w:hAnsi="仿宋" w:eastAsia="仿宋" w:cs="仿宋"/>
          <w:b w:val="0"/>
          <w:bCs w:val="0"/>
          <w:color w:val="auto"/>
          <w:kern w:val="0"/>
          <w:sz w:val="28"/>
          <w:szCs w:val="28"/>
          <w:lang w:val="en-US" w:eastAsia="zh-CN" w:bidi="ar"/>
        </w:rPr>
        <w:t>现场勘查、检测、报告编制、专家评审费、会务费、备案上报费、交通费、税费、管理费、保险费、耗材费等</w:t>
      </w:r>
      <w:r>
        <w:rPr>
          <w:rStyle w:val="23"/>
          <w:rFonts w:hint="eastAsia" w:ascii="仿宋" w:hAnsi="仿宋" w:eastAsia="仿宋" w:cs="仿宋"/>
          <w:b w:val="0"/>
          <w:bCs w:val="0"/>
          <w:color w:val="auto"/>
          <w:kern w:val="0"/>
          <w:sz w:val="28"/>
          <w:szCs w:val="28"/>
          <w:lang w:val="en-US" w:eastAsia="zh-CN" w:bidi="ar"/>
        </w:rPr>
        <w:t>全部费用</w:t>
      </w:r>
      <w:r>
        <w:rPr>
          <w:rFonts w:hint="eastAsia" w:ascii="仿宋" w:hAnsi="仿宋" w:eastAsia="仿宋" w:cs="仿宋"/>
          <w:b w:val="0"/>
          <w:bCs w:val="0"/>
          <w:color w:val="auto"/>
          <w:kern w:val="0"/>
          <w:sz w:val="28"/>
          <w:szCs w:val="28"/>
          <w:lang w:val="en-US" w:eastAsia="zh-CN" w:bidi="ar"/>
        </w:rPr>
        <w:t>，为固定总价包干，采购人不另行支付任何其他费用。</w:t>
      </w:r>
    </w:p>
    <w:p w14:paraId="1C2DCED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bCs/>
          <w:color w:val="auto"/>
          <w:kern w:val="0"/>
          <w:sz w:val="28"/>
          <w:szCs w:val="28"/>
          <w:lang w:val="en-US" w:eastAsia="zh-CN" w:bidi="ar"/>
        </w:rPr>
        <w:t>二、付款方式：</w:t>
      </w:r>
      <w:r>
        <w:rPr>
          <w:rStyle w:val="23"/>
          <w:rFonts w:hint="eastAsia" w:ascii="仿宋" w:hAnsi="仿宋" w:eastAsia="仿宋" w:cs="仿宋"/>
          <w:b w:val="0"/>
          <w:bCs w:val="0"/>
          <w:color w:val="auto"/>
          <w:kern w:val="0"/>
          <w:sz w:val="28"/>
          <w:szCs w:val="28"/>
          <w:lang w:val="en-US" w:eastAsia="zh-CN" w:bidi="ar"/>
        </w:rPr>
        <w:t>取得行政主管部门合格批复文件及许可证后30个工作日内一次性支付。</w:t>
      </w:r>
    </w:p>
    <w:p w14:paraId="6011B4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Style w:val="23"/>
          <w:rFonts w:hint="eastAsia" w:ascii="仿宋" w:hAnsi="仿宋" w:eastAsia="仿宋" w:cs="仿宋"/>
          <w:b/>
          <w:bCs/>
          <w:color w:val="auto"/>
          <w:kern w:val="0"/>
          <w:sz w:val="28"/>
          <w:szCs w:val="28"/>
          <w:lang w:val="en-US" w:eastAsia="zh-CN" w:bidi="ar"/>
        </w:rPr>
      </w:pPr>
      <w:r>
        <w:rPr>
          <w:rStyle w:val="23"/>
          <w:rFonts w:hint="eastAsia" w:ascii="仿宋" w:hAnsi="仿宋" w:eastAsia="仿宋" w:cs="仿宋"/>
          <w:b/>
          <w:bCs/>
          <w:color w:val="auto"/>
          <w:kern w:val="0"/>
          <w:sz w:val="28"/>
          <w:szCs w:val="28"/>
          <w:lang w:val="en-US" w:eastAsia="zh-CN" w:bidi="ar"/>
        </w:rPr>
        <w:t>三、服务范围与内容（全覆盖・无遗漏）</w:t>
      </w:r>
    </w:p>
    <w:p w14:paraId="370305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1、职业病危害放射防护预评价</w:t>
      </w:r>
    </w:p>
    <w:p w14:paraId="0795A8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2、核医学密封源/非密封源、放射性药品：3种</w:t>
      </w:r>
    </w:p>
    <w:p w14:paraId="4A190F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3、射线装置及场所：10间</w:t>
      </w:r>
    </w:p>
    <w:p w14:paraId="1C15BE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4、职业病危害控制效果评价</w:t>
      </w:r>
    </w:p>
    <w:p w14:paraId="47B227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5、放射类设备：26台</w:t>
      </w:r>
    </w:p>
    <w:p w14:paraId="7552CA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6、放射场所：10个</w:t>
      </w:r>
    </w:p>
    <w:p w14:paraId="51B84A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7、核技术利用项目（核素）：15种</w:t>
      </w:r>
    </w:p>
    <w:p w14:paraId="33DBF8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8、环境影响评价</w:t>
      </w:r>
    </w:p>
    <w:p w14:paraId="65797B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9、射线装置及场所：26台（个）</w:t>
      </w:r>
    </w:p>
    <w:p w14:paraId="72A72A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10核医学密封源/非密封源、放射性药品：8种</w:t>
      </w:r>
    </w:p>
    <w:p w14:paraId="09C5D0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11、环保竣工验收</w:t>
      </w:r>
    </w:p>
    <w:p w14:paraId="0F2260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12、放射类设备：23台</w:t>
      </w:r>
    </w:p>
    <w:p w14:paraId="5172E6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13、放射场所：10个</w:t>
      </w:r>
    </w:p>
    <w:p w14:paraId="4D3DBE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14、核技术利用项目（核素）：15种</w:t>
      </w:r>
    </w:p>
    <w:p w14:paraId="13360A1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15、全流程配套服务现场勘查、检测、资料收集、报告编制、组织专家评审、整改指导、资料上报备案、对接行政部门、协助取得《放射诊疗许可证》《辐射安全许可证》。</w:t>
      </w:r>
    </w:p>
    <w:p w14:paraId="576F2D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Style w:val="23"/>
          <w:rFonts w:hint="eastAsia" w:ascii="仿宋" w:hAnsi="仿宋" w:eastAsia="仿宋" w:cs="仿宋"/>
          <w:b/>
          <w:bCs/>
          <w:color w:val="auto"/>
          <w:kern w:val="0"/>
          <w:sz w:val="28"/>
          <w:szCs w:val="28"/>
          <w:lang w:val="en-US" w:eastAsia="zh-CN" w:bidi="ar"/>
        </w:rPr>
      </w:pPr>
      <w:r>
        <w:rPr>
          <w:rStyle w:val="23"/>
          <w:rFonts w:hint="eastAsia" w:ascii="仿宋" w:hAnsi="仿宋" w:eastAsia="仿宋" w:cs="仿宋"/>
          <w:b/>
          <w:bCs/>
          <w:color w:val="auto"/>
          <w:kern w:val="0"/>
          <w:sz w:val="28"/>
          <w:szCs w:val="28"/>
          <w:lang w:val="en-US" w:eastAsia="zh-CN" w:bidi="ar"/>
        </w:rPr>
        <w:t>四、服务依据与标准</w:t>
      </w:r>
    </w:p>
    <w:p w14:paraId="1CC64A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符合《中华人民共和国放射性污染防治法》《中华人民共和国职业病防治法》《中华人民共和国环境影响评价法》《放射诊疗管理规定》《放射性同位素与射线装置安全和防护条例》等法律法规；</w:t>
      </w:r>
    </w:p>
    <w:p w14:paraId="67930D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符合GB18871-2002、GBZ130-2020及湖南省生态环境厅、卫生健康委现行审批要求；</w:t>
      </w:r>
    </w:p>
    <w:p w14:paraId="03FB1C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评价报告真实、完整、合规，确保通过专家评审与行政备案。</w:t>
      </w:r>
    </w:p>
    <w:p w14:paraId="7642A7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bCs/>
          <w:color w:val="auto"/>
          <w:kern w:val="0"/>
          <w:sz w:val="28"/>
          <w:szCs w:val="28"/>
          <w:lang w:val="en-US" w:eastAsia="zh-CN" w:bidi="ar"/>
        </w:rPr>
        <w:t>五、服务期限：</w:t>
      </w:r>
      <w:r>
        <w:rPr>
          <w:rStyle w:val="23"/>
          <w:rFonts w:hint="eastAsia" w:ascii="仿宋" w:hAnsi="仿宋" w:eastAsia="仿宋" w:cs="仿宋"/>
          <w:b w:val="0"/>
          <w:bCs w:val="0"/>
          <w:color w:val="auto"/>
          <w:kern w:val="0"/>
          <w:sz w:val="28"/>
          <w:szCs w:val="28"/>
          <w:lang w:val="en-US" w:eastAsia="zh-CN" w:bidi="ar"/>
        </w:rPr>
        <w:t>自合同签订之日起，至全部两项许可证取得并交付采购人为止。</w:t>
      </w:r>
    </w:p>
    <w:p w14:paraId="670529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Style w:val="23"/>
          <w:rFonts w:hint="eastAsia" w:ascii="仿宋" w:hAnsi="仿宋" w:eastAsia="仿宋" w:cs="仿宋"/>
          <w:b/>
          <w:bCs/>
          <w:color w:val="auto"/>
          <w:kern w:val="0"/>
          <w:sz w:val="28"/>
          <w:szCs w:val="28"/>
          <w:lang w:val="en-US" w:eastAsia="zh-CN" w:bidi="ar"/>
        </w:rPr>
      </w:pPr>
      <w:r>
        <w:rPr>
          <w:rStyle w:val="23"/>
          <w:rFonts w:hint="eastAsia" w:ascii="仿宋" w:hAnsi="仿宋" w:eastAsia="仿宋" w:cs="仿宋"/>
          <w:b/>
          <w:bCs/>
          <w:color w:val="auto"/>
          <w:kern w:val="0"/>
          <w:sz w:val="28"/>
          <w:szCs w:val="28"/>
          <w:lang w:val="en-US" w:eastAsia="zh-CN" w:bidi="ar"/>
        </w:rPr>
        <w:t>六、成果交付物</w:t>
      </w:r>
    </w:p>
    <w:p w14:paraId="76F451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预评价报告、控评报告、环评报告、竣工验收报告（盖章原件）；</w:t>
      </w:r>
    </w:p>
    <w:p w14:paraId="203D9B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专家评审意见、整改回复、备案回执/批复文件；</w:t>
      </w:r>
    </w:p>
    <w:p w14:paraId="50202F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《放射诊疗许可证》《辐射安全许可证》原件及复印件。</w:t>
      </w:r>
    </w:p>
    <w:p w14:paraId="189072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Style w:val="23"/>
          <w:rFonts w:hint="eastAsia" w:ascii="仿宋" w:hAnsi="仿宋" w:eastAsia="仿宋" w:cs="仿宋"/>
          <w:b/>
          <w:bCs/>
          <w:color w:val="auto"/>
          <w:kern w:val="0"/>
          <w:sz w:val="28"/>
          <w:szCs w:val="28"/>
          <w:lang w:val="en-US" w:eastAsia="zh-CN" w:bidi="ar"/>
        </w:rPr>
      </w:pPr>
      <w:r>
        <w:rPr>
          <w:rStyle w:val="23"/>
          <w:rFonts w:hint="eastAsia" w:ascii="仿宋" w:hAnsi="仿宋" w:eastAsia="仿宋" w:cs="仿宋"/>
          <w:b/>
          <w:bCs/>
          <w:color w:val="auto"/>
          <w:kern w:val="0"/>
          <w:sz w:val="28"/>
          <w:szCs w:val="28"/>
          <w:lang w:val="en-US" w:eastAsia="zh-CN" w:bidi="ar"/>
        </w:rPr>
        <w:t>七、验收标准</w:t>
      </w:r>
    </w:p>
    <w:p w14:paraId="71DFE0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以成功取得《放射诊疗许可证》《辐射安全许可证》及行政主管部门正式批复文件为最终验收合格。</w:t>
      </w:r>
    </w:p>
    <w:p w14:paraId="08BE8B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Style w:val="23"/>
          <w:rFonts w:hint="eastAsia" w:ascii="仿宋" w:hAnsi="仿宋" w:eastAsia="仿宋" w:cs="仿宋"/>
          <w:b/>
          <w:bCs/>
          <w:color w:val="auto"/>
          <w:kern w:val="0"/>
          <w:sz w:val="28"/>
          <w:szCs w:val="28"/>
          <w:lang w:val="en-US" w:eastAsia="zh-CN" w:bidi="ar"/>
        </w:rPr>
      </w:pPr>
      <w:r>
        <w:rPr>
          <w:rStyle w:val="23"/>
          <w:rFonts w:hint="eastAsia" w:ascii="仿宋" w:hAnsi="仿宋" w:eastAsia="仿宋" w:cs="仿宋"/>
          <w:b/>
          <w:bCs/>
          <w:color w:val="auto"/>
          <w:kern w:val="0"/>
          <w:sz w:val="28"/>
          <w:szCs w:val="28"/>
          <w:lang w:val="en-US" w:eastAsia="zh-CN" w:bidi="ar"/>
        </w:rPr>
        <w:t>八、分包要求</w:t>
      </w:r>
    </w:p>
    <w:p w14:paraId="7DC02B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Style w:val="23"/>
          <w:rFonts w:hint="eastAsia" w:ascii="仿宋" w:hAnsi="仿宋" w:eastAsia="仿宋" w:cs="仿宋"/>
          <w:b w:val="0"/>
          <w:bCs w:val="0"/>
          <w:color w:val="auto"/>
          <w:kern w:val="0"/>
          <w:sz w:val="28"/>
          <w:szCs w:val="28"/>
          <w:lang w:val="en-US" w:eastAsia="zh-CN" w:bidi="ar"/>
        </w:rPr>
      </w:pPr>
      <w:r>
        <w:rPr>
          <w:rStyle w:val="23"/>
          <w:rFonts w:hint="eastAsia" w:ascii="仿宋" w:hAnsi="仿宋" w:eastAsia="仿宋" w:cs="仿宋"/>
          <w:b w:val="0"/>
          <w:bCs w:val="0"/>
          <w:color w:val="auto"/>
          <w:kern w:val="0"/>
          <w:sz w:val="28"/>
          <w:szCs w:val="28"/>
          <w:lang w:val="en-US" w:eastAsia="zh-CN" w:bidi="ar"/>
        </w:rPr>
        <w:t>中标人不具备相应资质的部分工作，经采购人书面同意可依法分包给具备对应资质的单位；严禁违法转包、违规分包。</w:t>
      </w:r>
    </w:p>
    <w:p w14:paraId="77EF43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Style w:val="23"/>
          <w:rFonts w:hint="eastAsia" w:ascii="仿宋" w:hAnsi="仿宋" w:eastAsia="仿宋" w:cs="仿宋"/>
          <w:b/>
          <w:bCs/>
          <w:color w:val="auto"/>
          <w:kern w:val="0"/>
          <w:sz w:val="28"/>
          <w:szCs w:val="28"/>
          <w:lang w:val="en-US" w:eastAsia="zh-CN" w:bidi="ar"/>
        </w:rPr>
      </w:pPr>
      <w:r>
        <w:rPr>
          <w:rStyle w:val="23"/>
          <w:rFonts w:hint="eastAsia" w:ascii="仿宋" w:hAnsi="仿宋" w:eastAsia="仿宋" w:cs="仿宋"/>
          <w:b/>
          <w:bCs/>
          <w:color w:val="auto"/>
          <w:kern w:val="0"/>
          <w:sz w:val="28"/>
          <w:szCs w:val="28"/>
          <w:lang w:val="en-US" w:eastAsia="zh-CN" w:bidi="ar"/>
        </w:rPr>
        <w:t>九、合同格式详见附件</w:t>
      </w:r>
    </w:p>
    <w:p w14:paraId="62B57D3A">
      <w:pPr>
        <w:pStyle w:val="36"/>
        <w:rPr>
          <w:rFonts w:hint="eastAsia" w:ascii="仿宋" w:hAnsi="仿宋" w:eastAsia="仿宋" w:cs="仿宋"/>
          <w:color w:val="auto"/>
        </w:rPr>
      </w:pPr>
      <w:r>
        <w:rPr>
          <w:rFonts w:hint="eastAsia" w:ascii="仿宋" w:hAnsi="仿宋" w:eastAsia="仿宋" w:cs="仿宋"/>
          <w:color w:val="auto"/>
          <w:sz w:val="24"/>
          <w:szCs w:val="24"/>
        </w:rPr>
        <w:br w:type="page"/>
      </w:r>
      <w:r>
        <w:rPr>
          <w:rFonts w:hint="eastAsia" w:ascii="仿宋" w:hAnsi="仿宋" w:eastAsia="仿宋" w:cs="仿宋"/>
          <w:color w:val="auto"/>
          <w:sz w:val="30"/>
          <w:szCs w:val="30"/>
          <w:lang w:val="en-US" w:eastAsia="zh-CN"/>
        </w:rPr>
        <w:t>合同:</w:t>
      </w:r>
    </w:p>
    <w:p w14:paraId="761A6598">
      <w:pPr>
        <w:rPr>
          <w:rFonts w:hint="eastAsia" w:ascii="仿宋" w:hAnsi="仿宋" w:eastAsia="仿宋" w:cs="仿宋"/>
          <w:color w:val="auto"/>
          <w:sz w:val="24"/>
          <w:szCs w:val="24"/>
        </w:rPr>
      </w:pPr>
    </w:p>
    <w:p w14:paraId="77356199">
      <w:pPr>
        <w:rPr>
          <w:rFonts w:hint="default" w:eastAsia="黑体"/>
          <w:color w:val="auto"/>
          <w:sz w:val="28"/>
          <w:lang w:val="en-US" w:eastAsia="zh-CN"/>
        </w:rPr>
      </w:pPr>
      <w:r>
        <w:rPr>
          <w:rFonts w:eastAsia="黑体"/>
          <w:color w:val="auto"/>
          <w:sz w:val="28"/>
        </w:rPr>
        <w:t>合同编号：</w:t>
      </w:r>
    </w:p>
    <w:p w14:paraId="6680E4FF">
      <w:pPr>
        <w:jc w:val="center"/>
        <w:rPr>
          <w:color w:val="auto"/>
          <w:sz w:val="28"/>
        </w:rPr>
      </w:pPr>
    </w:p>
    <w:p w14:paraId="03065E6F">
      <w:pPr>
        <w:jc w:val="center"/>
        <w:rPr>
          <w:rFonts w:eastAsia="黑体"/>
          <w:color w:val="auto"/>
          <w:sz w:val="52"/>
        </w:rPr>
      </w:pPr>
    </w:p>
    <w:p w14:paraId="1B721927">
      <w:pPr>
        <w:jc w:val="center"/>
        <w:rPr>
          <w:rFonts w:hint="eastAsia" w:eastAsia="黑体"/>
          <w:color w:val="auto"/>
          <w:sz w:val="52"/>
        </w:rPr>
      </w:pPr>
    </w:p>
    <w:p w14:paraId="69E3D9F4">
      <w:pPr>
        <w:jc w:val="center"/>
        <w:rPr>
          <w:rFonts w:hint="eastAsia" w:eastAsia="黑体"/>
          <w:color w:val="auto"/>
          <w:sz w:val="52"/>
        </w:rPr>
      </w:pPr>
    </w:p>
    <w:p w14:paraId="17A899F6">
      <w:pPr>
        <w:ind w:firstLine="3300"/>
        <w:rPr>
          <w:rFonts w:eastAsia="黑体"/>
          <w:b/>
          <w:color w:val="auto"/>
          <w:sz w:val="48"/>
        </w:rPr>
      </w:pPr>
      <w:r>
        <w:rPr>
          <w:rFonts w:eastAsia="黑体"/>
          <w:b/>
          <w:color w:val="auto"/>
          <w:sz w:val="48"/>
        </w:rPr>
        <w:t>技术服务合同</w:t>
      </w:r>
    </w:p>
    <w:p w14:paraId="078EA195">
      <w:pPr>
        <w:rPr>
          <w:rFonts w:hint="eastAsia" w:eastAsia="楷体_GB2312"/>
          <w:color w:val="auto"/>
          <w:sz w:val="36"/>
        </w:rPr>
      </w:pPr>
    </w:p>
    <w:p w14:paraId="41AEBCE0">
      <w:pPr>
        <w:rPr>
          <w:rFonts w:hint="eastAsia" w:eastAsia="楷体_GB2312"/>
          <w:color w:val="auto"/>
          <w:sz w:val="36"/>
        </w:rPr>
      </w:pPr>
    </w:p>
    <w:p w14:paraId="5E6C8414">
      <w:pPr>
        <w:jc w:val="center"/>
        <w:rPr>
          <w:rFonts w:eastAsia="楷体_GB2312"/>
          <w:color w:val="auto"/>
          <w:sz w:val="36"/>
        </w:rPr>
      </w:pPr>
    </w:p>
    <w:p w14:paraId="278CAE1D">
      <w:pPr>
        <w:keepNext w:val="0"/>
        <w:keepLines w:val="0"/>
        <w:pageBreakBefore w:val="0"/>
        <w:widowControl w:val="0"/>
        <w:kinsoku/>
        <w:wordWrap/>
        <w:overflowPunct/>
        <w:topLinePunct w:val="0"/>
        <w:autoSpaceDE/>
        <w:autoSpaceDN/>
        <w:bidi w:val="0"/>
        <w:spacing w:line="360" w:lineRule="auto"/>
        <w:ind w:left="0" w:firstLine="720" w:firstLineChars="200"/>
        <w:textAlignment w:val="auto"/>
        <w:rPr>
          <w:rFonts w:hint="eastAsia" w:eastAsia="仿宋_GB2312"/>
          <w:color w:val="auto"/>
          <w:sz w:val="36"/>
          <w:u w:val="single"/>
          <w:lang w:eastAsia="zh-CN"/>
        </w:rPr>
      </w:pPr>
      <w:r>
        <w:rPr>
          <w:rFonts w:eastAsia="仿宋_GB2312"/>
          <w:color w:val="auto"/>
          <w:sz w:val="36"/>
        </w:rPr>
        <w:t>项目名称</w:t>
      </w:r>
      <w:r>
        <w:rPr>
          <w:rFonts w:hint="eastAsia" w:ascii="仿宋_GB2312" w:hAnsi="宋体" w:eastAsia="仿宋_GB2312" w:cs="Times New Roman"/>
          <w:color w:val="auto"/>
          <w:sz w:val="36"/>
          <w:szCs w:val="36"/>
          <w:u w:val="none"/>
        </w:rPr>
        <w:t>：</w:t>
      </w:r>
      <w:r>
        <w:rPr>
          <w:rFonts w:hint="eastAsia" w:ascii="仿宋_GB2312" w:hAnsi="宋体" w:eastAsia="仿宋_GB2312" w:cs="Times New Roman"/>
          <w:color w:val="auto"/>
          <w:sz w:val="36"/>
          <w:szCs w:val="36"/>
          <w:u w:val="single"/>
          <w:lang w:val="en-US" w:eastAsia="zh-CN"/>
        </w:rPr>
        <w:t>广州医科大学附属第一医院娄底医院全院放射（辐射）</w:t>
      </w:r>
      <w:r>
        <w:rPr>
          <w:rFonts w:hint="eastAsia" w:ascii="仿宋_GB2312" w:hAnsi="宋体" w:eastAsia="仿宋_GB2312" w:cs="Times New Roman"/>
          <w:color w:val="auto"/>
          <w:sz w:val="36"/>
          <w:szCs w:val="36"/>
          <w:u w:val="single"/>
        </w:rPr>
        <w:t>射线装置</w:t>
      </w:r>
      <w:r>
        <w:rPr>
          <w:rFonts w:hint="eastAsia" w:ascii="仿宋_GB2312" w:hAnsi="宋体" w:eastAsia="仿宋_GB2312" w:cs="Times New Roman"/>
          <w:color w:val="auto"/>
          <w:sz w:val="36"/>
          <w:szCs w:val="36"/>
          <w:u w:val="single"/>
          <w:lang w:eastAsia="zh-CN"/>
        </w:rPr>
        <w:t>、</w:t>
      </w:r>
      <w:r>
        <w:rPr>
          <w:rFonts w:hint="eastAsia" w:ascii="仿宋_GB2312" w:hAnsi="宋体" w:eastAsia="仿宋_GB2312" w:cs="Times New Roman"/>
          <w:color w:val="auto"/>
          <w:sz w:val="36"/>
          <w:szCs w:val="36"/>
          <w:u w:val="single"/>
          <w:lang w:val="en-US" w:eastAsia="zh-CN"/>
        </w:rPr>
        <w:t>场所及</w:t>
      </w:r>
      <w:r>
        <w:rPr>
          <w:rFonts w:hint="eastAsia" w:ascii="仿宋_GB2312" w:hAnsi="宋体" w:eastAsia="仿宋_GB2312" w:cs="Times New Roman"/>
          <w:color w:val="auto"/>
          <w:sz w:val="36"/>
          <w:szCs w:val="36"/>
          <w:u w:val="single"/>
        </w:rPr>
        <w:t>核技术环评、验收、预评、控评服务</w:t>
      </w:r>
      <w:r>
        <w:rPr>
          <w:rFonts w:hint="eastAsia" w:ascii="仿宋_GB2312" w:hAnsi="宋体" w:eastAsia="仿宋_GB2312" w:cs="Times New Roman"/>
          <w:color w:val="auto"/>
          <w:sz w:val="36"/>
          <w:szCs w:val="36"/>
          <w:u w:val="single"/>
          <w:lang w:val="en-US" w:eastAsia="zh-CN"/>
        </w:rPr>
        <w:t>及证件办理</w:t>
      </w:r>
      <w:r>
        <w:rPr>
          <w:rFonts w:hint="eastAsia" w:ascii="仿宋_GB2312" w:hAnsi="宋体" w:eastAsia="仿宋_GB2312" w:cs="Times New Roman"/>
          <w:color w:val="auto"/>
          <w:sz w:val="36"/>
          <w:szCs w:val="36"/>
          <w:u w:val="single"/>
        </w:rPr>
        <w:t>项目</w:t>
      </w:r>
    </w:p>
    <w:p w14:paraId="7C832B73">
      <w:pPr>
        <w:keepNext w:val="0"/>
        <w:keepLines w:val="0"/>
        <w:pageBreakBefore w:val="0"/>
        <w:widowControl w:val="0"/>
        <w:kinsoku/>
        <w:wordWrap/>
        <w:overflowPunct/>
        <w:topLinePunct w:val="0"/>
        <w:autoSpaceDE/>
        <w:autoSpaceDN/>
        <w:bidi w:val="0"/>
        <w:adjustRightInd w:val="0"/>
        <w:snapToGrid w:val="0"/>
        <w:spacing w:line="360" w:lineRule="auto"/>
        <w:ind w:left="0" w:firstLine="676" w:firstLineChars="200"/>
        <w:textAlignment w:val="auto"/>
        <w:rPr>
          <w:rFonts w:hint="eastAsia" w:eastAsia="仿宋_GB2312"/>
          <w:color w:val="auto"/>
          <w:sz w:val="36"/>
          <w:u w:val="single"/>
          <w:lang w:eastAsia="zh-CN"/>
        </w:rPr>
      </w:pPr>
      <w:r>
        <w:rPr>
          <w:rFonts w:eastAsia="仿宋_GB2312"/>
          <w:color w:val="auto"/>
          <w:spacing w:val="-11"/>
          <w:sz w:val="36"/>
        </w:rPr>
        <w:t>委托方（甲方）：</w:t>
      </w:r>
      <w:r>
        <w:rPr>
          <w:rFonts w:hint="eastAsia" w:ascii="仿宋_GB2312" w:hAnsi="宋体" w:eastAsia="仿宋_GB2312" w:cs="Times New Roman"/>
          <w:color w:val="auto"/>
          <w:spacing w:val="-11"/>
          <w:sz w:val="36"/>
          <w:szCs w:val="36"/>
          <w:u w:val="single"/>
          <w:lang w:val="en-US" w:eastAsia="zh-CN"/>
        </w:rPr>
        <w:t>广州医科大学附属第一医院娄底医院</w:t>
      </w:r>
    </w:p>
    <w:p w14:paraId="376DBAD9">
      <w:pPr>
        <w:keepNext w:val="0"/>
        <w:keepLines w:val="0"/>
        <w:pageBreakBefore w:val="0"/>
        <w:widowControl w:val="0"/>
        <w:kinsoku/>
        <w:wordWrap/>
        <w:overflowPunct/>
        <w:topLinePunct w:val="0"/>
        <w:autoSpaceDE/>
        <w:autoSpaceDN/>
        <w:bidi w:val="0"/>
        <w:spacing w:line="360" w:lineRule="auto"/>
        <w:ind w:left="0" w:firstLine="720" w:firstLineChars="200"/>
        <w:textAlignment w:val="auto"/>
        <w:rPr>
          <w:rFonts w:hint="eastAsia" w:eastAsia="仿宋_GB2312"/>
          <w:color w:val="auto"/>
          <w:spacing w:val="-32"/>
          <w:sz w:val="36"/>
          <w:szCs w:val="36"/>
          <w:u w:val="single"/>
          <w:lang w:eastAsia="zh-CN"/>
        </w:rPr>
      </w:pPr>
      <w:r>
        <w:rPr>
          <w:rFonts w:eastAsia="仿宋_GB2312"/>
          <w:color w:val="auto"/>
          <w:sz w:val="36"/>
        </w:rPr>
        <w:t>受托方（乙方）：</w:t>
      </w:r>
    </w:p>
    <w:p w14:paraId="1C2D2D01">
      <w:pPr>
        <w:keepNext w:val="0"/>
        <w:keepLines w:val="0"/>
        <w:pageBreakBefore w:val="0"/>
        <w:widowControl w:val="0"/>
        <w:kinsoku/>
        <w:wordWrap/>
        <w:overflowPunct/>
        <w:topLinePunct w:val="0"/>
        <w:autoSpaceDE/>
        <w:autoSpaceDN/>
        <w:bidi w:val="0"/>
        <w:spacing w:line="360" w:lineRule="auto"/>
        <w:ind w:left="0" w:firstLine="592" w:firstLineChars="200"/>
        <w:textAlignment w:val="auto"/>
        <w:rPr>
          <w:rFonts w:hint="eastAsia" w:eastAsia="仿宋_GB2312"/>
          <w:b/>
          <w:color w:val="auto"/>
          <w:sz w:val="36"/>
          <w:u w:val="single"/>
          <w:lang w:eastAsia="zh-CN"/>
        </w:rPr>
      </w:pPr>
      <w:r>
        <w:rPr>
          <w:rFonts w:hint="eastAsia" w:eastAsia="仿宋_GB2312"/>
          <w:color w:val="auto"/>
          <w:spacing w:val="-32"/>
          <w:sz w:val="36"/>
          <w:szCs w:val="36"/>
        </w:rPr>
        <w:t>签订时间：</w:t>
      </w:r>
      <w:r>
        <w:rPr>
          <w:rFonts w:hint="eastAsia" w:eastAsia="仿宋_GB2312"/>
          <w:color w:val="auto"/>
          <w:spacing w:val="-32"/>
          <w:sz w:val="36"/>
          <w:szCs w:val="36"/>
          <w:u w:val="single"/>
        </w:rPr>
        <w:t>202</w:t>
      </w:r>
      <w:r>
        <w:rPr>
          <w:rFonts w:hint="eastAsia" w:eastAsia="仿宋_GB2312"/>
          <w:color w:val="auto"/>
          <w:spacing w:val="-32"/>
          <w:sz w:val="36"/>
          <w:szCs w:val="36"/>
          <w:u w:val="single"/>
          <w:lang w:val="en-US" w:eastAsia="zh-CN"/>
        </w:rPr>
        <w:t>6</w:t>
      </w:r>
      <w:r>
        <w:rPr>
          <w:rFonts w:hint="eastAsia" w:eastAsia="仿宋_GB2312"/>
          <w:color w:val="auto"/>
          <w:spacing w:val="-32"/>
          <w:sz w:val="36"/>
          <w:szCs w:val="36"/>
          <w:u w:val="single"/>
        </w:rPr>
        <w:t>年月</w:t>
      </w:r>
    </w:p>
    <w:p w14:paraId="01BA2C27">
      <w:pPr>
        <w:spacing w:line="360" w:lineRule="auto"/>
        <w:ind w:left="2160" w:hanging="2160" w:hangingChars="600"/>
        <w:rPr>
          <w:rFonts w:hint="eastAsia" w:eastAsia="仿宋_GB2312"/>
          <w:color w:val="auto"/>
          <w:sz w:val="36"/>
          <w:u w:val="single"/>
          <w:lang w:eastAsia="zh-CN"/>
        </w:rPr>
      </w:pPr>
    </w:p>
    <w:p w14:paraId="7CB260A2">
      <w:pPr>
        <w:rPr>
          <w:rFonts w:eastAsia="黑体"/>
          <w:color w:val="auto"/>
          <w:sz w:val="36"/>
        </w:rPr>
      </w:pPr>
    </w:p>
    <w:p w14:paraId="62117076">
      <w:pPr>
        <w:rPr>
          <w:rFonts w:hint="eastAsia" w:eastAsia="黑体"/>
          <w:color w:val="auto"/>
          <w:sz w:val="36"/>
        </w:rPr>
      </w:pPr>
    </w:p>
    <w:p w14:paraId="7CF47FAB">
      <w:pPr>
        <w:rPr>
          <w:rFonts w:hint="eastAsia" w:eastAsia="黑体"/>
          <w:color w:val="auto"/>
          <w:sz w:val="36"/>
        </w:rPr>
      </w:pPr>
    </w:p>
    <w:p w14:paraId="16EE6B20">
      <w:pPr>
        <w:tabs>
          <w:tab w:val="left" w:pos="4980"/>
        </w:tabs>
        <w:rPr>
          <w:rFonts w:eastAsia="楷体_GB2312"/>
          <w:color w:val="auto"/>
          <w:sz w:val="30"/>
        </w:rPr>
      </w:pPr>
    </w:p>
    <w:p w14:paraId="43D10F22">
      <w:pPr>
        <w:jc w:val="center"/>
        <w:rPr>
          <w:rFonts w:hint="eastAsia" w:eastAsia="黑体"/>
          <w:b/>
          <w:color w:val="auto"/>
          <w:sz w:val="36"/>
        </w:rPr>
      </w:pPr>
    </w:p>
    <w:p w14:paraId="45ADF60D">
      <w:pPr>
        <w:jc w:val="center"/>
        <w:rPr>
          <w:rFonts w:hint="eastAsia" w:eastAsia="黑体"/>
          <w:b/>
          <w:color w:val="auto"/>
          <w:sz w:val="36"/>
        </w:rPr>
      </w:pPr>
    </w:p>
    <w:p w14:paraId="53C38C83">
      <w:pPr>
        <w:jc w:val="center"/>
        <w:rPr>
          <w:rFonts w:hint="eastAsia" w:eastAsia="黑体"/>
          <w:b/>
          <w:color w:val="auto"/>
          <w:sz w:val="36"/>
        </w:rPr>
      </w:pPr>
    </w:p>
    <w:p w14:paraId="68C806CA">
      <w:pPr>
        <w:jc w:val="center"/>
        <w:rPr>
          <w:rFonts w:hint="eastAsia" w:eastAsia="黑体"/>
          <w:b/>
          <w:color w:val="auto"/>
          <w:sz w:val="36"/>
        </w:rPr>
      </w:pPr>
    </w:p>
    <w:p w14:paraId="7A399560">
      <w:pPr>
        <w:jc w:val="center"/>
        <w:rPr>
          <w:rFonts w:hint="eastAsia" w:eastAsia="黑体"/>
          <w:b/>
          <w:color w:val="auto"/>
          <w:sz w:val="36"/>
        </w:rPr>
      </w:pPr>
    </w:p>
    <w:p w14:paraId="1B623DBD">
      <w:pPr>
        <w:pStyle w:val="19"/>
        <w:rPr>
          <w:rFonts w:hint="eastAsia"/>
          <w:color w:val="auto"/>
        </w:rPr>
      </w:pPr>
    </w:p>
    <w:p w14:paraId="44CCF59C">
      <w:pPr>
        <w:jc w:val="center"/>
        <w:rPr>
          <w:rFonts w:eastAsia="黑体"/>
          <w:color w:val="auto"/>
          <w:sz w:val="36"/>
        </w:rPr>
      </w:pPr>
      <w:r>
        <w:rPr>
          <w:rFonts w:eastAsia="黑体"/>
          <w:color w:val="auto"/>
          <w:sz w:val="36"/>
        </w:rPr>
        <w:t>填写说明</w:t>
      </w:r>
    </w:p>
    <w:p w14:paraId="383B8D47">
      <w:pPr>
        <w:rPr>
          <w:rFonts w:hint="eastAsia" w:eastAsia="黑体"/>
          <w:color w:val="auto"/>
          <w:sz w:val="13"/>
          <w:lang w:eastAsia="zh-CN"/>
        </w:rPr>
      </w:pPr>
    </w:p>
    <w:p w14:paraId="7EEF7580">
      <w:pPr>
        <w:numPr>
          <w:ilvl w:val="0"/>
          <w:numId w:val="1"/>
        </w:numPr>
        <w:tabs>
          <w:tab w:val="left" w:pos="0"/>
          <w:tab w:val="left" w:pos="1080"/>
          <w:tab w:val="left" w:pos="1116"/>
        </w:tabs>
        <w:spacing w:line="312" w:lineRule="auto"/>
        <w:ind w:left="0" w:firstLine="537" w:firstLineChars="192"/>
        <w:rPr>
          <w:rFonts w:eastAsia="楷体_GB2312"/>
          <w:color w:val="auto"/>
          <w:sz w:val="28"/>
        </w:rPr>
      </w:pPr>
      <w:r>
        <w:rPr>
          <w:rFonts w:eastAsia="楷体_GB2312"/>
          <w:color w:val="auto"/>
          <w:sz w:val="28"/>
        </w:rPr>
        <w:t>本合同为中华人民共和国科学技术部印制的技术服务合同示范文本，各技术合同登记机构可推介技术合同当事人参照使用。</w:t>
      </w:r>
    </w:p>
    <w:p w14:paraId="6C7AFD2E">
      <w:pPr>
        <w:spacing w:line="312" w:lineRule="auto"/>
        <w:rPr>
          <w:rFonts w:eastAsia="楷体_GB2312"/>
          <w:color w:val="auto"/>
          <w:sz w:val="28"/>
        </w:rPr>
      </w:pPr>
      <w:r>
        <w:rPr>
          <w:rFonts w:eastAsia="楷体_GB2312"/>
          <w:color w:val="auto"/>
          <w:sz w:val="28"/>
        </w:rPr>
        <w:t>二、本合同书适用于一方当事人（受托方）以技术知识为另一方（委托方）解决特定技术问题所订立的合同。</w:t>
      </w:r>
    </w:p>
    <w:p w14:paraId="2A1F42FA">
      <w:pPr>
        <w:spacing w:line="312" w:lineRule="auto"/>
        <w:ind w:firstLine="555"/>
        <w:rPr>
          <w:rFonts w:eastAsia="楷体_GB2312"/>
          <w:color w:val="auto"/>
          <w:sz w:val="28"/>
        </w:rPr>
      </w:pPr>
      <w:r>
        <w:rPr>
          <w:rFonts w:eastAsia="楷体_GB2312"/>
          <w:color w:val="auto"/>
          <w:sz w:val="28"/>
        </w:rPr>
        <w:t>三、</w:t>
      </w:r>
      <w:r>
        <w:rPr>
          <w:rFonts w:eastAsia="楷体_GB2312"/>
          <w:color w:val="auto"/>
          <w:spacing w:val="6"/>
          <w:sz w:val="28"/>
        </w:rPr>
        <w:t>签约一方为多个当事人的，可按各自在合同关系中的作用等，</w:t>
      </w:r>
      <w:r>
        <w:rPr>
          <w:rFonts w:eastAsia="楷体_GB2312"/>
          <w:color w:val="auto"/>
          <w:sz w:val="28"/>
        </w:rPr>
        <w:t>在“委托方”、“受托方”项下（增页）分别排列为共同委托人或共同受托人。</w:t>
      </w:r>
    </w:p>
    <w:p w14:paraId="5918BD30">
      <w:pPr>
        <w:spacing w:line="312" w:lineRule="auto"/>
        <w:ind w:firstLine="555"/>
        <w:rPr>
          <w:rFonts w:eastAsia="楷体_GB2312"/>
          <w:color w:val="auto"/>
          <w:sz w:val="28"/>
        </w:rPr>
      </w:pPr>
      <w:r>
        <w:rPr>
          <w:rFonts w:eastAsia="楷体_GB2312"/>
          <w:color w:val="auto"/>
          <w:sz w:val="28"/>
        </w:rPr>
        <w:t>四、本合同书未尽事项，可由当事人附页另行约定，并作为本合同的组成部分。</w:t>
      </w:r>
    </w:p>
    <w:p w14:paraId="5215C2A1">
      <w:pPr>
        <w:spacing w:line="312" w:lineRule="auto"/>
        <w:ind w:firstLine="555"/>
        <w:rPr>
          <w:rFonts w:eastAsia="楷体_GB2312"/>
          <w:color w:val="auto"/>
          <w:sz w:val="28"/>
        </w:rPr>
      </w:pPr>
      <w:r>
        <w:rPr>
          <w:rFonts w:eastAsia="楷体_GB2312"/>
          <w:color w:val="auto"/>
          <w:sz w:val="28"/>
        </w:rPr>
        <w:t>五、当事人使用本合同书时约定无需填写的条款，应在该条款处注明“无”等字样。</w:t>
      </w:r>
    </w:p>
    <w:p w14:paraId="6FD95895">
      <w:pPr>
        <w:spacing w:line="520" w:lineRule="exact"/>
        <w:rPr>
          <w:rFonts w:hint="eastAsia" w:eastAsia="黑体"/>
          <w:color w:val="auto"/>
          <w:sz w:val="28"/>
          <w:szCs w:val="28"/>
        </w:rPr>
        <w:sectPr>
          <w:footerReference r:id="rId5" w:type="first"/>
          <w:headerReference r:id="rId3" w:type="default"/>
          <w:footerReference r:id="rId4" w:type="default"/>
          <w:pgSz w:w="11907" w:h="16840"/>
          <w:pgMar w:top="1304" w:right="1469" w:bottom="1304" w:left="1469" w:header="720" w:footer="720" w:gutter="0"/>
          <w:pgNumType w:start="2"/>
          <w:cols w:space="720" w:num="1"/>
          <w:titlePg/>
          <w:docGrid w:linePitch="286" w:charSpace="0"/>
        </w:sectPr>
      </w:pPr>
    </w:p>
    <w:p w14:paraId="32F1F1B6">
      <w:pPr>
        <w:pStyle w:val="19"/>
        <w:rPr>
          <w:rFonts w:hint="eastAsia"/>
          <w:color w:val="auto"/>
        </w:rPr>
      </w:pPr>
    </w:p>
    <w:p w14:paraId="41722E47">
      <w:pPr>
        <w:spacing w:line="520" w:lineRule="exact"/>
        <w:jc w:val="center"/>
        <w:rPr>
          <w:rFonts w:hint="eastAsia"/>
          <w:color w:val="auto"/>
        </w:rPr>
      </w:pPr>
      <w:r>
        <w:rPr>
          <w:rFonts w:hint="eastAsia" w:eastAsia="黑体"/>
          <w:color w:val="auto"/>
          <w:sz w:val="44"/>
        </w:rPr>
        <w:t>技术服务合同</w:t>
      </w:r>
    </w:p>
    <w:tbl>
      <w:tblPr>
        <w:tblStyle w:val="20"/>
        <w:tblW w:w="0" w:type="auto"/>
        <w:tblInd w:w="930" w:type="dxa"/>
        <w:tblLayout w:type="autofit"/>
        <w:tblCellMar>
          <w:top w:w="0" w:type="dxa"/>
          <w:left w:w="108" w:type="dxa"/>
          <w:bottom w:w="0" w:type="dxa"/>
          <w:right w:w="108" w:type="dxa"/>
        </w:tblCellMar>
      </w:tblPr>
      <w:tblGrid>
        <w:gridCol w:w="3484"/>
        <w:gridCol w:w="4760"/>
      </w:tblGrid>
      <w:tr w14:paraId="16C541A9">
        <w:tblPrEx>
          <w:tblCellMar>
            <w:top w:w="0" w:type="dxa"/>
            <w:left w:w="108" w:type="dxa"/>
            <w:bottom w:w="0" w:type="dxa"/>
            <w:right w:w="108" w:type="dxa"/>
          </w:tblCellMar>
        </w:tblPrEx>
        <w:tc>
          <w:tcPr>
            <w:tcW w:w="2627" w:type="dxa"/>
            <w:noWrap w:val="0"/>
            <w:vAlign w:val="top"/>
          </w:tcPr>
          <w:p w14:paraId="3F64DCCE">
            <w:pPr>
              <w:spacing w:line="520" w:lineRule="exact"/>
              <w:jc w:val="both"/>
              <w:rPr>
                <w:rFonts w:hint="default" w:ascii="Times New Roman" w:hAnsi="Times New Roman" w:eastAsia="黑体" w:cs="Times New Roman"/>
                <w:color w:val="auto"/>
                <w:sz w:val="28"/>
                <w:szCs w:val="28"/>
              </w:rPr>
            </w:pPr>
            <w:r>
              <w:rPr>
                <w:rFonts w:hint="default" w:ascii="Times New Roman" w:hAnsi="Times New Roman" w:eastAsia="仿宋_GB2312" w:cs="Times New Roman"/>
                <w:color w:val="auto"/>
                <w:spacing w:val="0"/>
                <w:kern w:val="0"/>
                <w:sz w:val="28"/>
                <w:szCs w:val="28"/>
                <w:fitText w:val="2240" w:id="456350481"/>
              </w:rPr>
              <w:t>委托方（甲方）：</w:t>
            </w:r>
          </w:p>
        </w:tc>
        <w:tc>
          <w:tcPr>
            <w:tcW w:w="5059" w:type="dxa"/>
            <w:noWrap w:val="0"/>
            <w:vAlign w:val="top"/>
          </w:tcPr>
          <w:p w14:paraId="5A4901F9">
            <w:pPr>
              <w:spacing w:line="520" w:lineRule="exact"/>
              <w:rPr>
                <w:rFonts w:hint="eastAsia" w:ascii="Times New Roman" w:hAnsi="Times New Roman" w:eastAsia="仿宋_GB2312" w:cs="Times New Roman"/>
                <w:color w:val="auto"/>
                <w:sz w:val="28"/>
                <w:szCs w:val="28"/>
                <w:u w:val="single"/>
                <w:lang w:eastAsia="zh-CN"/>
              </w:rPr>
            </w:pPr>
            <w:r>
              <w:rPr>
                <w:rFonts w:hint="eastAsia" w:ascii="Times New Roman" w:hAnsi="Times New Roman" w:eastAsia="仿宋_GB2312" w:cs="Times New Roman"/>
                <w:color w:val="auto"/>
                <w:sz w:val="28"/>
                <w:szCs w:val="28"/>
                <w:u w:val="single"/>
                <w:lang w:eastAsia="zh-CN"/>
              </w:rPr>
              <w:t>广州医科大学附属第一医院娄底医院</w:t>
            </w:r>
          </w:p>
        </w:tc>
      </w:tr>
      <w:tr w14:paraId="7D2FEEFB">
        <w:tblPrEx>
          <w:tblCellMar>
            <w:top w:w="0" w:type="dxa"/>
            <w:left w:w="108" w:type="dxa"/>
            <w:bottom w:w="0" w:type="dxa"/>
            <w:right w:w="108" w:type="dxa"/>
          </w:tblCellMar>
        </w:tblPrEx>
        <w:tc>
          <w:tcPr>
            <w:tcW w:w="2627" w:type="dxa"/>
            <w:noWrap w:val="0"/>
            <w:vAlign w:val="top"/>
          </w:tcPr>
          <w:p w14:paraId="10A00570">
            <w:pPr>
              <w:tabs>
                <w:tab w:val="left" w:pos="571"/>
              </w:tabs>
              <w:spacing w:line="520" w:lineRule="exact"/>
              <w:jc w:val="left"/>
              <w:rPr>
                <w:rFonts w:hint="default" w:ascii="Times New Roman" w:hAnsi="Times New Roman" w:eastAsia="仿宋_GB2312" w:cs="Times New Roman"/>
                <w:color w:val="auto"/>
                <w:spacing w:val="1960"/>
                <w:kern w:val="0"/>
                <w:sz w:val="28"/>
                <w:szCs w:val="28"/>
                <w:fitText w:val="2240" w:id="-2095913216"/>
              </w:rPr>
            </w:pPr>
            <w:r>
              <w:rPr>
                <w:rFonts w:hint="default" w:ascii="Times New Roman" w:hAnsi="Times New Roman" w:eastAsia="仿宋_GB2312" w:cs="Times New Roman"/>
                <w:color w:val="auto"/>
                <w:kern w:val="0"/>
                <w:sz w:val="28"/>
                <w:szCs w:val="28"/>
              </w:rPr>
              <w:t>统一社会信用代码：</w:t>
            </w:r>
          </w:p>
        </w:tc>
        <w:tc>
          <w:tcPr>
            <w:tcW w:w="5059" w:type="dxa"/>
            <w:noWrap w:val="0"/>
            <w:vAlign w:val="top"/>
          </w:tcPr>
          <w:p w14:paraId="07CF7A30">
            <w:pPr>
              <w:spacing w:line="520" w:lineRule="exact"/>
              <w:rPr>
                <w:rFonts w:hint="default" w:ascii="Times New Roman" w:hAnsi="Times New Roman" w:eastAsia="仿宋_GB2312" w:cs="Times New Roman"/>
                <w:color w:val="auto"/>
                <w:sz w:val="28"/>
                <w:szCs w:val="28"/>
                <w:u w:val="single"/>
                <w:lang w:val="en-US" w:eastAsia="zh-CN"/>
              </w:rPr>
            </w:pPr>
            <w:r>
              <w:rPr>
                <w:rFonts w:hint="eastAsia" w:ascii="Times New Roman" w:hAnsi="Times New Roman" w:eastAsia="仿宋_GB2312" w:cs="Times New Roman"/>
                <w:color w:val="auto"/>
                <w:sz w:val="28"/>
                <w:szCs w:val="28"/>
                <w:u w:val="single"/>
                <w:lang w:val="en-US" w:eastAsia="zh-CN"/>
              </w:rPr>
              <w:t>12431300MB1P52227T</w:t>
            </w:r>
          </w:p>
        </w:tc>
      </w:tr>
      <w:tr w14:paraId="3427680A">
        <w:tblPrEx>
          <w:tblCellMar>
            <w:top w:w="0" w:type="dxa"/>
            <w:left w:w="108" w:type="dxa"/>
            <w:bottom w:w="0" w:type="dxa"/>
            <w:right w:w="108" w:type="dxa"/>
          </w:tblCellMar>
        </w:tblPrEx>
        <w:tc>
          <w:tcPr>
            <w:tcW w:w="2627" w:type="dxa"/>
            <w:noWrap w:val="0"/>
            <w:vAlign w:val="top"/>
          </w:tcPr>
          <w:p w14:paraId="6A62D0E6">
            <w:pPr>
              <w:spacing w:line="520" w:lineRule="exact"/>
              <w:jc w:val="distribute"/>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住所地：</w:t>
            </w:r>
          </w:p>
        </w:tc>
        <w:tc>
          <w:tcPr>
            <w:tcW w:w="5059" w:type="dxa"/>
            <w:noWrap w:val="0"/>
            <w:vAlign w:val="top"/>
          </w:tcPr>
          <w:p w14:paraId="2A2A947D">
            <w:pPr>
              <w:spacing w:line="520" w:lineRule="exact"/>
              <w:jc w:val="left"/>
              <w:rPr>
                <w:rFonts w:hint="eastAsia" w:ascii="Times New Roman" w:hAnsi="Times New Roman" w:eastAsia="仿宋_GB2312" w:cs="Times New Roman"/>
                <w:color w:val="auto"/>
                <w:sz w:val="28"/>
                <w:szCs w:val="28"/>
                <w:u w:val="single"/>
                <w:lang w:eastAsia="zh-CN"/>
              </w:rPr>
            </w:pPr>
            <w:r>
              <w:rPr>
                <w:rFonts w:hint="default" w:ascii="Times New Roman" w:hAnsi="Times New Roman" w:eastAsia="仿宋_GB2312" w:cs="Times New Roman"/>
                <w:color w:val="auto"/>
                <w:sz w:val="28"/>
                <w:szCs w:val="28"/>
                <w:u w:val="single"/>
              </w:rPr>
              <w:t>娄底市万宝镇南环路与新星南路交叉路口东南角</w:t>
            </w:r>
          </w:p>
        </w:tc>
      </w:tr>
      <w:tr w14:paraId="47F68EB3">
        <w:tc>
          <w:tcPr>
            <w:tcW w:w="2627" w:type="dxa"/>
            <w:noWrap w:val="0"/>
            <w:vAlign w:val="top"/>
          </w:tcPr>
          <w:p w14:paraId="60C8E91B">
            <w:pPr>
              <w:spacing w:line="520" w:lineRule="exact"/>
              <w:jc w:val="distribute"/>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法定代表人：</w:t>
            </w:r>
          </w:p>
        </w:tc>
        <w:tc>
          <w:tcPr>
            <w:tcW w:w="5059" w:type="dxa"/>
            <w:noWrap w:val="0"/>
            <w:vAlign w:val="top"/>
          </w:tcPr>
          <w:p w14:paraId="27EA4650">
            <w:pPr>
              <w:pStyle w:val="4"/>
              <w:shd w:val="clear" w:color="auto" w:fill="F9FDFF"/>
              <w:spacing w:before="0" w:after="0" w:line="525" w:lineRule="atLeast"/>
              <w:rPr>
                <w:rFonts w:hint="eastAsia" w:ascii="Times New Roman" w:hAnsi="Times New Roman" w:eastAsia="仿宋_GB2312" w:cs="Times New Roman"/>
                <w:b w:val="0"/>
                <w:bCs w:val="0"/>
                <w:color w:val="auto"/>
                <w:sz w:val="28"/>
                <w:szCs w:val="28"/>
                <w:u w:val="single"/>
                <w:lang w:eastAsia="zh-CN"/>
              </w:rPr>
            </w:pPr>
            <w:r>
              <w:rPr>
                <w:rFonts w:hint="eastAsia" w:ascii="Times New Roman" w:hAnsi="Times New Roman" w:eastAsia="仿宋_GB2312" w:cs="Times New Roman"/>
                <w:b w:val="0"/>
                <w:bCs w:val="0"/>
                <w:color w:val="auto"/>
                <w:sz w:val="28"/>
                <w:szCs w:val="28"/>
                <w:u w:val="single"/>
                <w:lang w:val="en-US" w:eastAsia="zh-CN"/>
              </w:rPr>
              <w:t>杨吉军</w:t>
            </w:r>
          </w:p>
        </w:tc>
      </w:tr>
      <w:tr w14:paraId="213DE00E">
        <w:tblPrEx>
          <w:tblCellMar>
            <w:top w:w="0" w:type="dxa"/>
            <w:left w:w="108" w:type="dxa"/>
            <w:bottom w:w="0" w:type="dxa"/>
            <w:right w:w="108" w:type="dxa"/>
          </w:tblCellMar>
        </w:tblPrEx>
        <w:tc>
          <w:tcPr>
            <w:tcW w:w="2627" w:type="dxa"/>
            <w:noWrap w:val="0"/>
            <w:vAlign w:val="top"/>
          </w:tcPr>
          <w:p w14:paraId="07E398B6">
            <w:pPr>
              <w:spacing w:line="520" w:lineRule="exact"/>
              <w:jc w:val="distribute"/>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项目联系人：</w:t>
            </w:r>
          </w:p>
        </w:tc>
        <w:tc>
          <w:tcPr>
            <w:tcW w:w="5059" w:type="dxa"/>
            <w:noWrap w:val="0"/>
            <w:vAlign w:val="top"/>
          </w:tcPr>
          <w:p w14:paraId="56382FAB">
            <w:pPr>
              <w:spacing w:line="520" w:lineRule="exact"/>
              <w:jc w:val="left"/>
              <w:rPr>
                <w:rFonts w:hint="eastAsia" w:ascii="Times New Roman" w:hAnsi="Times New Roman" w:eastAsia="仿宋_GB2312" w:cs="Times New Roman"/>
                <w:color w:val="auto"/>
                <w:sz w:val="28"/>
                <w:szCs w:val="28"/>
                <w:u w:val="single"/>
                <w:lang w:eastAsia="zh-CN"/>
              </w:rPr>
            </w:pPr>
            <w:r>
              <w:rPr>
                <w:rFonts w:hint="eastAsia" w:ascii="Times New Roman" w:hAnsi="Times New Roman" w:eastAsia="仿宋_GB2312" w:cs="Times New Roman"/>
                <w:color w:val="auto"/>
                <w:sz w:val="28"/>
                <w:szCs w:val="28"/>
                <w:u w:val="single"/>
                <w:lang w:val="en-US" w:eastAsia="zh-CN"/>
              </w:rPr>
              <w:t>廖海星</w:t>
            </w:r>
          </w:p>
        </w:tc>
      </w:tr>
      <w:tr w14:paraId="05931277">
        <w:tblPrEx>
          <w:tblCellMar>
            <w:top w:w="0" w:type="dxa"/>
            <w:left w:w="108" w:type="dxa"/>
            <w:bottom w:w="0" w:type="dxa"/>
            <w:right w:w="108" w:type="dxa"/>
          </w:tblCellMar>
        </w:tblPrEx>
        <w:tc>
          <w:tcPr>
            <w:tcW w:w="2627" w:type="dxa"/>
            <w:noWrap w:val="0"/>
            <w:vAlign w:val="top"/>
          </w:tcPr>
          <w:p w14:paraId="471AB2E3">
            <w:pPr>
              <w:spacing w:line="520" w:lineRule="exact"/>
              <w:jc w:val="distribute"/>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通讯地址：</w:t>
            </w:r>
          </w:p>
        </w:tc>
        <w:tc>
          <w:tcPr>
            <w:tcW w:w="5059" w:type="dxa"/>
            <w:noWrap w:val="0"/>
            <w:vAlign w:val="top"/>
          </w:tcPr>
          <w:p w14:paraId="2A5DBB2E">
            <w:pPr>
              <w:spacing w:line="520" w:lineRule="exact"/>
              <w:jc w:val="left"/>
              <w:rPr>
                <w:rFonts w:hint="eastAsia" w:ascii="Times New Roman" w:hAnsi="Times New Roman" w:eastAsia="仿宋_GB2312" w:cs="Times New Roman"/>
                <w:color w:val="auto"/>
                <w:sz w:val="28"/>
                <w:szCs w:val="28"/>
                <w:u w:val="single"/>
                <w:lang w:eastAsia="zh-CN"/>
              </w:rPr>
            </w:pPr>
            <w:r>
              <w:rPr>
                <w:rFonts w:hint="default" w:ascii="Times New Roman" w:hAnsi="Times New Roman" w:eastAsia="仿宋_GB2312" w:cs="Times New Roman"/>
                <w:color w:val="auto"/>
                <w:sz w:val="28"/>
                <w:szCs w:val="28"/>
                <w:u w:val="single"/>
              </w:rPr>
              <w:t>娄底市万宝镇南环路与新星南路交叉路口东南角</w:t>
            </w:r>
          </w:p>
        </w:tc>
      </w:tr>
      <w:tr w14:paraId="30262E0E">
        <w:tblPrEx>
          <w:tblCellMar>
            <w:top w:w="0" w:type="dxa"/>
            <w:left w:w="108" w:type="dxa"/>
            <w:bottom w:w="0" w:type="dxa"/>
            <w:right w:w="108" w:type="dxa"/>
          </w:tblCellMar>
        </w:tblPrEx>
        <w:tc>
          <w:tcPr>
            <w:tcW w:w="2627" w:type="dxa"/>
            <w:noWrap w:val="0"/>
            <w:vAlign w:val="top"/>
          </w:tcPr>
          <w:p w14:paraId="1192104A">
            <w:pPr>
              <w:spacing w:line="520" w:lineRule="exact"/>
              <w:jc w:val="distribute"/>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邮政编码：</w:t>
            </w:r>
          </w:p>
        </w:tc>
        <w:tc>
          <w:tcPr>
            <w:tcW w:w="5059" w:type="dxa"/>
            <w:noWrap w:val="0"/>
            <w:vAlign w:val="top"/>
          </w:tcPr>
          <w:p w14:paraId="63D295F8">
            <w:pPr>
              <w:spacing w:line="520" w:lineRule="exact"/>
              <w:jc w:val="left"/>
              <w:rPr>
                <w:rFonts w:hint="eastAsia" w:ascii="Times New Roman" w:hAnsi="Times New Roman" w:eastAsia="仿宋_GB2312" w:cs="Times New Roman"/>
                <w:color w:val="auto"/>
                <w:sz w:val="28"/>
                <w:szCs w:val="28"/>
                <w:u w:val="single"/>
                <w:lang w:eastAsia="zh-CN"/>
              </w:rPr>
            </w:pPr>
            <w:r>
              <w:rPr>
                <w:rFonts w:hint="default" w:ascii="Times New Roman" w:hAnsi="Times New Roman" w:eastAsia="仿宋_GB2312" w:cs="Times New Roman"/>
                <w:color w:val="auto"/>
                <w:sz w:val="28"/>
                <w:szCs w:val="28"/>
                <w:u w:val="single"/>
              </w:rPr>
              <w:t>417000</w:t>
            </w:r>
          </w:p>
        </w:tc>
      </w:tr>
      <w:tr w14:paraId="74D6314F">
        <w:tc>
          <w:tcPr>
            <w:tcW w:w="2627" w:type="dxa"/>
            <w:noWrap w:val="0"/>
            <w:vAlign w:val="top"/>
          </w:tcPr>
          <w:p w14:paraId="32CB0F28">
            <w:pPr>
              <w:spacing w:line="520" w:lineRule="exact"/>
              <w:jc w:val="distribute"/>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电话：</w:t>
            </w:r>
          </w:p>
        </w:tc>
        <w:tc>
          <w:tcPr>
            <w:tcW w:w="5059" w:type="dxa"/>
            <w:noWrap w:val="0"/>
            <w:vAlign w:val="top"/>
          </w:tcPr>
          <w:p w14:paraId="6BCEB777">
            <w:pPr>
              <w:spacing w:line="520" w:lineRule="exact"/>
              <w:jc w:val="left"/>
              <w:rPr>
                <w:rFonts w:hint="eastAsia" w:ascii="Times New Roman" w:hAnsi="Times New Roman" w:cs="Times New Roman" w:eastAsiaTheme="minorEastAsia"/>
                <w:color w:val="auto"/>
                <w:sz w:val="28"/>
                <w:szCs w:val="28"/>
                <w:u w:val="single"/>
                <w:lang w:eastAsia="zh-CN"/>
              </w:rPr>
            </w:pPr>
            <w:r>
              <w:rPr>
                <w:rFonts w:hint="eastAsia" w:ascii="Times New Roman" w:hAnsi="Times New Roman" w:cs="Times New Roman"/>
                <w:color w:val="auto"/>
                <w:sz w:val="28"/>
                <w:szCs w:val="28"/>
                <w:u w:val="single"/>
                <w:lang w:val="en-US" w:eastAsia="zh-CN"/>
              </w:rPr>
              <w:t>15873871616</w:t>
            </w:r>
          </w:p>
        </w:tc>
      </w:tr>
      <w:tr w14:paraId="597FD2ED">
        <w:tblPrEx>
          <w:tblCellMar>
            <w:top w:w="0" w:type="dxa"/>
            <w:left w:w="108" w:type="dxa"/>
            <w:bottom w:w="0" w:type="dxa"/>
            <w:right w:w="108" w:type="dxa"/>
          </w:tblCellMar>
        </w:tblPrEx>
        <w:tc>
          <w:tcPr>
            <w:tcW w:w="2627" w:type="dxa"/>
            <w:noWrap w:val="0"/>
            <w:vAlign w:val="top"/>
          </w:tcPr>
          <w:p w14:paraId="0552BBC7">
            <w:pPr>
              <w:spacing w:line="520" w:lineRule="exact"/>
              <w:jc w:val="distribute"/>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电子信箱：</w:t>
            </w:r>
          </w:p>
        </w:tc>
        <w:tc>
          <w:tcPr>
            <w:tcW w:w="5059" w:type="dxa"/>
            <w:noWrap w:val="0"/>
            <w:vAlign w:val="top"/>
          </w:tcPr>
          <w:p w14:paraId="2C8841B0">
            <w:pPr>
              <w:spacing w:line="520" w:lineRule="exact"/>
              <w:jc w:val="left"/>
              <w:rPr>
                <w:rFonts w:hint="eastAsia" w:ascii="Times New Roman" w:hAnsi="Times New Roman" w:cs="Times New Roman" w:eastAsiaTheme="minorEastAsia"/>
                <w:color w:val="auto"/>
                <w:sz w:val="28"/>
                <w:szCs w:val="28"/>
                <w:u w:val="single"/>
                <w:lang w:eastAsia="zh-CN"/>
              </w:rPr>
            </w:pPr>
          </w:p>
        </w:tc>
      </w:tr>
      <w:tr w14:paraId="4D9ED140">
        <w:tblPrEx>
          <w:tblCellMar>
            <w:top w:w="0" w:type="dxa"/>
            <w:left w:w="108" w:type="dxa"/>
            <w:bottom w:w="0" w:type="dxa"/>
            <w:right w:w="108" w:type="dxa"/>
          </w:tblCellMar>
        </w:tblPrEx>
        <w:trPr>
          <w:trHeight w:val="624" w:hRule="atLeast"/>
        </w:trPr>
        <w:tc>
          <w:tcPr>
            <w:tcW w:w="2627" w:type="dxa"/>
            <w:noWrap w:val="0"/>
            <w:vAlign w:val="top"/>
          </w:tcPr>
          <w:p w14:paraId="2858DFC8">
            <w:pPr>
              <w:spacing w:line="520" w:lineRule="exact"/>
              <w:jc w:val="distribute"/>
              <w:rPr>
                <w:rFonts w:eastAsia="仿宋_GB2312"/>
                <w:color w:val="auto"/>
                <w:sz w:val="28"/>
                <w:szCs w:val="28"/>
              </w:rPr>
            </w:pPr>
          </w:p>
        </w:tc>
        <w:tc>
          <w:tcPr>
            <w:tcW w:w="5059" w:type="dxa"/>
            <w:noWrap w:val="0"/>
            <w:vAlign w:val="top"/>
          </w:tcPr>
          <w:p w14:paraId="458456DA">
            <w:pPr>
              <w:spacing w:line="520" w:lineRule="exact"/>
              <w:jc w:val="left"/>
              <w:rPr>
                <w:rFonts w:hint="eastAsia" w:ascii="宋体" w:hAnsi="宋体"/>
                <w:color w:val="auto"/>
                <w:sz w:val="24"/>
                <w:u w:val="single"/>
              </w:rPr>
            </w:pPr>
          </w:p>
        </w:tc>
      </w:tr>
      <w:tr w14:paraId="54FC0990">
        <w:tblPrEx>
          <w:tblCellMar>
            <w:top w:w="0" w:type="dxa"/>
            <w:left w:w="108" w:type="dxa"/>
            <w:bottom w:w="0" w:type="dxa"/>
            <w:right w:w="108" w:type="dxa"/>
          </w:tblCellMar>
        </w:tblPrEx>
        <w:tc>
          <w:tcPr>
            <w:tcW w:w="2627" w:type="dxa"/>
            <w:noWrap w:val="0"/>
            <w:vAlign w:val="top"/>
          </w:tcPr>
          <w:p w14:paraId="68C5FD7F">
            <w:pPr>
              <w:spacing w:line="520" w:lineRule="exact"/>
              <w:jc w:val="distribute"/>
              <w:rPr>
                <w:rFonts w:eastAsia="仿宋_GB2312"/>
                <w:color w:val="auto"/>
                <w:sz w:val="28"/>
                <w:szCs w:val="28"/>
              </w:rPr>
            </w:pPr>
            <w:r>
              <w:rPr>
                <w:rFonts w:eastAsia="仿宋_GB2312"/>
                <w:color w:val="auto"/>
                <w:sz w:val="28"/>
                <w:szCs w:val="28"/>
              </w:rPr>
              <w:t>受托方（乙方）：</w:t>
            </w:r>
          </w:p>
        </w:tc>
        <w:tc>
          <w:tcPr>
            <w:tcW w:w="5059" w:type="dxa"/>
            <w:noWrap w:val="0"/>
            <w:vAlign w:val="top"/>
          </w:tcPr>
          <w:p w14:paraId="1523623E">
            <w:pPr>
              <w:spacing w:line="520" w:lineRule="exact"/>
              <w:jc w:val="left"/>
              <w:rPr>
                <w:rFonts w:hint="eastAsia" w:ascii="宋体" w:hAnsi="宋体"/>
                <w:color w:val="auto"/>
                <w:sz w:val="28"/>
                <w:szCs w:val="28"/>
                <w:u w:val="single"/>
              </w:rPr>
            </w:pPr>
          </w:p>
        </w:tc>
      </w:tr>
      <w:tr w14:paraId="79F5CC73">
        <w:tblPrEx>
          <w:tblCellMar>
            <w:top w:w="0" w:type="dxa"/>
            <w:left w:w="108" w:type="dxa"/>
            <w:bottom w:w="0" w:type="dxa"/>
            <w:right w:w="108" w:type="dxa"/>
          </w:tblCellMar>
        </w:tblPrEx>
        <w:tc>
          <w:tcPr>
            <w:tcW w:w="2627" w:type="dxa"/>
            <w:noWrap w:val="0"/>
            <w:vAlign w:val="top"/>
          </w:tcPr>
          <w:p w14:paraId="4BE3376A">
            <w:pPr>
              <w:spacing w:line="520" w:lineRule="exact"/>
              <w:jc w:val="distribute"/>
              <w:rPr>
                <w:rFonts w:eastAsia="仿宋_GB2312"/>
                <w:color w:val="auto"/>
                <w:sz w:val="28"/>
                <w:szCs w:val="28"/>
              </w:rPr>
            </w:pPr>
            <w:r>
              <w:rPr>
                <w:rFonts w:hint="eastAsia" w:eastAsia="仿宋_GB2312"/>
                <w:color w:val="auto"/>
                <w:kern w:val="0"/>
                <w:sz w:val="28"/>
                <w:szCs w:val="28"/>
              </w:rPr>
              <w:t>统一社会信用代码：</w:t>
            </w:r>
          </w:p>
        </w:tc>
        <w:tc>
          <w:tcPr>
            <w:tcW w:w="5059" w:type="dxa"/>
            <w:noWrap w:val="0"/>
            <w:vAlign w:val="top"/>
          </w:tcPr>
          <w:p w14:paraId="2E40010C">
            <w:pPr>
              <w:spacing w:line="520" w:lineRule="exact"/>
              <w:jc w:val="left"/>
              <w:rPr>
                <w:rFonts w:hint="default" w:eastAsia="仿宋_GB2312"/>
                <w:color w:val="auto"/>
                <w:sz w:val="28"/>
                <w:szCs w:val="28"/>
                <w:u w:val="single"/>
                <w:lang w:val="en-US" w:eastAsia="zh-CN"/>
              </w:rPr>
            </w:pPr>
          </w:p>
        </w:tc>
      </w:tr>
      <w:tr w14:paraId="3B1207D9">
        <w:tblPrEx>
          <w:tblCellMar>
            <w:top w:w="0" w:type="dxa"/>
            <w:left w:w="108" w:type="dxa"/>
            <w:bottom w:w="0" w:type="dxa"/>
            <w:right w:w="108" w:type="dxa"/>
          </w:tblCellMar>
        </w:tblPrEx>
        <w:tc>
          <w:tcPr>
            <w:tcW w:w="2627" w:type="dxa"/>
            <w:noWrap w:val="0"/>
            <w:vAlign w:val="top"/>
          </w:tcPr>
          <w:p w14:paraId="2A5979B7">
            <w:pPr>
              <w:spacing w:line="520" w:lineRule="exact"/>
              <w:jc w:val="distribute"/>
              <w:rPr>
                <w:rFonts w:eastAsia="仿宋_GB2312"/>
                <w:color w:val="auto"/>
                <w:sz w:val="28"/>
                <w:szCs w:val="28"/>
              </w:rPr>
            </w:pPr>
            <w:r>
              <w:rPr>
                <w:rFonts w:eastAsia="仿宋_GB2312"/>
                <w:color w:val="auto"/>
                <w:sz w:val="28"/>
                <w:szCs w:val="28"/>
              </w:rPr>
              <w:t>住所地：</w:t>
            </w:r>
          </w:p>
        </w:tc>
        <w:tc>
          <w:tcPr>
            <w:tcW w:w="5059" w:type="dxa"/>
            <w:noWrap w:val="0"/>
            <w:vAlign w:val="top"/>
          </w:tcPr>
          <w:p w14:paraId="36D391EE">
            <w:pPr>
              <w:spacing w:line="520" w:lineRule="exact"/>
              <w:jc w:val="left"/>
              <w:rPr>
                <w:rFonts w:eastAsia="仿宋_GB2312"/>
                <w:color w:val="auto"/>
                <w:sz w:val="28"/>
                <w:szCs w:val="28"/>
                <w:u w:val="single"/>
              </w:rPr>
            </w:pPr>
          </w:p>
        </w:tc>
      </w:tr>
      <w:tr w14:paraId="4CE8BEAD">
        <w:tblPrEx>
          <w:tblCellMar>
            <w:top w:w="0" w:type="dxa"/>
            <w:left w:w="108" w:type="dxa"/>
            <w:bottom w:w="0" w:type="dxa"/>
            <w:right w:w="108" w:type="dxa"/>
          </w:tblCellMar>
        </w:tblPrEx>
        <w:tc>
          <w:tcPr>
            <w:tcW w:w="2627" w:type="dxa"/>
            <w:noWrap w:val="0"/>
            <w:vAlign w:val="top"/>
          </w:tcPr>
          <w:p w14:paraId="58F81706">
            <w:pPr>
              <w:spacing w:line="520" w:lineRule="exact"/>
              <w:jc w:val="distribute"/>
              <w:rPr>
                <w:rFonts w:eastAsia="仿宋_GB2312"/>
                <w:color w:val="auto"/>
                <w:sz w:val="28"/>
                <w:szCs w:val="28"/>
              </w:rPr>
            </w:pPr>
            <w:r>
              <w:rPr>
                <w:rFonts w:eastAsia="仿宋_GB2312"/>
                <w:color w:val="auto"/>
                <w:sz w:val="28"/>
                <w:szCs w:val="28"/>
              </w:rPr>
              <w:t>法定代表人：</w:t>
            </w:r>
          </w:p>
        </w:tc>
        <w:tc>
          <w:tcPr>
            <w:tcW w:w="5059" w:type="dxa"/>
            <w:noWrap w:val="0"/>
            <w:vAlign w:val="top"/>
          </w:tcPr>
          <w:p w14:paraId="544B7EA7">
            <w:pPr>
              <w:spacing w:line="520" w:lineRule="exact"/>
              <w:jc w:val="left"/>
              <w:rPr>
                <w:rFonts w:eastAsia="仿宋_GB2312"/>
                <w:color w:val="auto"/>
                <w:sz w:val="28"/>
                <w:szCs w:val="28"/>
                <w:u w:val="single"/>
              </w:rPr>
            </w:pPr>
          </w:p>
        </w:tc>
      </w:tr>
      <w:tr w14:paraId="5200787A">
        <w:tblPrEx>
          <w:tblCellMar>
            <w:top w:w="0" w:type="dxa"/>
            <w:left w:w="108" w:type="dxa"/>
            <w:bottom w:w="0" w:type="dxa"/>
            <w:right w:w="108" w:type="dxa"/>
          </w:tblCellMar>
        </w:tblPrEx>
        <w:tc>
          <w:tcPr>
            <w:tcW w:w="2627" w:type="dxa"/>
            <w:noWrap w:val="0"/>
            <w:vAlign w:val="top"/>
          </w:tcPr>
          <w:p w14:paraId="6C0B2987">
            <w:pPr>
              <w:spacing w:line="520" w:lineRule="exact"/>
              <w:jc w:val="distribute"/>
              <w:rPr>
                <w:rFonts w:eastAsia="仿宋_GB2312"/>
                <w:color w:val="auto"/>
                <w:sz w:val="28"/>
                <w:szCs w:val="28"/>
              </w:rPr>
            </w:pPr>
            <w:r>
              <w:rPr>
                <w:rFonts w:eastAsia="仿宋_GB2312"/>
                <w:color w:val="auto"/>
                <w:sz w:val="28"/>
                <w:szCs w:val="28"/>
              </w:rPr>
              <w:t>项目联系人：</w:t>
            </w:r>
          </w:p>
        </w:tc>
        <w:tc>
          <w:tcPr>
            <w:tcW w:w="5059" w:type="dxa"/>
            <w:noWrap w:val="0"/>
            <w:vAlign w:val="top"/>
          </w:tcPr>
          <w:p w14:paraId="4C597BC1">
            <w:pPr>
              <w:spacing w:line="520" w:lineRule="exact"/>
              <w:jc w:val="left"/>
              <w:rPr>
                <w:rFonts w:hint="eastAsia" w:eastAsia="仿宋_GB2312"/>
                <w:color w:val="auto"/>
                <w:sz w:val="28"/>
                <w:szCs w:val="28"/>
                <w:u w:val="single"/>
              </w:rPr>
            </w:pPr>
          </w:p>
        </w:tc>
      </w:tr>
      <w:tr w14:paraId="0BA52E8B">
        <w:tblPrEx>
          <w:tblCellMar>
            <w:top w:w="0" w:type="dxa"/>
            <w:left w:w="108" w:type="dxa"/>
            <w:bottom w:w="0" w:type="dxa"/>
            <w:right w:w="108" w:type="dxa"/>
          </w:tblCellMar>
        </w:tblPrEx>
        <w:tc>
          <w:tcPr>
            <w:tcW w:w="2627" w:type="dxa"/>
            <w:noWrap w:val="0"/>
            <w:vAlign w:val="top"/>
          </w:tcPr>
          <w:p w14:paraId="5BAA6D00">
            <w:pPr>
              <w:spacing w:line="520" w:lineRule="exact"/>
              <w:jc w:val="distribute"/>
              <w:rPr>
                <w:rFonts w:eastAsia="仿宋_GB2312"/>
                <w:color w:val="auto"/>
                <w:sz w:val="28"/>
                <w:szCs w:val="28"/>
              </w:rPr>
            </w:pPr>
            <w:r>
              <w:rPr>
                <w:rFonts w:eastAsia="仿宋_GB2312"/>
                <w:color w:val="auto"/>
                <w:sz w:val="28"/>
                <w:szCs w:val="28"/>
              </w:rPr>
              <w:t>通讯地址：</w:t>
            </w:r>
          </w:p>
        </w:tc>
        <w:tc>
          <w:tcPr>
            <w:tcW w:w="5059" w:type="dxa"/>
            <w:noWrap w:val="0"/>
            <w:vAlign w:val="top"/>
          </w:tcPr>
          <w:p w14:paraId="44B95DB8">
            <w:pPr>
              <w:spacing w:line="520" w:lineRule="exact"/>
              <w:jc w:val="left"/>
              <w:rPr>
                <w:rFonts w:hint="eastAsia" w:eastAsia="仿宋_GB2312"/>
                <w:color w:val="auto"/>
                <w:sz w:val="28"/>
                <w:szCs w:val="28"/>
                <w:u w:val="single"/>
              </w:rPr>
            </w:pPr>
          </w:p>
        </w:tc>
      </w:tr>
      <w:tr w14:paraId="54037F2E">
        <w:tblPrEx>
          <w:tblCellMar>
            <w:top w:w="0" w:type="dxa"/>
            <w:left w:w="108" w:type="dxa"/>
            <w:bottom w:w="0" w:type="dxa"/>
            <w:right w:w="108" w:type="dxa"/>
          </w:tblCellMar>
        </w:tblPrEx>
        <w:tc>
          <w:tcPr>
            <w:tcW w:w="2627" w:type="dxa"/>
            <w:noWrap w:val="0"/>
            <w:vAlign w:val="top"/>
          </w:tcPr>
          <w:p w14:paraId="693BD429">
            <w:pPr>
              <w:spacing w:line="520" w:lineRule="exact"/>
              <w:jc w:val="distribute"/>
              <w:rPr>
                <w:rFonts w:eastAsia="仿宋_GB2312"/>
                <w:color w:val="auto"/>
                <w:sz w:val="28"/>
                <w:szCs w:val="28"/>
              </w:rPr>
            </w:pPr>
            <w:r>
              <w:rPr>
                <w:rFonts w:eastAsia="仿宋_GB2312"/>
                <w:color w:val="auto"/>
                <w:sz w:val="28"/>
                <w:szCs w:val="28"/>
              </w:rPr>
              <w:t>邮政编码：</w:t>
            </w:r>
          </w:p>
        </w:tc>
        <w:tc>
          <w:tcPr>
            <w:tcW w:w="5059" w:type="dxa"/>
            <w:noWrap w:val="0"/>
            <w:vAlign w:val="top"/>
          </w:tcPr>
          <w:p w14:paraId="0744F481">
            <w:pPr>
              <w:tabs>
                <w:tab w:val="left" w:pos="8100"/>
              </w:tabs>
              <w:spacing w:line="540" w:lineRule="exact"/>
              <w:rPr>
                <w:rFonts w:eastAsia="仿宋_GB2312"/>
                <w:color w:val="auto"/>
                <w:sz w:val="28"/>
                <w:szCs w:val="28"/>
                <w:u w:val="single"/>
              </w:rPr>
            </w:pPr>
          </w:p>
        </w:tc>
      </w:tr>
      <w:tr w14:paraId="07D4AF04">
        <w:tblPrEx>
          <w:tblCellMar>
            <w:top w:w="0" w:type="dxa"/>
            <w:left w:w="108" w:type="dxa"/>
            <w:bottom w:w="0" w:type="dxa"/>
            <w:right w:w="108" w:type="dxa"/>
          </w:tblCellMar>
        </w:tblPrEx>
        <w:tc>
          <w:tcPr>
            <w:tcW w:w="2627" w:type="dxa"/>
            <w:noWrap w:val="0"/>
            <w:vAlign w:val="top"/>
          </w:tcPr>
          <w:p w14:paraId="679A7EC0">
            <w:pPr>
              <w:spacing w:line="520" w:lineRule="exact"/>
              <w:jc w:val="distribute"/>
              <w:rPr>
                <w:rFonts w:eastAsia="仿宋_GB2312"/>
                <w:color w:val="auto"/>
                <w:sz w:val="28"/>
                <w:szCs w:val="28"/>
              </w:rPr>
            </w:pPr>
            <w:r>
              <w:rPr>
                <w:rFonts w:eastAsia="仿宋_GB2312"/>
                <w:color w:val="auto"/>
                <w:sz w:val="28"/>
                <w:szCs w:val="28"/>
              </w:rPr>
              <w:t>电话：</w:t>
            </w:r>
          </w:p>
        </w:tc>
        <w:tc>
          <w:tcPr>
            <w:tcW w:w="5059" w:type="dxa"/>
            <w:noWrap w:val="0"/>
            <w:vAlign w:val="top"/>
          </w:tcPr>
          <w:p w14:paraId="35F3F4E2">
            <w:pPr>
              <w:tabs>
                <w:tab w:val="left" w:pos="8100"/>
              </w:tabs>
              <w:spacing w:line="540" w:lineRule="exact"/>
              <w:rPr>
                <w:rFonts w:eastAsia="仿宋_GB2312"/>
                <w:color w:val="auto"/>
                <w:sz w:val="28"/>
                <w:szCs w:val="28"/>
                <w:u w:val="single"/>
              </w:rPr>
            </w:pPr>
          </w:p>
        </w:tc>
      </w:tr>
      <w:tr w14:paraId="0CCEEA53">
        <w:tblPrEx>
          <w:tblCellMar>
            <w:top w:w="0" w:type="dxa"/>
            <w:left w:w="108" w:type="dxa"/>
            <w:bottom w:w="0" w:type="dxa"/>
            <w:right w:w="108" w:type="dxa"/>
          </w:tblCellMar>
        </w:tblPrEx>
        <w:tc>
          <w:tcPr>
            <w:tcW w:w="2627" w:type="dxa"/>
            <w:noWrap w:val="0"/>
            <w:vAlign w:val="top"/>
          </w:tcPr>
          <w:p w14:paraId="169D1279">
            <w:pPr>
              <w:spacing w:line="520" w:lineRule="exact"/>
              <w:jc w:val="distribute"/>
              <w:rPr>
                <w:rFonts w:eastAsia="仿宋_GB2312"/>
                <w:color w:val="auto"/>
                <w:sz w:val="28"/>
                <w:szCs w:val="28"/>
              </w:rPr>
            </w:pPr>
            <w:r>
              <w:rPr>
                <w:rFonts w:eastAsia="仿宋_GB2312"/>
                <w:color w:val="auto"/>
                <w:sz w:val="28"/>
                <w:szCs w:val="28"/>
              </w:rPr>
              <w:t>电子信箱：</w:t>
            </w:r>
          </w:p>
        </w:tc>
        <w:tc>
          <w:tcPr>
            <w:tcW w:w="5059" w:type="dxa"/>
            <w:noWrap w:val="0"/>
            <w:vAlign w:val="top"/>
          </w:tcPr>
          <w:p w14:paraId="0A23CCFE">
            <w:pPr>
              <w:tabs>
                <w:tab w:val="left" w:pos="8100"/>
              </w:tabs>
              <w:spacing w:line="540" w:lineRule="exact"/>
              <w:rPr>
                <w:rFonts w:eastAsia="仿宋_GB2312"/>
                <w:color w:val="auto"/>
                <w:sz w:val="28"/>
                <w:szCs w:val="28"/>
                <w:u w:val="single"/>
              </w:rPr>
            </w:pPr>
          </w:p>
        </w:tc>
      </w:tr>
    </w:tbl>
    <w:p w14:paraId="0F89DF75">
      <w:pPr>
        <w:adjustRightInd w:val="0"/>
        <w:snapToGrid w:val="0"/>
        <w:spacing w:line="480" w:lineRule="exact"/>
        <w:ind w:firstLine="560" w:firstLineChars="200"/>
        <w:rPr>
          <w:rFonts w:hint="eastAsia" w:ascii="仿宋_GB2312" w:eastAsia="仿宋_GB2312"/>
          <w:color w:val="auto"/>
          <w:sz w:val="28"/>
          <w:szCs w:val="28"/>
        </w:rPr>
      </w:pPr>
    </w:p>
    <w:p w14:paraId="2061F3AA">
      <w:pPr>
        <w:keepNext w:val="0"/>
        <w:keepLines w:val="0"/>
        <w:pageBreakBefore w:val="0"/>
        <w:widowControl w:val="0"/>
        <w:kinsoku/>
        <w:wordWrap w:val="0"/>
        <w:overflowPunct/>
        <w:topLinePunct/>
        <w:autoSpaceDE/>
        <w:autoSpaceDN/>
        <w:bidi w:val="0"/>
        <w:adjustRightInd w:val="0"/>
        <w:snapToGrid w:val="0"/>
        <w:spacing w:line="48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本合同甲方委托乙方就</w:t>
      </w:r>
      <w:r>
        <w:rPr>
          <w:rFonts w:hint="eastAsia" w:ascii="仿宋" w:hAnsi="仿宋" w:eastAsia="仿宋" w:cs="仿宋"/>
          <w:i w:val="0"/>
          <w:iCs w:val="0"/>
          <w:caps w:val="0"/>
          <w:color w:val="auto"/>
          <w:spacing w:val="0"/>
          <w:sz w:val="28"/>
          <w:szCs w:val="28"/>
          <w:u w:val="single"/>
          <w:shd w:val="clear" w:color="auto" w:fill="FFFFFF"/>
          <w:lang w:val="en-US" w:eastAsia="zh-CN"/>
        </w:rPr>
        <w:t>广州医科大学附属第一医院娄底医院对全院放射（辐射）射线装置、场所及核技术环评、验收、预评、控评服务及证件办理</w:t>
      </w:r>
      <w:r>
        <w:rPr>
          <w:rFonts w:hint="eastAsia" w:ascii="仿宋" w:hAnsi="仿宋" w:eastAsia="仿宋" w:cs="仿宋"/>
          <w:i w:val="0"/>
          <w:iCs w:val="0"/>
          <w:caps w:val="0"/>
          <w:color w:val="auto"/>
          <w:spacing w:val="0"/>
          <w:sz w:val="28"/>
          <w:szCs w:val="28"/>
          <w:shd w:val="clear" w:color="auto" w:fill="FFFFFF"/>
          <w:lang w:val="en-US" w:eastAsia="zh-CN"/>
        </w:rPr>
        <w:t>项目</w:t>
      </w:r>
      <w:r>
        <w:rPr>
          <w:rFonts w:hint="eastAsia" w:ascii="仿宋_GB2312" w:eastAsia="仿宋_GB2312"/>
          <w:color w:val="auto"/>
          <w:spacing w:val="-4"/>
          <w:sz w:val="28"/>
          <w:szCs w:val="28"/>
        </w:rPr>
        <w:t>进行技术服务，并支付服务报酬。双方</w:t>
      </w:r>
      <w:r>
        <w:rPr>
          <w:rFonts w:hint="eastAsia" w:ascii="仿宋_GB2312" w:eastAsia="仿宋_GB2312"/>
          <w:color w:val="auto"/>
          <w:sz w:val="28"/>
          <w:szCs w:val="28"/>
        </w:rPr>
        <w:t>经过平等协商，在真实、充分地表达各自意愿的基础上，根据《中华人民共和国民法典》《中华人民共和国职业病防治法》的规定，达成如下协议，并由双方共同恪守。</w:t>
      </w:r>
    </w:p>
    <w:p w14:paraId="64AD6169">
      <w:pPr>
        <w:keepNext w:val="0"/>
        <w:keepLines w:val="0"/>
        <w:pageBreakBefore w:val="0"/>
        <w:widowControl w:val="0"/>
        <w:numPr>
          <w:ilvl w:val="0"/>
          <w:numId w:val="0"/>
        </w:numPr>
        <w:kinsoku/>
        <w:wordWrap w:val="0"/>
        <w:overflowPunct/>
        <w:topLinePunct/>
        <w:autoSpaceDE/>
        <w:autoSpaceDN/>
        <w:bidi w:val="0"/>
        <w:spacing w:line="480" w:lineRule="exact"/>
        <w:ind w:firstLine="562" w:firstLineChars="200"/>
        <w:textAlignment w:val="auto"/>
        <w:rPr>
          <w:rFonts w:hint="eastAsia" w:ascii="仿宋_GB2312" w:eastAsia="仿宋_GB2312"/>
          <w:color w:val="auto"/>
          <w:sz w:val="28"/>
          <w:szCs w:val="28"/>
        </w:rPr>
      </w:pPr>
      <w:r>
        <w:rPr>
          <w:rFonts w:hint="eastAsia" w:ascii="仿宋_GB2312" w:eastAsia="仿宋_GB2312"/>
          <w:b/>
          <w:bCs/>
          <w:color w:val="auto"/>
          <w:kern w:val="2"/>
          <w:sz w:val="28"/>
          <w:szCs w:val="28"/>
          <w:lang w:val="en-US" w:eastAsia="zh-CN" w:bidi="ar-SA"/>
        </w:rPr>
        <w:t>第一条</w:t>
      </w:r>
      <w:r>
        <w:rPr>
          <w:rFonts w:hint="eastAsia" w:ascii="仿宋_GB2312" w:eastAsia="仿宋_GB2312"/>
          <w:color w:val="auto"/>
          <w:sz w:val="28"/>
          <w:szCs w:val="28"/>
          <w:lang w:val="en-US" w:eastAsia="zh-CN"/>
        </w:rPr>
        <w:t>甲方现有</w:t>
      </w:r>
      <w:r>
        <w:rPr>
          <w:rFonts w:hint="eastAsia" w:ascii="仿宋_GB2312" w:eastAsia="仿宋_GB2312"/>
          <w:color w:val="auto"/>
          <w:sz w:val="28"/>
          <w:szCs w:val="28"/>
        </w:rPr>
        <w:t>放射诊疗设备类型及数量见下表：</w:t>
      </w:r>
    </w:p>
    <w:p w14:paraId="1794AFB9">
      <w:pPr>
        <w:numPr>
          <w:ilvl w:val="0"/>
          <w:numId w:val="0"/>
        </w:numPr>
        <w:rPr>
          <w:rFonts w:hint="eastAsia"/>
          <w:color w:val="auto"/>
        </w:rPr>
      </w:pPr>
    </w:p>
    <w:tbl>
      <w:tblPr>
        <w:tblStyle w:val="20"/>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90"/>
        <w:gridCol w:w="932"/>
      </w:tblGrid>
      <w:tr w14:paraId="3B6E6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32" w:type="dxa"/>
            <w:gridSpan w:val="2"/>
            <w:tcBorders>
              <w:top w:val="single" w:color="auto" w:sz="12" w:space="0"/>
              <w:left w:val="nil"/>
              <w:bottom w:val="nil"/>
              <w:right w:val="nil"/>
            </w:tcBorders>
            <w:noWrap w:val="0"/>
            <w:tcMar>
              <w:top w:w="-1" w:type="dxa"/>
              <w:left w:w="-1" w:type="dxa"/>
              <w:bottom w:w="-1" w:type="dxa"/>
              <w:right w:w="-1" w:type="dxa"/>
            </w:tcMar>
            <w:vAlign w:val="center"/>
          </w:tcPr>
          <w:p w14:paraId="20F5B645">
            <w:pPr>
              <w:keepNext w:val="0"/>
              <w:keepLines w:val="0"/>
              <w:widowControl/>
              <w:suppressLineNumbers w:val="0"/>
              <w:snapToGrid w:val="0"/>
              <w:jc w:val="left"/>
              <w:textAlignment w:val="center"/>
              <w:rPr>
                <w:rFonts w:hint="eastAsia" w:ascii="仿宋" w:hAnsi="仿宋" w:eastAsia="仿宋" w:cs="仿宋"/>
                <w:i w:val="0"/>
                <w:iCs w:val="0"/>
                <w:color w:val="auto"/>
                <w:sz w:val="40"/>
                <w:szCs w:val="40"/>
                <w:u w:val="none"/>
              </w:rPr>
            </w:pPr>
            <w:r>
              <w:rPr>
                <w:rFonts w:hint="eastAsia" w:ascii="仿宋" w:hAnsi="仿宋" w:eastAsia="仿宋" w:cs="仿宋"/>
                <w:b/>
                <w:bCs/>
                <w:color w:val="auto"/>
                <w:kern w:val="0"/>
                <w:sz w:val="24"/>
                <w:szCs w:val="24"/>
                <w:lang w:val="en-US" w:eastAsia="zh-CN" w:bidi="ar"/>
              </w:rPr>
              <w:t>附件1：广州医科大学附属第一医院娄底医院环评项目清单</w:t>
            </w:r>
          </w:p>
        </w:tc>
      </w:tr>
      <w:tr w14:paraId="3B025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single" w:color="000000" w:sz="4" w:space="0"/>
              <w:left w:val="nil"/>
              <w:bottom w:val="nil"/>
              <w:right w:val="nil"/>
            </w:tcBorders>
            <w:noWrap w:val="0"/>
            <w:tcMar>
              <w:top w:w="-1" w:type="dxa"/>
              <w:left w:w="-1" w:type="dxa"/>
              <w:bottom w:w="-1" w:type="dxa"/>
              <w:right w:w="-1" w:type="dxa"/>
            </w:tcMar>
            <w:vAlign w:val="center"/>
          </w:tcPr>
          <w:p w14:paraId="29350DE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大孔径CT</w:t>
            </w:r>
          </w:p>
        </w:tc>
        <w:tc>
          <w:tcPr>
            <w:tcW w:w="932" w:type="dxa"/>
            <w:tcBorders>
              <w:top w:val="single" w:color="000000" w:sz="4" w:space="0"/>
              <w:left w:val="nil"/>
              <w:bottom w:val="nil"/>
              <w:right w:val="nil"/>
            </w:tcBorders>
            <w:noWrap w:val="0"/>
            <w:tcMar>
              <w:top w:w="-1" w:type="dxa"/>
              <w:left w:w="-1" w:type="dxa"/>
              <w:bottom w:w="-1" w:type="dxa"/>
              <w:right w:w="-1" w:type="dxa"/>
            </w:tcMar>
            <w:vAlign w:val="center"/>
          </w:tcPr>
          <w:p w14:paraId="0741BE20">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1台</w:t>
            </w:r>
          </w:p>
        </w:tc>
      </w:tr>
      <w:tr w14:paraId="23B46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366D20B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64排及以上CT</w:t>
            </w:r>
          </w:p>
        </w:tc>
        <w:tc>
          <w:tcPr>
            <w:tcW w:w="932" w:type="dxa"/>
            <w:tcBorders>
              <w:top w:val="nil"/>
              <w:left w:val="nil"/>
              <w:bottom w:val="nil"/>
              <w:right w:val="nil"/>
            </w:tcBorders>
            <w:noWrap w:val="0"/>
            <w:tcMar>
              <w:top w:w="-1" w:type="dxa"/>
              <w:left w:w="-1" w:type="dxa"/>
              <w:bottom w:w="-1" w:type="dxa"/>
              <w:right w:w="-1" w:type="dxa"/>
            </w:tcMar>
            <w:vAlign w:val="center"/>
          </w:tcPr>
          <w:p w14:paraId="4D57EFA3">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3台</w:t>
            </w:r>
          </w:p>
        </w:tc>
      </w:tr>
      <w:tr w14:paraId="66C12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551BE2DF">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乳腺高端CT</w:t>
            </w:r>
          </w:p>
        </w:tc>
        <w:tc>
          <w:tcPr>
            <w:tcW w:w="932" w:type="dxa"/>
            <w:tcBorders>
              <w:top w:val="nil"/>
              <w:left w:val="nil"/>
              <w:bottom w:val="nil"/>
              <w:right w:val="nil"/>
            </w:tcBorders>
            <w:noWrap w:val="0"/>
            <w:tcMar>
              <w:top w:w="-1" w:type="dxa"/>
              <w:left w:w="-1" w:type="dxa"/>
              <w:bottom w:w="-1" w:type="dxa"/>
              <w:right w:w="-1" w:type="dxa"/>
            </w:tcMar>
            <w:vAlign w:val="center"/>
          </w:tcPr>
          <w:p w14:paraId="3872F327">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1台</w:t>
            </w:r>
          </w:p>
        </w:tc>
      </w:tr>
      <w:tr w14:paraId="6A9F7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164200A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数字X射线摄影机（DR）</w:t>
            </w:r>
          </w:p>
        </w:tc>
        <w:tc>
          <w:tcPr>
            <w:tcW w:w="932" w:type="dxa"/>
            <w:tcBorders>
              <w:top w:val="nil"/>
              <w:left w:val="nil"/>
              <w:bottom w:val="nil"/>
              <w:right w:val="nil"/>
            </w:tcBorders>
            <w:noWrap w:val="0"/>
            <w:tcMar>
              <w:top w:w="-1" w:type="dxa"/>
              <w:left w:w="-1" w:type="dxa"/>
              <w:bottom w:w="-1" w:type="dxa"/>
              <w:right w:w="-1" w:type="dxa"/>
            </w:tcMar>
            <w:vAlign w:val="center"/>
          </w:tcPr>
          <w:p w14:paraId="4FEB2051">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1台</w:t>
            </w:r>
          </w:p>
        </w:tc>
      </w:tr>
      <w:tr w14:paraId="7DB15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3FB21E2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DDR（动态DR）</w:t>
            </w:r>
          </w:p>
        </w:tc>
        <w:tc>
          <w:tcPr>
            <w:tcW w:w="932" w:type="dxa"/>
            <w:tcBorders>
              <w:top w:val="nil"/>
              <w:left w:val="nil"/>
              <w:bottom w:val="nil"/>
              <w:right w:val="nil"/>
            </w:tcBorders>
            <w:noWrap w:val="0"/>
            <w:tcMar>
              <w:top w:w="-1" w:type="dxa"/>
              <w:left w:w="-1" w:type="dxa"/>
              <w:bottom w:w="-1" w:type="dxa"/>
              <w:right w:w="-1" w:type="dxa"/>
            </w:tcMar>
            <w:vAlign w:val="center"/>
          </w:tcPr>
          <w:p w14:paraId="3B42044D">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1台</w:t>
            </w:r>
          </w:p>
        </w:tc>
      </w:tr>
      <w:tr w14:paraId="6A6D5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5793A7D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移动DR</w:t>
            </w:r>
          </w:p>
        </w:tc>
        <w:tc>
          <w:tcPr>
            <w:tcW w:w="932" w:type="dxa"/>
            <w:tcBorders>
              <w:top w:val="nil"/>
              <w:left w:val="nil"/>
              <w:bottom w:val="nil"/>
              <w:right w:val="nil"/>
            </w:tcBorders>
            <w:noWrap w:val="0"/>
            <w:tcMar>
              <w:top w:w="-1" w:type="dxa"/>
              <w:left w:w="-1" w:type="dxa"/>
              <w:bottom w:w="-1" w:type="dxa"/>
              <w:right w:w="-1" w:type="dxa"/>
            </w:tcMar>
            <w:vAlign w:val="center"/>
          </w:tcPr>
          <w:p w14:paraId="2FEDF498">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2台</w:t>
            </w:r>
          </w:p>
        </w:tc>
      </w:tr>
      <w:tr w14:paraId="070A6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49FC301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胃肠造影机（直接数字化X射线造影系统）</w:t>
            </w:r>
          </w:p>
        </w:tc>
        <w:tc>
          <w:tcPr>
            <w:tcW w:w="932" w:type="dxa"/>
            <w:tcBorders>
              <w:top w:val="nil"/>
              <w:left w:val="nil"/>
              <w:bottom w:val="nil"/>
              <w:right w:val="nil"/>
            </w:tcBorders>
            <w:noWrap w:val="0"/>
            <w:tcMar>
              <w:top w:w="-1" w:type="dxa"/>
              <w:left w:w="-1" w:type="dxa"/>
              <w:bottom w:w="-1" w:type="dxa"/>
              <w:right w:w="-1" w:type="dxa"/>
            </w:tcMar>
            <w:vAlign w:val="center"/>
          </w:tcPr>
          <w:p w14:paraId="1B59E936">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1台</w:t>
            </w:r>
          </w:p>
        </w:tc>
      </w:tr>
      <w:tr w14:paraId="1D92B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407276F9">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移动式C形臂X光机</w:t>
            </w:r>
          </w:p>
        </w:tc>
        <w:tc>
          <w:tcPr>
            <w:tcW w:w="932" w:type="dxa"/>
            <w:tcBorders>
              <w:top w:val="nil"/>
              <w:left w:val="nil"/>
              <w:bottom w:val="nil"/>
              <w:right w:val="nil"/>
            </w:tcBorders>
            <w:noWrap w:val="0"/>
            <w:tcMar>
              <w:top w:w="-1" w:type="dxa"/>
              <w:left w:w="-1" w:type="dxa"/>
              <w:bottom w:w="-1" w:type="dxa"/>
              <w:right w:w="-1" w:type="dxa"/>
            </w:tcMar>
            <w:vAlign w:val="center"/>
          </w:tcPr>
          <w:p w14:paraId="327CB384">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2台</w:t>
            </w:r>
          </w:p>
        </w:tc>
      </w:tr>
      <w:tr w14:paraId="5B0F3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22D505E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高能X线密度仪</w:t>
            </w:r>
          </w:p>
        </w:tc>
        <w:tc>
          <w:tcPr>
            <w:tcW w:w="932" w:type="dxa"/>
            <w:tcBorders>
              <w:top w:val="nil"/>
              <w:left w:val="nil"/>
              <w:bottom w:val="nil"/>
              <w:right w:val="nil"/>
            </w:tcBorders>
            <w:noWrap w:val="0"/>
            <w:tcMar>
              <w:top w:w="-1" w:type="dxa"/>
              <w:left w:w="-1" w:type="dxa"/>
              <w:bottom w:w="-1" w:type="dxa"/>
              <w:right w:w="-1" w:type="dxa"/>
            </w:tcMar>
            <w:vAlign w:val="center"/>
          </w:tcPr>
          <w:p w14:paraId="6E3F6D68">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1台</w:t>
            </w:r>
          </w:p>
        </w:tc>
      </w:tr>
      <w:tr w14:paraId="7E4D1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1445737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口腔颌面锥形束计算机体层摄影（CBCT）</w:t>
            </w:r>
          </w:p>
        </w:tc>
        <w:tc>
          <w:tcPr>
            <w:tcW w:w="932" w:type="dxa"/>
            <w:tcBorders>
              <w:top w:val="nil"/>
              <w:left w:val="nil"/>
              <w:bottom w:val="nil"/>
              <w:right w:val="nil"/>
            </w:tcBorders>
            <w:noWrap w:val="0"/>
            <w:tcMar>
              <w:top w:w="-1" w:type="dxa"/>
              <w:left w:w="-1" w:type="dxa"/>
              <w:bottom w:w="-1" w:type="dxa"/>
              <w:right w:w="-1" w:type="dxa"/>
            </w:tcMar>
            <w:vAlign w:val="center"/>
          </w:tcPr>
          <w:p w14:paraId="05CA8D94">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r>
      <w:tr w14:paraId="5FCA2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4C1470D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移动式牙科X摄线机</w:t>
            </w:r>
          </w:p>
        </w:tc>
        <w:tc>
          <w:tcPr>
            <w:tcW w:w="932" w:type="dxa"/>
            <w:tcBorders>
              <w:top w:val="nil"/>
              <w:left w:val="nil"/>
              <w:bottom w:val="nil"/>
              <w:right w:val="nil"/>
            </w:tcBorders>
            <w:noWrap w:val="0"/>
            <w:tcMar>
              <w:top w:w="-1" w:type="dxa"/>
              <w:left w:w="-1" w:type="dxa"/>
              <w:bottom w:w="-1" w:type="dxa"/>
              <w:right w:w="-1" w:type="dxa"/>
            </w:tcMar>
            <w:vAlign w:val="center"/>
          </w:tcPr>
          <w:p w14:paraId="6EFEAE9C">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r>
      <w:tr w14:paraId="19C20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3510F7B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牙科X线数字图像诊断系统</w:t>
            </w:r>
          </w:p>
        </w:tc>
        <w:tc>
          <w:tcPr>
            <w:tcW w:w="932" w:type="dxa"/>
            <w:tcBorders>
              <w:top w:val="nil"/>
              <w:left w:val="nil"/>
              <w:bottom w:val="nil"/>
              <w:right w:val="nil"/>
            </w:tcBorders>
            <w:noWrap w:val="0"/>
            <w:tcMar>
              <w:top w:w="-1" w:type="dxa"/>
              <w:left w:w="-1" w:type="dxa"/>
              <w:bottom w:w="-1" w:type="dxa"/>
              <w:right w:w="-1" w:type="dxa"/>
            </w:tcMar>
            <w:vAlign w:val="center"/>
          </w:tcPr>
          <w:p w14:paraId="2A552CFF">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r>
      <w:tr w14:paraId="6A5FD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65DAD59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呼吸与危重症医学科介入检查室</w:t>
            </w:r>
          </w:p>
        </w:tc>
        <w:tc>
          <w:tcPr>
            <w:tcW w:w="932" w:type="dxa"/>
            <w:tcBorders>
              <w:top w:val="nil"/>
              <w:left w:val="nil"/>
              <w:bottom w:val="nil"/>
              <w:right w:val="nil"/>
            </w:tcBorders>
            <w:noWrap w:val="0"/>
            <w:tcMar>
              <w:top w:w="-1" w:type="dxa"/>
              <w:left w:w="-1" w:type="dxa"/>
              <w:bottom w:w="-1" w:type="dxa"/>
              <w:right w:w="-1" w:type="dxa"/>
            </w:tcMar>
            <w:vAlign w:val="center"/>
          </w:tcPr>
          <w:p w14:paraId="7F84068B">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2间</w:t>
            </w:r>
          </w:p>
        </w:tc>
      </w:tr>
      <w:tr w14:paraId="25CB6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25B2D83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8间手术室（涉及到放射诊疗）</w:t>
            </w:r>
          </w:p>
        </w:tc>
        <w:tc>
          <w:tcPr>
            <w:tcW w:w="932" w:type="dxa"/>
            <w:tcBorders>
              <w:top w:val="nil"/>
              <w:left w:val="nil"/>
              <w:bottom w:val="nil"/>
              <w:right w:val="nil"/>
            </w:tcBorders>
            <w:noWrap w:val="0"/>
            <w:tcMar>
              <w:top w:w="-1" w:type="dxa"/>
              <w:left w:w="-1" w:type="dxa"/>
              <w:bottom w:w="-1" w:type="dxa"/>
              <w:right w:w="-1" w:type="dxa"/>
            </w:tcMar>
            <w:vAlign w:val="center"/>
          </w:tcPr>
          <w:p w14:paraId="26AD9B8C">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8间</w:t>
            </w:r>
          </w:p>
        </w:tc>
      </w:tr>
      <w:tr w14:paraId="1C401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nil"/>
              <w:right w:val="nil"/>
            </w:tcBorders>
            <w:noWrap w:val="0"/>
            <w:tcMar>
              <w:top w:w="-1" w:type="dxa"/>
              <w:left w:w="-1" w:type="dxa"/>
              <w:bottom w:w="-1" w:type="dxa"/>
              <w:right w:w="-1" w:type="dxa"/>
            </w:tcMar>
            <w:vAlign w:val="center"/>
          </w:tcPr>
          <w:p w14:paraId="3B840AD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89Sr、32P敷贴、223Ra、177Lu、68Ga、125I粒子</w:t>
            </w:r>
          </w:p>
        </w:tc>
        <w:tc>
          <w:tcPr>
            <w:tcW w:w="932" w:type="dxa"/>
            <w:tcBorders>
              <w:top w:val="nil"/>
              <w:left w:val="nil"/>
              <w:bottom w:val="nil"/>
              <w:right w:val="nil"/>
            </w:tcBorders>
            <w:noWrap w:val="0"/>
            <w:tcMar>
              <w:top w:w="-1" w:type="dxa"/>
              <w:left w:w="-1" w:type="dxa"/>
              <w:bottom w:w="-1" w:type="dxa"/>
              <w:right w:w="-1" w:type="dxa"/>
            </w:tcMar>
            <w:vAlign w:val="center"/>
          </w:tcPr>
          <w:p w14:paraId="2C697926">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w:t>
            </w:r>
          </w:p>
        </w:tc>
      </w:tr>
      <w:tr w14:paraId="0EA04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0" w:type="dxa"/>
            <w:tcBorders>
              <w:top w:val="nil"/>
              <w:left w:val="nil"/>
              <w:bottom w:val="single" w:color="000000" w:sz="12" w:space="0"/>
              <w:right w:val="nil"/>
            </w:tcBorders>
            <w:noWrap w:val="0"/>
            <w:tcMar>
              <w:top w:w="-1" w:type="dxa"/>
              <w:left w:w="-1" w:type="dxa"/>
              <w:bottom w:w="-1" w:type="dxa"/>
              <w:right w:w="-1" w:type="dxa"/>
            </w:tcMar>
            <w:vAlign w:val="center"/>
          </w:tcPr>
          <w:p w14:paraId="3928C89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99mTc、90Sr</w:t>
            </w:r>
          </w:p>
        </w:tc>
        <w:tc>
          <w:tcPr>
            <w:tcW w:w="932" w:type="dxa"/>
            <w:tcBorders>
              <w:top w:val="nil"/>
              <w:left w:val="nil"/>
              <w:bottom w:val="single" w:color="000000" w:sz="12" w:space="0"/>
              <w:right w:val="nil"/>
            </w:tcBorders>
            <w:noWrap w:val="0"/>
            <w:tcMar>
              <w:top w:w="-1" w:type="dxa"/>
              <w:left w:w="-1" w:type="dxa"/>
              <w:bottom w:w="-1" w:type="dxa"/>
              <w:right w:w="-1" w:type="dxa"/>
            </w:tcMar>
            <w:vAlign w:val="center"/>
          </w:tcPr>
          <w:p w14:paraId="462244F8">
            <w:pPr>
              <w:keepNext w:val="0"/>
              <w:keepLines w:val="0"/>
              <w:widowControl/>
              <w:suppressLineNumbers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w:t>
            </w:r>
          </w:p>
        </w:tc>
      </w:tr>
    </w:tbl>
    <w:p w14:paraId="59EBF375">
      <w:pPr>
        <w:pStyle w:val="3"/>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eastAsia" w:ascii="仿宋" w:hAnsi="仿宋" w:eastAsia="仿宋" w:cs="仿宋"/>
          <w:color w:val="auto"/>
          <w:lang w:val="en-US" w:eastAsia="zh-CN"/>
        </w:rPr>
      </w:pPr>
      <w:r>
        <w:rPr>
          <w:rFonts w:hint="eastAsia" w:ascii="仿宋" w:hAnsi="仿宋" w:eastAsia="仿宋" w:cs="仿宋"/>
          <w:b/>
          <w:bCs/>
          <w:color w:val="auto"/>
          <w:kern w:val="0"/>
          <w:sz w:val="24"/>
          <w:szCs w:val="24"/>
          <w:lang w:val="en-US" w:eastAsia="zh-CN" w:bidi="ar"/>
        </w:rPr>
        <w:t>附件2：广州医科大学附属第一医院娄底医院竣工验收清单</w:t>
      </w:r>
    </w:p>
    <w:tbl>
      <w:tblPr>
        <w:tblStyle w:val="20"/>
        <w:tblW w:w="86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65"/>
        <w:gridCol w:w="787"/>
        <w:gridCol w:w="2810"/>
      </w:tblGrid>
      <w:tr w14:paraId="79EA3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5065"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5AABC4F8">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通用设备名称</w:t>
            </w:r>
          </w:p>
        </w:tc>
        <w:tc>
          <w:tcPr>
            <w:tcW w:w="0" w:type="auto"/>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0AD20E5C">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数量</w:t>
            </w:r>
          </w:p>
        </w:tc>
        <w:tc>
          <w:tcPr>
            <w:tcW w:w="2810"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0C8FE629">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lang w:val="en-US" w:eastAsia="zh-CN"/>
              </w:rPr>
            </w:pPr>
            <w:r>
              <w:rPr>
                <w:rFonts w:hint="eastAsia" w:ascii="仿宋" w:hAnsi="仿宋" w:eastAsia="仿宋" w:cs="仿宋"/>
                <w:b/>
                <w:bCs/>
                <w:i w:val="0"/>
                <w:iCs w:val="0"/>
                <w:color w:val="auto"/>
                <w:sz w:val="28"/>
                <w:szCs w:val="28"/>
                <w:u w:val="none"/>
                <w:lang w:val="en-US" w:eastAsia="zh-CN"/>
              </w:rPr>
              <w:t>所在科室</w:t>
            </w:r>
          </w:p>
        </w:tc>
      </w:tr>
      <w:tr w14:paraId="7D7BB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769E2119">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医用电子直线加速器1</w:t>
            </w:r>
          </w:p>
        </w:tc>
        <w:tc>
          <w:tcPr>
            <w:tcW w:w="0" w:type="auto"/>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3EDDA3BF">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390F6B4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48D50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615307F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医用电子直线加速器2</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65689DE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5A45CF6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67C03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2E18F0E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后装治疗机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629A37F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52588FA">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55863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4F94DC4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CT模拟定位机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45E5E60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1DC210F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52FA9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7D8E7D1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移动式C形臂X光机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238FE96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7444F48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泌尿外科/骨科</w:t>
            </w:r>
          </w:p>
        </w:tc>
      </w:tr>
      <w:tr w14:paraId="22851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3763DD6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64排及以上CT（1）</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7D9821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6C3D129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5E163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3AFCB8B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64排及以上CT（2）</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AD0123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4A13CA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40EA0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2ADA76BA">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超高端CT</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61E13389">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1FCA65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1C9B3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43361EEF">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乳腺X射线机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22559B3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33B16F0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38A33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653D27A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DR（直接数字化X线摄影系统）</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3FACBE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CB8E95F">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043B2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73072A8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DDR（动态DR）</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47A0B3E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108DA5B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00C4E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0538F54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移动DR</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4E0888A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7B947AD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4040F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378A3C4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胃肠造影机（直接数字化X线造影系统）</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67C63B9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6A9343E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2CF43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5C72398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移动式C形臂X光机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AD8E37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1557B6A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呼吸与危重症医学科</w:t>
            </w:r>
          </w:p>
        </w:tc>
      </w:tr>
      <w:tr w14:paraId="252E2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7D57D9D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大C臂机DSA</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E3981A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7D5BD6AA">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介入室</w:t>
            </w:r>
          </w:p>
        </w:tc>
      </w:tr>
      <w:tr w14:paraId="5C75C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178D85F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PET/CT及配套产品</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29DC1ED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4A22830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核医学科</w:t>
            </w:r>
          </w:p>
        </w:tc>
      </w:tr>
      <w:tr w14:paraId="1E252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7035DB9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SPECT/CT（16排以上）及配套产品</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F264FC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70AFB30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核医学科</w:t>
            </w:r>
          </w:p>
        </w:tc>
      </w:tr>
      <w:tr w14:paraId="0654F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1CBAD94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锶90（40mCi）敷贴器</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69CFD89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AC6B70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核医学科</w:t>
            </w:r>
          </w:p>
        </w:tc>
      </w:tr>
      <w:tr w14:paraId="56CEB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4A34166A">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口腔颌面锥形束计算机体层摄影（CBCT）</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98C336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DC0F5D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口腔科</w:t>
            </w:r>
          </w:p>
        </w:tc>
      </w:tr>
      <w:tr w14:paraId="6049C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single" w:color="000000" w:sz="12" w:space="0"/>
              <w:right w:val="nil"/>
            </w:tcBorders>
            <w:shd w:val="clear" w:color="auto" w:fill="FFFFFF"/>
            <w:noWrap w:val="0"/>
            <w:tcMar>
              <w:top w:w="-1" w:type="dxa"/>
              <w:left w:w="-1" w:type="dxa"/>
              <w:bottom w:w="-1" w:type="dxa"/>
              <w:right w:w="-1" w:type="dxa"/>
            </w:tcMar>
            <w:vAlign w:val="center"/>
          </w:tcPr>
          <w:p w14:paraId="69B9132F">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双能X线骨密度仪</w:t>
            </w:r>
          </w:p>
        </w:tc>
        <w:tc>
          <w:tcPr>
            <w:tcW w:w="787" w:type="dxa"/>
            <w:tcBorders>
              <w:top w:val="nil"/>
              <w:left w:val="nil"/>
              <w:bottom w:val="single" w:color="000000" w:sz="12" w:space="0"/>
              <w:right w:val="nil"/>
            </w:tcBorders>
            <w:shd w:val="clear" w:color="auto" w:fill="FFFFFF"/>
            <w:noWrap w:val="0"/>
            <w:tcMar>
              <w:top w:w="-1" w:type="dxa"/>
              <w:left w:w="-1" w:type="dxa"/>
              <w:bottom w:w="-1" w:type="dxa"/>
              <w:right w:w="-1" w:type="dxa"/>
            </w:tcMar>
            <w:vAlign w:val="center"/>
          </w:tcPr>
          <w:p w14:paraId="38F1B6B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single" w:color="000000" w:sz="12" w:space="0"/>
              <w:right w:val="nil"/>
            </w:tcBorders>
            <w:shd w:val="clear" w:color="auto" w:fill="FFFFFF"/>
            <w:noWrap w:val="0"/>
            <w:tcMar>
              <w:top w:w="-1" w:type="dxa"/>
              <w:left w:w="-1" w:type="dxa"/>
              <w:bottom w:w="-1" w:type="dxa"/>
              <w:right w:w="-1" w:type="dxa"/>
            </w:tcMar>
            <w:vAlign w:val="center"/>
          </w:tcPr>
          <w:p w14:paraId="211C272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老年内科</w:t>
            </w:r>
          </w:p>
        </w:tc>
      </w:tr>
    </w:tbl>
    <w:p w14:paraId="7EA75850">
      <w:pPr>
        <w:pStyle w:val="3"/>
        <w:keepNext/>
        <w:keepLines/>
        <w:pageBreakBefore w:val="0"/>
        <w:widowControl w:val="0"/>
        <w:kinsoku/>
        <w:wordWrap/>
        <w:overflowPunct/>
        <w:topLinePunct w:val="0"/>
        <w:autoSpaceDE/>
        <w:autoSpaceDN/>
        <w:bidi w:val="0"/>
        <w:adjustRightInd/>
        <w:snapToGrid/>
        <w:spacing w:before="0" w:after="0" w:line="480" w:lineRule="exact"/>
        <w:jc w:val="both"/>
        <w:textAlignment w:val="auto"/>
        <w:rPr>
          <w:rFonts w:hint="eastAsia" w:ascii="仿宋" w:hAnsi="仿宋" w:eastAsia="仿宋" w:cs="仿宋"/>
          <w:color w:val="auto"/>
          <w:sz w:val="40"/>
          <w:szCs w:val="18"/>
          <w:lang w:eastAsia="zh-CN"/>
        </w:rPr>
      </w:pPr>
      <w:r>
        <w:rPr>
          <w:rFonts w:hint="eastAsia" w:ascii="仿宋" w:hAnsi="仿宋" w:eastAsia="仿宋" w:cs="仿宋"/>
          <w:b/>
          <w:bCs/>
          <w:color w:val="auto"/>
          <w:kern w:val="0"/>
          <w:sz w:val="22"/>
          <w:szCs w:val="22"/>
          <w:lang w:val="en-US" w:eastAsia="zh-CN" w:bidi="ar"/>
        </w:rPr>
        <w:t>附件3：广州医科大学附属第一医院娄底医院核技术利用项目</w:t>
      </w:r>
      <w:r>
        <w:rPr>
          <w:rFonts w:hint="eastAsia" w:ascii="仿宋" w:hAnsi="仿宋" w:eastAsia="仿宋" w:cs="仿宋"/>
          <w:b/>
          <w:bCs/>
          <w:color w:val="auto"/>
          <w:kern w:val="0"/>
          <w:sz w:val="24"/>
          <w:szCs w:val="24"/>
          <w:lang w:val="en-US" w:eastAsia="zh-CN" w:bidi="ar"/>
        </w:rPr>
        <w:t>竣工验收清单(如需)</w:t>
      </w:r>
    </w:p>
    <w:tbl>
      <w:tblPr>
        <w:tblStyle w:val="20"/>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33"/>
        <w:gridCol w:w="5470"/>
        <w:gridCol w:w="1619"/>
      </w:tblGrid>
      <w:tr w14:paraId="7C13A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0" w:type="auto"/>
            <w:tcBorders>
              <w:top w:val="single" w:color="auto" w:sz="12" w:space="0"/>
              <w:left w:val="nil"/>
              <w:bottom w:val="nil"/>
              <w:right w:val="nil"/>
            </w:tcBorders>
            <w:shd w:val="clear" w:color="auto" w:fill="auto"/>
            <w:noWrap w:val="0"/>
            <w:tcMar>
              <w:top w:w="-1" w:type="dxa"/>
              <w:left w:w="-1" w:type="dxa"/>
              <w:bottom w:w="-1" w:type="dxa"/>
              <w:right w:w="-1" w:type="dxa"/>
            </w:tcMar>
            <w:vAlign w:val="center"/>
          </w:tcPr>
          <w:p w14:paraId="45771F6C">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b/>
                <w:i w:val="0"/>
                <w:iCs w:val="0"/>
                <w:color w:val="auto"/>
                <w:kern w:val="2"/>
                <w:sz w:val="28"/>
                <w:szCs w:val="24"/>
                <w:u w:val="none"/>
                <w:lang w:val="en-US" w:eastAsia="zh-CN" w:bidi="ar-SA"/>
              </w:rPr>
            </w:pPr>
            <w:r>
              <w:rPr>
                <w:rFonts w:hint="eastAsia" w:ascii="仿宋" w:hAnsi="仿宋" w:eastAsia="仿宋" w:cs="仿宋"/>
                <w:b/>
                <w:i w:val="0"/>
                <w:iCs w:val="0"/>
                <w:color w:val="auto"/>
                <w:kern w:val="0"/>
                <w:sz w:val="28"/>
                <w:szCs w:val="24"/>
                <w:u w:val="none"/>
                <w:lang w:val="en-US" w:eastAsia="zh-CN" w:bidi="ar"/>
              </w:rPr>
              <w:t>核素名称</w:t>
            </w:r>
          </w:p>
        </w:tc>
        <w:tc>
          <w:tcPr>
            <w:tcW w:w="5470"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2D23328A">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lang w:val="en-US" w:eastAsia="zh-CN"/>
              </w:rPr>
            </w:pPr>
            <w:r>
              <w:rPr>
                <w:rFonts w:hint="eastAsia" w:ascii="仿宋" w:hAnsi="仿宋" w:eastAsia="仿宋" w:cs="仿宋"/>
                <w:b/>
                <w:bCs/>
                <w:i w:val="0"/>
                <w:iCs w:val="0"/>
                <w:color w:val="auto"/>
                <w:sz w:val="28"/>
                <w:szCs w:val="28"/>
                <w:u w:val="none"/>
                <w:lang w:val="en-US" w:eastAsia="zh-CN"/>
              </w:rPr>
              <w:t>年最大操作量</w:t>
            </w:r>
          </w:p>
        </w:tc>
        <w:tc>
          <w:tcPr>
            <w:tcW w:w="1619"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597818D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lang w:val="en-US" w:eastAsia="zh-CN"/>
              </w:rPr>
            </w:pPr>
            <w:r>
              <w:rPr>
                <w:rFonts w:hint="eastAsia" w:ascii="仿宋" w:hAnsi="仿宋" w:eastAsia="仿宋" w:cs="仿宋"/>
                <w:b/>
                <w:bCs/>
                <w:i w:val="0"/>
                <w:iCs w:val="0"/>
                <w:color w:val="auto"/>
                <w:sz w:val="28"/>
                <w:szCs w:val="28"/>
                <w:u w:val="none"/>
                <w:lang w:val="en-US" w:eastAsia="zh-CN"/>
              </w:rPr>
              <w:t>所在科室</w:t>
            </w:r>
          </w:p>
        </w:tc>
      </w:tr>
      <w:tr w14:paraId="2D1F7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0277DA08">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18F</w:t>
            </w:r>
          </w:p>
        </w:tc>
        <w:tc>
          <w:tcPr>
            <w:tcW w:w="5470"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4A95C83E">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4.992*10</w:t>
            </w:r>
            <w:r>
              <w:rPr>
                <w:rFonts w:hint="eastAsia" w:ascii="仿宋" w:hAnsi="仿宋" w:eastAsia="仿宋" w:cs="仿宋"/>
                <w:i w:val="0"/>
                <w:iCs w:val="0"/>
                <w:color w:val="auto"/>
                <w:kern w:val="0"/>
                <w:sz w:val="24"/>
                <w:szCs w:val="24"/>
                <w:u w:val="none"/>
                <w:vertAlign w:val="superscript"/>
                <w:lang w:val="en-US" w:eastAsia="zh-CN" w:bidi="ar"/>
              </w:rPr>
              <w:t>13</w:t>
            </w:r>
            <w:r>
              <w:rPr>
                <w:rFonts w:hint="eastAsia" w:ascii="仿宋" w:hAnsi="仿宋" w:eastAsia="仿宋" w:cs="仿宋"/>
                <w:i w:val="0"/>
                <w:iCs w:val="0"/>
                <w:color w:val="auto"/>
                <w:kern w:val="0"/>
                <w:sz w:val="24"/>
                <w:szCs w:val="24"/>
                <w:u w:val="none"/>
                <w:lang w:val="en-US" w:eastAsia="zh-CN" w:bidi="ar"/>
              </w:rPr>
              <w:t>（生产）3.85*10</w:t>
            </w:r>
            <w:r>
              <w:rPr>
                <w:rFonts w:hint="eastAsia" w:ascii="仿宋" w:hAnsi="仿宋" w:eastAsia="仿宋" w:cs="仿宋"/>
                <w:i w:val="0"/>
                <w:iCs w:val="0"/>
                <w:color w:val="auto"/>
                <w:kern w:val="0"/>
                <w:sz w:val="24"/>
                <w:szCs w:val="24"/>
                <w:u w:val="none"/>
                <w:vertAlign w:val="superscript"/>
                <w:lang w:val="en-US" w:eastAsia="zh-CN" w:bidi="ar"/>
              </w:rPr>
              <w:t>12</w:t>
            </w:r>
            <w:r>
              <w:rPr>
                <w:rFonts w:hint="eastAsia" w:ascii="仿宋" w:hAnsi="仿宋" w:eastAsia="仿宋" w:cs="仿宋"/>
                <w:i w:val="0"/>
                <w:iCs w:val="0"/>
                <w:color w:val="auto"/>
                <w:kern w:val="0"/>
                <w:sz w:val="24"/>
                <w:szCs w:val="24"/>
                <w:u w:val="none"/>
                <w:lang w:val="en-US" w:eastAsia="zh-CN" w:bidi="ar"/>
              </w:rPr>
              <w:t>（使用）</w:t>
            </w:r>
          </w:p>
        </w:tc>
        <w:tc>
          <w:tcPr>
            <w:tcW w:w="1619"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79A52314">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sz w:val="24"/>
                <w:szCs w:val="28"/>
                <w:u w:val="none"/>
                <w:lang w:val="en-US" w:eastAsia="zh-CN"/>
              </w:rPr>
            </w:pPr>
            <w:r>
              <w:rPr>
                <w:rFonts w:hint="eastAsia" w:ascii="仿宋" w:hAnsi="仿宋" w:eastAsia="仿宋" w:cs="仿宋"/>
                <w:i w:val="0"/>
                <w:iCs w:val="0"/>
                <w:color w:val="auto"/>
                <w:sz w:val="24"/>
                <w:szCs w:val="28"/>
                <w:u w:val="none"/>
                <w:lang w:val="en-US" w:eastAsia="zh-CN"/>
              </w:rPr>
              <w:t>核医学科</w:t>
            </w:r>
          </w:p>
        </w:tc>
      </w:tr>
      <w:tr w14:paraId="41C73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0E59F8CC">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99mTc</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3957141B">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4.81*10</w:t>
            </w:r>
            <w:r>
              <w:rPr>
                <w:rFonts w:hint="eastAsia" w:ascii="仿宋" w:hAnsi="仿宋" w:eastAsia="仿宋" w:cs="仿宋"/>
                <w:i w:val="0"/>
                <w:iCs w:val="0"/>
                <w:color w:val="auto"/>
                <w:kern w:val="0"/>
                <w:sz w:val="24"/>
                <w:szCs w:val="24"/>
                <w:u w:val="none"/>
                <w:vertAlign w:val="superscript"/>
                <w:lang w:val="en-US" w:eastAsia="zh-CN" w:bidi="ar"/>
              </w:rPr>
              <w:t>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6B2200F4">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sz w:val="24"/>
                <w:szCs w:val="28"/>
                <w:u w:val="none"/>
              </w:rPr>
            </w:pPr>
            <w:r>
              <w:rPr>
                <w:rFonts w:hint="eastAsia" w:ascii="仿宋" w:hAnsi="仿宋" w:eastAsia="仿宋" w:cs="仿宋"/>
                <w:i w:val="0"/>
                <w:iCs w:val="0"/>
                <w:color w:val="auto"/>
                <w:sz w:val="24"/>
                <w:szCs w:val="28"/>
                <w:u w:val="none"/>
                <w:lang w:val="en-US" w:eastAsia="zh-CN"/>
              </w:rPr>
              <w:t>核医学科</w:t>
            </w:r>
          </w:p>
        </w:tc>
      </w:tr>
      <w:tr w14:paraId="6FD11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A04B297">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89Sr</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742AA947">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3.848*10</w:t>
            </w:r>
            <w:r>
              <w:rPr>
                <w:rFonts w:hint="eastAsia" w:ascii="仿宋" w:hAnsi="仿宋" w:eastAsia="仿宋" w:cs="仿宋"/>
                <w:i w:val="0"/>
                <w:iCs w:val="0"/>
                <w:color w:val="auto"/>
                <w:kern w:val="0"/>
                <w:sz w:val="24"/>
                <w:szCs w:val="24"/>
                <w:u w:val="none"/>
                <w:vertAlign w:val="superscript"/>
                <w:lang w:val="en-US" w:eastAsia="zh-CN" w:bidi="ar"/>
              </w:rPr>
              <w:t>11</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211411D7">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sz w:val="24"/>
                <w:szCs w:val="28"/>
                <w:u w:val="none"/>
              </w:rPr>
            </w:pPr>
            <w:r>
              <w:rPr>
                <w:rFonts w:hint="eastAsia" w:ascii="仿宋" w:hAnsi="仿宋" w:eastAsia="仿宋" w:cs="仿宋"/>
                <w:i w:val="0"/>
                <w:iCs w:val="0"/>
                <w:color w:val="auto"/>
                <w:sz w:val="24"/>
                <w:szCs w:val="28"/>
                <w:u w:val="none"/>
                <w:lang w:val="en-US" w:eastAsia="zh-CN"/>
              </w:rPr>
              <w:t>核医学科</w:t>
            </w:r>
          </w:p>
        </w:tc>
      </w:tr>
      <w:tr w14:paraId="0796B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6189F534">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131I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707F10AE">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2.479*10</w:t>
            </w:r>
            <w:r>
              <w:rPr>
                <w:rFonts w:hint="eastAsia" w:ascii="仿宋" w:hAnsi="仿宋" w:eastAsia="仿宋" w:cs="仿宋"/>
                <w:i w:val="0"/>
                <w:iCs w:val="0"/>
                <w:color w:val="auto"/>
                <w:kern w:val="0"/>
                <w:sz w:val="24"/>
                <w:szCs w:val="24"/>
                <w:u w:val="none"/>
                <w:vertAlign w:val="superscript"/>
                <w:lang w:val="en-US" w:eastAsia="zh-CN" w:bidi="ar"/>
              </w:rPr>
              <w:t>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5E6AFFDD">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0C05A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A58D02A">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131I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25CB7C13">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2.15*10</w:t>
            </w:r>
            <w:r>
              <w:rPr>
                <w:rFonts w:hint="eastAsia" w:ascii="仿宋" w:hAnsi="仿宋" w:eastAsia="仿宋" w:cs="仿宋"/>
                <w:i w:val="0"/>
                <w:iCs w:val="0"/>
                <w:color w:val="auto"/>
                <w:kern w:val="0"/>
                <w:sz w:val="24"/>
                <w:szCs w:val="24"/>
                <w:u w:val="none"/>
                <w:vertAlign w:val="superscript"/>
                <w:lang w:val="en-US" w:eastAsia="zh-CN" w:bidi="ar"/>
              </w:rPr>
              <w:t>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019D4351">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75D31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5C1500BA">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131I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2D93A236">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3.7*10</w:t>
            </w:r>
            <w:r>
              <w:rPr>
                <w:rFonts w:hint="eastAsia" w:ascii="仿宋" w:hAnsi="仿宋" w:eastAsia="仿宋" w:cs="仿宋"/>
                <w:i w:val="0"/>
                <w:iCs w:val="0"/>
                <w:color w:val="auto"/>
                <w:kern w:val="0"/>
                <w:sz w:val="24"/>
                <w:szCs w:val="24"/>
                <w:u w:val="none"/>
                <w:vertAlign w:val="superscript"/>
                <w:lang w:val="en-US" w:eastAsia="zh-CN" w:bidi="ar"/>
              </w:rPr>
              <w:t>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45D15D53">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096B9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2F733C86">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177Lu</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0879905B">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1.48*10</w:t>
            </w:r>
            <w:r>
              <w:rPr>
                <w:rFonts w:hint="eastAsia" w:ascii="仿宋" w:hAnsi="仿宋" w:eastAsia="仿宋" w:cs="仿宋"/>
                <w:i w:val="0"/>
                <w:iCs w:val="0"/>
                <w:color w:val="auto"/>
                <w:kern w:val="0"/>
                <w:sz w:val="24"/>
                <w:szCs w:val="24"/>
                <w:u w:val="none"/>
                <w:vertAlign w:val="superscript"/>
                <w:lang w:val="en-US" w:eastAsia="zh-CN" w:bidi="ar"/>
              </w:rPr>
              <w:t>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64FE1F68">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05D92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4A96EC4B">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223Ra</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754E541E">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1.85*10</w:t>
            </w:r>
            <w:r>
              <w:rPr>
                <w:rFonts w:hint="eastAsia" w:ascii="仿宋" w:hAnsi="仿宋" w:eastAsia="仿宋" w:cs="仿宋"/>
                <w:i w:val="0"/>
                <w:iCs w:val="0"/>
                <w:color w:val="auto"/>
                <w:kern w:val="0"/>
                <w:sz w:val="24"/>
                <w:szCs w:val="24"/>
                <w:u w:val="none"/>
                <w:vertAlign w:val="superscript"/>
                <w:lang w:val="en-US" w:eastAsia="zh-CN" w:bidi="ar"/>
              </w:rPr>
              <w:t>10</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18CED1D0">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288B5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51205D6D">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32P</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16C84F8A">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3.7*10</w:t>
            </w:r>
            <w:r>
              <w:rPr>
                <w:rFonts w:hint="eastAsia" w:ascii="仿宋" w:hAnsi="仿宋" w:eastAsia="仿宋" w:cs="仿宋"/>
                <w:i w:val="0"/>
                <w:iCs w:val="0"/>
                <w:color w:val="auto"/>
                <w:kern w:val="0"/>
                <w:sz w:val="24"/>
                <w:szCs w:val="24"/>
                <w:u w:val="none"/>
                <w:vertAlign w:val="superscript"/>
                <w:lang w:val="en-US" w:eastAsia="zh-CN" w:bidi="ar"/>
              </w:rPr>
              <w:t>11</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4CAA7D22">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26A21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001A6B0">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125I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093A7D3C">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3.7*10</w:t>
            </w:r>
            <w:r>
              <w:rPr>
                <w:rFonts w:hint="eastAsia" w:ascii="仿宋" w:hAnsi="仿宋" w:eastAsia="仿宋" w:cs="仿宋"/>
                <w:i w:val="0"/>
                <w:iCs w:val="0"/>
                <w:color w:val="auto"/>
                <w:kern w:val="0"/>
                <w:sz w:val="24"/>
                <w:szCs w:val="24"/>
                <w:u w:val="none"/>
                <w:vertAlign w:val="superscript"/>
                <w:lang w:val="en-US" w:eastAsia="zh-CN" w:bidi="ar"/>
              </w:rPr>
              <w:t>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08F0A952">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294EA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433" w:type="dxa"/>
            <w:tcBorders>
              <w:top w:val="nil"/>
              <w:left w:val="nil"/>
              <w:bottom w:val="single" w:color="auto" w:sz="12" w:space="0"/>
              <w:right w:val="nil"/>
            </w:tcBorders>
            <w:shd w:val="clear" w:color="auto" w:fill="FFFFFF"/>
            <w:noWrap w:val="0"/>
            <w:tcMar>
              <w:top w:w="-1" w:type="dxa"/>
              <w:left w:w="-1" w:type="dxa"/>
              <w:bottom w:w="-1" w:type="dxa"/>
              <w:right w:w="-1" w:type="dxa"/>
            </w:tcMar>
            <w:vAlign w:val="center"/>
          </w:tcPr>
          <w:p w14:paraId="6CE7A2BB">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225Ac</w:t>
            </w:r>
          </w:p>
        </w:tc>
        <w:tc>
          <w:tcPr>
            <w:tcW w:w="5470" w:type="dxa"/>
            <w:tcBorders>
              <w:top w:val="nil"/>
              <w:left w:val="nil"/>
              <w:bottom w:val="single" w:color="auto" w:sz="12" w:space="0"/>
              <w:right w:val="nil"/>
            </w:tcBorders>
            <w:shd w:val="clear" w:color="auto" w:fill="FFFFFF"/>
            <w:noWrap w:val="0"/>
            <w:tcMar>
              <w:top w:w="-1" w:type="dxa"/>
              <w:left w:w="-1" w:type="dxa"/>
              <w:bottom w:w="-1" w:type="dxa"/>
              <w:right w:w="-1" w:type="dxa"/>
            </w:tcMar>
            <w:vAlign w:val="center"/>
          </w:tcPr>
          <w:p w14:paraId="2A53C9B2">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1.85*10</w:t>
            </w:r>
            <w:r>
              <w:rPr>
                <w:rFonts w:hint="eastAsia" w:ascii="仿宋" w:hAnsi="仿宋" w:eastAsia="仿宋" w:cs="仿宋"/>
                <w:i w:val="0"/>
                <w:iCs w:val="0"/>
                <w:color w:val="auto"/>
                <w:kern w:val="0"/>
                <w:sz w:val="24"/>
                <w:szCs w:val="24"/>
                <w:u w:val="none"/>
                <w:vertAlign w:val="superscript"/>
                <w:lang w:val="en-US" w:eastAsia="zh-CN" w:bidi="ar"/>
              </w:rPr>
              <w:t>10</w:t>
            </w:r>
          </w:p>
        </w:tc>
        <w:tc>
          <w:tcPr>
            <w:tcW w:w="1619" w:type="dxa"/>
            <w:tcBorders>
              <w:top w:val="nil"/>
              <w:left w:val="nil"/>
              <w:bottom w:val="single" w:color="auto" w:sz="12" w:space="0"/>
              <w:right w:val="nil"/>
            </w:tcBorders>
            <w:shd w:val="clear" w:color="auto" w:fill="FFFFFF"/>
            <w:noWrap w:val="0"/>
            <w:tcMar>
              <w:top w:w="-1" w:type="dxa"/>
              <w:left w:w="-1" w:type="dxa"/>
              <w:bottom w:w="-1" w:type="dxa"/>
              <w:right w:w="-1" w:type="dxa"/>
            </w:tcMar>
            <w:vAlign w:val="center"/>
          </w:tcPr>
          <w:p w14:paraId="44A1745C">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bl>
    <w:p w14:paraId="4F130CF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40" w:firstLineChars="200"/>
        <w:jc w:val="left"/>
        <w:rPr>
          <w:rFonts w:hint="eastAsia" w:ascii="仿宋" w:hAnsi="仿宋" w:eastAsia="仿宋" w:cs="仿宋"/>
          <w:color w:val="auto"/>
          <w:sz w:val="32"/>
          <w:szCs w:val="32"/>
        </w:rPr>
      </w:pPr>
    </w:p>
    <w:p w14:paraId="1E0F7BB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仿宋" w:hAnsi="仿宋" w:eastAsia="仿宋" w:cs="仿宋"/>
          <w:color w:val="auto"/>
          <w:sz w:val="24"/>
          <w:szCs w:val="24"/>
        </w:rPr>
      </w:pPr>
      <w:r>
        <w:rPr>
          <w:rFonts w:hint="eastAsia" w:ascii="仿宋" w:hAnsi="仿宋" w:eastAsia="仿宋" w:cs="仿宋"/>
          <w:color w:val="auto"/>
          <w:sz w:val="24"/>
          <w:szCs w:val="24"/>
        </w:rPr>
        <w:t>附件</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：广州医科大学附属第一医院娄底医院</w:t>
      </w:r>
      <w:r>
        <w:rPr>
          <w:rFonts w:hint="eastAsia" w:ascii="仿宋" w:hAnsi="仿宋" w:eastAsia="仿宋" w:cs="仿宋"/>
          <w:color w:val="auto"/>
          <w:sz w:val="24"/>
          <w:szCs w:val="24"/>
          <w:lang w:val="en-US" w:eastAsia="zh-CN"/>
        </w:rPr>
        <w:t>预</w:t>
      </w:r>
      <w:r>
        <w:rPr>
          <w:rFonts w:hint="eastAsia" w:ascii="仿宋" w:hAnsi="仿宋" w:eastAsia="仿宋" w:cs="仿宋"/>
          <w:color w:val="auto"/>
          <w:sz w:val="24"/>
          <w:szCs w:val="24"/>
        </w:rPr>
        <w:t>评项目清单</w:t>
      </w:r>
    </w:p>
    <w:tbl>
      <w:tblPr>
        <w:tblStyle w:val="21"/>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91"/>
        <w:gridCol w:w="5119"/>
        <w:gridCol w:w="1012"/>
      </w:tblGrid>
      <w:tr w14:paraId="73D2CBF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91" w:type="dxa"/>
            <w:tcBorders>
              <w:top w:val="single" w:color="auto" w:sz="12" w:space="0"/>
              <w:left w:val="single" w:color="auto" w:sz="12" w:space="0"/>
              <w:bottom w:val="nil"/>
              <w:right w:val="nil"/>
            </w:tcBorders>
            <w:noWrap w:val="0"/>
            <w:tcMar>
              <w:top w:w="-1" w:type="dxa"/>
              <w:left w:w="-1" w:type="dxa"/>
              <w:bottom w:w="-1" w:type="dxa"/>
              <w:right w:w="-1" w:type="dxa"/>
            </w:tcMar>
            <w:vAlign w:val="center"/>
          </w:tcPr>
          <w:p w14:paraId="1DEED3B6">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0"/>
                <w:sz w:val="24"/>
                <w:szCs w:val="24"/>
                <w:lang w:val="en-US" w:eastAsia="zh-CN" w:bidi="ar"/>
              </w:rPr>
              <w:t>类别</w:t>
            </w:r>
          </w:p>
        </w:tc>
        <w:tc>
          <w:tcPr>
            <w:tcW w:w="5119" w:type="dxa"/>
            <w:tcBorders>
              <w:top w:val="single" w:color="auto" w:sz="12" w:space="0"/>
              <w:left w:val="single" w:color="auto" w:sz="4" w:space="0"/>
              <w:bottom w:val="nil"/>
              <w:right w:val="nil"/>
            </w:tcBorders>
            <w:noWrap w:val="0"/>
            <w:tcMar>
              <w:top w:w="-1" w:type="dxa"/>
              <w:left w:w="-1" w:type="dxa"/>
              <w:bottom w:w="-1" w:type="dxa"/>
              <w:right w:w="-1" w:type="dxa"/>
            </w:tcMar>
            <w:vAlign w:val="center"/>
          </w:tcPr>
          <w:p w14:paraId="41D0288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0"/>
                <w:sz w:val="24"/>
                <w:szCs w:val="24"/>
                <w:lang w:val="en-US" w:eastAsia="zh-CN" w:bidi="ar"/>
              </w:rPr>
              <w:t>设备/核素名称</w:t>
            </w:r>
          </w:p>
        </w:tc>
        <w:tc>
          <w:tcPr>
            <w:tcW w:w="1012" w:type="dxa"/>
            <w:tcBorders>
              <w:top w:val="single" w:color="auto" w:sz="12" w:space="0"/>
              <w:left w:val="single" w:color="auto" w:sz="4" w:space="0"/>
              <w:bottom w:val="nil"/>
              <w:right w:val="single" w:color="auto" w:sz="12" w:space="0"/>
            </w:tcBorders>
            <w:noWrap w:val="0"/>
            <w:tcMar>
              <w:top w:w="-1" w:type="dxa"/>
              <w:left w:w="-1" w:type="dxa"/>
              <w:bottom w:w="-1" w:type="dxa"/>
              <w:right w:w="-1" w:type="dxa"/>
            </w:tcMar>
            <w:vAlign w:val="center"/>
          </w:tcPr>
          <w:p w14:paraId="359CE14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0"/>
                <w:sz w:val="24"/>
                <w:szCs w:val="24"/>
                <w:lang w:val="en-US" w:eastAsia="zh-CN" w:bidi="ar"/>
              </w:rPr>
              <w:t>数量</w:t>
            </w:r>
          </w:p>
        </w:tc>
      </w:tr>
      <w:tr w14:paraId="7ACC329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91" w:type="dxa"/>
            <w:tcBorders>
              <w:top w:val="single" w:color="auto" w:sz="4" w:space="0"/>
              <w:left w:val="single" w:color="auto" w:sz="12" w:space="0"/>
              <w:bottom w:val="nil"/>
              <w:right w:val="nil"/>
            </w:tcBorders>
            <w:noWrap w:val="0"/>
            <w:tcMar>
              <w:top w:w="-1" w:type="dxa"/>
              <w:left w:w="-1" w:type="dxa"/>
              <w:bottom w:w="-1" w:type="dxa"/>
              <w:right w:w="-1" w:type="dxa"/>
            </w:tcMar>
            <w:vAlign w:val="center"/>
          </w:tcPr>
          <w:p w14:paraId="0CBA26D8">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放射性物质类</w:t>
            </w:r>
          </w:p>
        </w:tc>
        <w:tc>
          <w:tcPr>
            <w:tcW w:w="5119" w:type="dxa"/>
            <w:tcBorders>
              <w:top w:val="single" w:color="auto" w:sz="4" w:space="0"/>
              <w:left w:val="single" w:color="auto" w:sz="4" w:space="0"/>
              <w:bottom w:val="nil"/>
              <w:right w:val="nil"/>
            </w:tcBorders>
            <w:noWrap w:val="0"/>
            <w:tcMar>
              <w:top w:w="-1" w:type="dxa"/>
              <w:left w:w="-1" w:type="dxa"/>
              <w:bottom w:w="-1" w:type="dxa"/>
              <w:right w:w="-1" w:type="dxa"/>
            </w:tcMar>
            <w:vAlign w:val="center"/>
          </w:tcPr>
          <w:p w14:paraId="671D18E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¹⁷⁷Lu核素治疗</w:t>
            </w:r>
          </w:p>
        </w:tc>
        <w:tc>
          <w:tcPr>
            <w:tcW w:w="1012" w:type="dxa"/>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20CDD13D">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w:t>
            </w:r>
          </w:p>
        </w:tc>
      </w:tr>
      <w:tr w14:paraId="75B94F2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91" w:type="dxa"/>
            <w:tcBorders>
              <w:top w:val="single" w:color="auto" w:sz="4" w:space="0"/>
              <w:left w:val="single" w:color="auto" w:sz="12" w:space="0"/>
              <w:bottom w:val="nil"/>
              <w:right w:val="nil"/>
            </w:tcBorders>
            <w:noWrap w:val="0"/>
            <w:tcMar>
              <w:top w:w="-1" w:type="dxa"/>
              <w:left w:w="-1" w:type="dxa"/>
              <w:bottom w:w="-1" w:type="dxa"/>
              <w:right w:w="-1" w:type="dxa"/>
            </w:tcMar>
            <w:vAlign w:val="center"/>
          </w:tcPr>
          <w:p w14:paraId="19499C4C">
            <w:pPr>
              <w:snapToGrid w:val="0"/>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119" w:type="dxa"/>
            <w:tcBorders>
              <w:top w:val="single" w:color="auto" w:sz="4" w:space="0"/>
              <w:left w:val="single" w:color="auto" w:sz="4" w:space="0"/>
              <w:bottom w:val="nil"/>
              <w:right w:val="nil"/>
            </w:tcBorders>
            <w:noWrap w:val="0"/>
            <w:tcMar>
              <w:top w:w="-1" w:type="dxa"/>
              <w:left w:w="-1" w:type="dxa"/>
              <w:bottom w:w="-1" w:type="dxa"/>
              <w:right w:w="-1" w:type="dxa"/>
            </w:tcMar>
            <w:vAlign w:val="center"/>
          </w:tcPr>
          <w:p w14:paraId="4E45F5AB">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¹²⁵I粒子</w:t>
            </w:r>
          </w:p>
        </w:tc>
        <w:tc>
          <w:tcPr>
            <w:tcW w:w="1012" w:type="dxa"/>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3E4C06EF">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w:t>
            </w:r>
          </w:p>
        </w:tc>
      </w:tr>
      <w:tr w14:paraId="6499D77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91" w:type="dxa"/>
            <w:tcBorders>
              <w:top w:val="single" w:color="auto" w:sz="4" w:space="0"/>
              <w:left w:val="single" w:color="auto" w:sz="12" w:space="0"/>
              <w:bottom w:val="nil"/>
              <w:right w:val="nil"/>
            </w:tcBorders>
            <w:noWrap w:val="0"/>
            <w:tcMar>
              <w:top w:w="-1" w:type="dxa"/>
              <w:left w:w="-1" w:type="dxa"/>
              <w:bottom w:w="-1" w:type="dxa"/>
              <w:right w:w="-1" w:type="dxa"/>
            </w:tcMar>
            <w:vAlign w:val="center"/>
          </w:tcPr>
          <w:p w14:paraId="427493C1">
            <w:pPr>
              <w:snapToGrid w:val="0"/>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119" w:type="dxa"/>
            <w:tcBorders>
              <w:top w:val="single" w:color="auto" w:sz="4" w:space="0"/>
              <w:left w:val="single" w:color="auto" w:sz="4" w:space="0"/>
              <w:bottom w:val="nil"/>
              <w:right w:val="nil"/>
            </w:tcBorders>
            <w:noWrap w:val="0"/>
            <w:tcMar>
              <w:top w:w="-1" w:type="dxa"/>
              <w:left w:w="-1" w:type="dxa"/>
              <w:bottom w:w="-1" w:type="dxa"/>
              <w:right w:w="-1" w:type="dxa"/>
            </w:tcMar>
            <w:vAlign w:val="center"/>
          </w:tcPr>
          <w:p w14:paraId="6C018712">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³²P敷贴</w:t>
            </w:r>
          </w:p>
        </w:tc>
        <w:tc>
          <w:tcPr>
            <w:tcW w:w="1012" w:type="dxa"/>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5016271D">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w:t>
            </w:r>
          </w:p>
        </w:tc>
      </w:tr>
      <w:tr w14:paraId="2A861EF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91" w:type="dxa"/>
            <w:vMerge w:val="restar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1A52E6B0">
            <w:pPr>
              <w:snapToGrid w:val="0"/>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val="en-US" w:eastAsia="zh-CN" w:bidi="ar"/>
              </w:rPr>
              <w:t>射线装置场所</w:t>
            </w:r>
          </w:p>
        </w:tc>
        <w:tc>
          <w:tcPr>
            <w:tcW w:w="5119" w:type="dxa"/>
            <w:tcBorders>
              <w:top w:val="single" w:color="auto" w:sz="4" w:space="0"/>
              <w:left w:val="single" w:color="auto" w:sz="4" w:space="0"/>
              <w:bottom w:val="nil"/>
              <w:right w:val="nil"/>
            </w:tcBorders>
            <w:noWrap w:val="0"/>
            <w:tcMar>
              <w:top w:w="-1" w:type="dxa"/>
              <w:left w:w="-1" w:type="dxa"/>
              <w:bottom w:w="-1" w:type="dxa"/>
              <w:right w:w="-1" w:type="dxa"/>
            </w:tcMar>
            <w:vAlign w:val="center"/>
          </w:tcPr>
          <w:p w14:paraId="2A453CB4">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呼吸与危重症医学科介入检查室</w:t>
            </w:r>
          </w:p>
        </w:tc>
        <w:tc>
          <w:tcPr>
            <w:tcW w:w="1012" w:type="dxa"/>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2D6B6ACC">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2间</w:t>
            </w:r>
          </w:p>
        </w:tc>
      </w:tr>
      <w:tr w14:paraId="2EFE0B5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91" w:type="dxa"/>
            <w:vMerge w:val="continue"/>
            <w:tcBorders>
              <w:left w:val="single" w:color="auto" w:sz="12" w:space="0"/>
              <w:bottom w:val="single" w:color="auto" w:sz="4" w:space="0"/>
            </w:tcBorders>
            <w:noWrap w:val="0"/>
            <w:tcMar>
              <w:top w:w="-1" w:type="dxa"/>
              <w:left w:w="-1" w:type="dxa"/>
              <w:bottom w:w="-1" w:type="dxa"/>
              <w:right w:w="-1" w:type="dxa"/>
            </w:tcMar>
            <w:vAlign w:val="center"/>
          </w:tcPr>
          <w:p w14:paraId="7805B55F">
            <w:pPr>
              <w:snapToGrid w:val="0"/>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119" w:type="dxa"/>
            <w:tcBorders>
              <w:top w:val="single" w:color="auto" w:sz="4" w:space="0"/>
              <w:left w:val="single" w:color="auto" w:sz="4" w:space="0"/>
              <w:bottom w:val="single" w:color="auto" w:sz="12" w:space="0"/>
              <w:right w:val="nil"/>
            </w:tcBorders>
            <w:noWrap w:val="0"/>
            <w:tcMar>
              <w:top w:w="-1" w:type="dxa"/>
              <w:left w:w="-1" w:type="dxa"/>
              <w:bottom w:w="-1" w:type="dxa"/>
              <w:right w:w="-1" w:type="dxa"/>
            </w:tcMar>
            <w:vAlign w:val="center"/>
          </w:tcPr>
          <w:p w14:paraId="098A8D45">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8间手术室（涉及到放射诊疗）</w:t>
            </w:r>
          </w:p>
        </w:tc>
        <w:tc>
          <w:tcPr>
            <w:tcW w:w="1012" w:type="dxa"/>
            <w:tcBorders>
              <w:top w:val="single" w:color="auto" w:sz="4" w:space="0"/>
              <w:left w:val="single" w:color="auto" w:sz="4" w:space="0"/>
              <w:bottom w:val="single" w:color="auto" w:sz="12" w:space="0"/>
              <w:right w:val="single" w:color="auto" w:sz="12" w:space="0"/>
            </w:tcBorders>
            <w:noWrap w:val="0"/>
            <w:tcMar>
              <w:top w:w="-1" w:type="dxa"/>
              <w:left w:w="-1" w:type="dxa"/>
              <w:bottom w:w="-1" w:type="dxa"/>
              <w:right w:w="-1" w:type="dxa"/>
            </w:tcMar>
            <w:vAlign w:val="center"/>
          </w:tcPr>
          <w:p w14:paraId="0FDAFD66">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8间</w:t>
            </w:r>
          </w:p>
        </w:tc>
      </w:tr>
    </w:tbl>
    <w:p w14:paraId="407BDA6F">
      <w:pPr>
        <w:pStyle w:val="3"/>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eastAsia" w:ascii="仿宋" w:hAnsi="仿宋" w:eastAsia="仿宋" w:cs="仿宋"/>
          <w:color w:val="auto"/>
          <w:lang w:eastAsia="zh-CN"/>
        </w:rPr>
      </w:pPr>
      <w:r>
        <w:rPr>
          <w:rFonts w:hint="eastAsia" w:ascii="仿宋" w:hAnsi="仿宋" w:eastAsia="仿宋" w:cs="仿宋"/>
          <w:b/>
          <w:bCs/>
          <w:color w:val="auto"/>
          <w:kern w:val="0"/>
          <w:sz w:val="24"/>
          <w:szCs w:val="24"/>
          <w:lang w:val="en-US" w:eastAsia="zh-CN" w:bidi="ar"/>
        </w:rPr>
        <w:t>附件5：广州医科大学附属第一医院娄底医院控评清单</w:t>
      </w:r>
    </w:p>
    <w:tbl>
      <w:tblPr>
        <w:tblStyle w:val="20"/>
        <w:tblW w:w="86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65"/>
        <w:gridCol w:w="787"/>
        <w:gridCol w:w="2810"/>
      </w:tblGrid>
      <w:tr w14:paraId="1849F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5065"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76C4E385">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通用设备名称</w:t>
            </w:r>
          </w:p>
        </w:tc>
        <w:tc>
          <w:tcPr>
            <w:tcW w:w="0" w:type="auto"/>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7A610A4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数量</w:t>
            </w:r>
          </w:p>
        </w:tc>
        <w:tc>
          <w:tcPr>
            <w:tcW w:w="2810"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4D1CCFA5">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lang w:val="en-US" w:eastAsia="zh-CN"/>
              </w:rPr>
            </w:pPr>
            <w:r>
              <w:rPr>
                <w:rFonts w:hint="eastAsia" w:ascii="仿宋" w:hAnsi="仿宋" w:eastAsia="仿宋" w:cs="仿宋"/>
                <w:b/>
                <w:bCs/>
                <w:i w:val="0"/>
                <w:iCs w:val="0"/>
                <w:color w:val="auto"/>
                <w:sz w:val="28"/>
                <w:szCs w:val="28"/>
                <w:u w:val="none"/>
                <w:lang w:val="en-US" w:eastAsia="zh-CN"/>
              </w:rPr>
              <w:t>所在科室</w:t>
            </w:r>
          </w:p>
        </w:tc>
      </w:tr>
      <w:tr w14:paraId="3E950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398F620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医用电子直线加速器1</w:t>
            </w:r>
          </w:p>
        </w:tc>
        <w:tc>
          <w:tcPr>
            <w:tcW w:w="0" w:type="auto"/>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6E513BC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5C4552D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590A1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7629EE5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医用电子直线加速器2</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577B2E0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6C40DC4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7B112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38B70AC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后装治疗机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0EFA98C9">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8BD1B1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15ED0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3B5B8EF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CT模拟定位机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4065A71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2870357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肿瘤科</w:t>
            </w:r>
          </w:p>
        </w:tc>
      </w:tr>
      <w:tr w14:paraId="33898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06C7FB2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移动式C形臂X光机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48A7D69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7B49381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泌尿外科/骨科</w:t>
            </w:r>
          </w:p>
        </w:tc>
      </w:tr>
      <w:tr w14:paraId="7742A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026F86A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64排及以上CT（1）</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6F60B4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56696E5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47A40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6CAD3BF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64排及以上CT（2）</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588316D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675406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0E9FC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4582C6E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超高端CT</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082240B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5D73524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75872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47CBD39A">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乳腺X射线机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57514B9A">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726CDAA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4B996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4984793F">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DR（直接数字化X线摄影系统）</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5A7EDC8A">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E5FBE6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054E1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2CA379D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DDR（动态DR）</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50075F1">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7E2B140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647B2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154E1C0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移动DR</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29DCC0BF">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6004DA7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5ED62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3AEE09D9">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胃肠造影机（直接数字化X线造影系统）</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690359C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09CE897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放射科</w:t>
            </w:r>
          </w:p>
        </w:tc>
      </w:tr>
      <w:tr w14:paraId="75ED2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3CBEB2C3">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移动式C形臂X光机</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5254C7F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4E87042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呼吸与危重症医学科</w:t>
            </w:r>
          </w:p>
        </w:tc>
      </w:tr>
      <w:tr w14:paraId="1B754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06FA942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大C臂机DSA</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1380588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3DB75A6E">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介入室</w:t>
            </w:r>
          </w:p>
        </w:tc>
      </w:tr>
      <w:tr w14:paraId="0A060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047F3F0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PET/CT及配套产品</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266AEE8B">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15F3BCD6">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核医学科</w:t>
            </w:r>
          </w:p>
        </w:tc>
      </w:tr>
      <w:tr w14:paraId="467C2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5D806C40">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SPECT/CT（16排以上）及配套产品</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65958D6F">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4D0E02B7">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核医学科</w:t>
            </w:r>
          </w:p>
        </w:tc>
      </w:tr>
      <w:tr w14:paraId="6F154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7D23E554">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锶90（40mCi）敷贴器</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2B6C9D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145BFDF9">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核医学科</w:t>
            </w:r>
          </w:p>
        </w:tc>
      </w:tr>
      <w:tr w14:paraId="46F1B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nil"/>
              <w:right w:val="nil"/>
            </w:tcBorders>
            <w:shd w:val="clear" w:color="auto" w:fill="FFFFFF"/>
            <w:noWrap w:val="0"/>
            <w:tcMar>
              <w:top w:w="-1" w:type="dxa"/>
              <w:left w:w="-1" w:type="dxa"/>
              <w:bottom w:w="-1" w:type="dxa"/>
              <w:right w:w="-1" w:type="dxa"/>
            </w:tcMar>
            <w:vAlign w:val="center"/>
          </w:tcPr>
          <w:p w14:paraId="799056F2">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口腔颌面锥形束计算机体层摄影（CBCT）</w:t>
            </w:r>
          </w:p>
        </w:tc>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2824E7DC">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nil"/>
              <w:right w:val="nil"/>
            </w:tcBorders>
            <w:shd w:val="clear" w:color="auto" w:fill="FFFFFF"/>
            <w:noWrap w:val="0"/>
            <w:tcMar>
              <w:top w:w="-1" w:type="dxa"/>
              <w:left w:w="-1" w:type="dxa"/>
              <w:bottom w:w="-1" w:type="dxa"/>
              <w:right w:w="-1" w:type="dxa"/>
            </w:tcMar>
            <w:vAlign w:val="center"/>
          </w:tcPr>
          <w:p w14:paraId="6D323A75">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口腔科</w:t>
            </w:r>
          </w:p>
        </w:tc>
      </w:tr>
      <w:tr w14:paraId="26A56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65" w:type="dxa"/>
            <w:tcBorders>
              <w:top w:val="nil"/>
              <w:left w:val="nil"/>
              <w:bottom w:val="single" w:color="000000" w:sz="12" w:space="0"/>
              <w:right w:val="nil"/>
            </w:tcBorders>
            <w:shd w:val="clear" w:color="auto" w:fill="FFFFFF"/>
            <w:noWrap w:val="0"/>
            <w:tcMar>
              <w:top w:w="-1" w:type="dxa"/>
              <w:left w:w="-1" w:type="dxa"/>
              <w:bottom w:w="-1" w:type="dxa"/>
              <w:right w:w="-1" w:type="dxa"/>
            </w:tcMar>
            <w:vAlign w:val="center"/>
          </w:tcPr>
          <w:p w14:paraId="55084FEF">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双能X线骨密度仪</w:t>
            </w:r>
          </w:p>
        </w:tc>
        <w:tc>
          <w:tcPr>
            <w:tcW w:w="787" w:type="dxa"/>
            <w:tcBorders>
              <w:top w:val="nil"/>
              <w:left w:val="nil"/>
              <w:bottom w:val="single" w:color="000000" w:sz="12" w:space="0"/>
              <w:right w:val="nil"/>
            </w:tcBorders>
            <w:shd w:val="clear" w:color="auto" w:fill="FFFFFF"/>
            <w:noWrap w:val="0"/>
            <w:tcMar>
              <w:top w:w="-1" w:type="dxa"/>
              <w:left w:w="-1" w:type="dxa"/>
              <w:bottom w:w="-1" w:type="dxa"/>
              <w:right w:w="-1" w:type="dxa"/>
            </w:tcMar>
            <w:vAlign w:val="center"/>
          </w:tcPr>
          <w:p w14:paraId="55A023ED">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1</w:t>
            </w:r>
          </w:p>
        </w:tc>
        <w:tc>
          <w:tcPr>
            <w:tcW w:w="2810" w:type="dxa"/>
            <w:tcBorders>
              <w:top w:val="nil"/>
              <w:left w:val="nil"/>
              <w:bottom w:val="single" w:color="000000" w:sz="12" w:space="0"/>
              <w:right w:val="nil"/>
            </w:tcBorders>
            <w:shd w:val="clear" w:color="auto" w:fill="FFFFFF"/>
            <w:noWrap w:val="0"/>
            <w:tcMar>
              <w:top w:w="-1" w:type="dxa"/>
              <w:left w:w="-1" w:type="dxa"/>
              <w:bottom w:w="-1" w:type="dxa"/>
              <w:right w:w="-1" w:type="dxa"/>
            </w:tcMar>
            <w:vAlign w:val="center"/>
          </w:tcPr>
          <w:p w14:paraId="3609BA88">
            <w:pPr>
              <w:keepNext w:val="0"/>
              <w:keepLines w:val="0"/>
              <w:widowControl/>
              <w:suppressLineNumbers w:val="0"/>
              <w:snapToGrid w:val="0"/>
              <w:jc w:val="left"/>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老年内科</w:t>
            </w:r>
          </w:p>
        </w:tc>
      </w:tr>
    </w:tbl>
    <w:p w14:paraId="647614E8">
      <w:pPr>
        <w:pStyle w:val="3"/>
        <w:keepNext/>
        <w:keepLines/>
        <w:pageBreakBefore w:val="0"/>
        <w:widowControl w:val="0"/>
        <w:kinsoku/>
        <w:wordWrap/>
        <w:overflowPunct/>
        <w:topLinePunct w:val="0"/>
        <w:autoSpaceDE/>
        <w:autoSpaceDN/>
        <w:bidi w:val="0"/>
        <w:adjustRightInd/>
        <w:snapToGrid/>
        <w:spacing w:before="0" w:after="0" w:line="480" w:lineRule="exact"/>
        <w:jc w:val="both"/>
        <w:textAlignment w:val="auto"/>
        <w:rPr>
          <w:rFonts w:hint="eastAsia" w:ascii="仿宋" w:hAnsi="仿宋" w:eastAsia="仿宋" w:cs="仿宋"/>
          <w:b/>
          <w:bCs/>
          <w:color w:val="auto"/>
          <w:kern w:val="0"/>
          <w:sz w:val="22"/>
          <w:szCs w:val="22"/>
          <w:lang w:val="en-US" w:eastAsia="zh-CN" w:bidi="ar"/>
        </w:rPr>
      </w:pPr>
      <w:r>
        <w:rPr>
          <w:rFonts w:hint="eastAsia" w:ascii="仿宋" w:hAnsi="仿宋" w:eastAsia="仿宋" w:cs="仿宋"/>
          <w:b/>
          <w:bCs/>
          <w:color w:val="auto"/>
          <w:kern w:val="0"/>
          <w:sz w:val="22"/>
          <w:szCs w:val="22"/>
          <w:lang w:val="en-US" w:eastAsia="zh-CN" w:bidi="ar"/>
        </w:rPr>
        <w:t>附件6：广州医科大学附属第一医院娄底医院核技术利用项目控评清单</w:t>
      </w:r>
    </w:p>
    <w:tbl>
      <w:tblPr>
        <w:tblStyle w:val="20"/>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33"/>
        <w:gridCol w:w="5470"/>
        <w:gridCol w:w="1619"/>
      </w:tblGrid>
      <w:tr w14:paraId="36E52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0" w:type="auto"/>
            <w:tcBorders>
              <w:top w:val="single" w:color="auto" w:sz="12" w:space="0"/>
              <w:left w:val="nil"/>
              <w:bottom w:val="nil"/>
              <w:right w:val="nil"/>
            </w:tcBorders>
            <w:shd w:val="clear" w:color="auto" w:fill="auto"/>
            <w:noWrap w:val="0"/>
            <w:tcMar>
              <w:top w:w="-1" w:type="dxa"/>
              <w:left w:w="-1" w:type="dxa"/>
              <w:bottom w:w="-1" w:type="dxa"/>
              <w:right w:w="-1" w:type="dxa"/>
            </w:tcMar>
            <w:vAlign w:val="center"/>
          </w:tcPr>
          <w:p w14:paraId="3A9FDF43">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b/>
                <w:i w:val="0"/>
                <w:iCs w:val="0"/>
                <w:color w:val="auto"/>
                <w:kern w:val="2"/>
                <w:sz w:val="28"/>
                <w:szCs w:val="24"/>
                <w:u w:val="none"/>
                <w:lang w:val="en-US" w:eastAsia="zh-CN" w:bidi="ar-SA"/>
              </w:rPr>
            </w:pPr>
            <w:r>
              <w:rPr>
                <w:rFonts w:hint="eastAsia" w:ascii="仿宋" w:hAnsi="仿宋" w:eastAsia="仿宋" w:cs="仿宋"/>
                <w:b/>
                <w:i w:val="0"/>
                <w:iCs w:val="0"/>
                <w:color w:val="auto"/>
                <w:kern w:val="0"/>
                <w:sz w:val="28"/>
                <w:szCs w:val="24"/>
                <w:u w:val="none"/>
                <w:lang w:val="en-US" w:eastAsia="zh-CN" w:bidi="ar"/>
              </w:rPr>
              <w:t>核素名称</w:t>
            </w:r>
          </w:p>
        </w:tc>
        <w:tc>
          <w:tcPr>
            <w:tcW w:w="5470"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31780AA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lang w:val="en-US" w:eastAsia="zh-CN"/>
              </w:rPr>
            </w:pPr>
            <w:r>
              <w:rPr>
                <w:rFonts w:hint="eastAsia" w:ascii="仿宋" w:hAnsi="仿宋" w:eastAsia="仿宋" w:cs="仿宋"/>
                <w:b/>
                <w:bCs/>
                <w:i w:val="0"/>
                <w:iCs w:val="0"/>
                <w:color w:val="auto"/>
                <w:sz w:val="28"/>
                <w:szCs w:val="28"/>
                <w:u w:val="none"/>
                <w:lang w:val="en-US" w:eastAsia="zh-CN"/>
              </w:rPr>
              <w:t>年最大操作量</w:t>
            </w:r>
          </w:p>
        </w:tc>
        <w:tc>
          <w:tcPr>
            <w:tcW w:w="1619" w:type="dxa"/>
            <w:tcBorders>
              <w:top w:val="single" w:color="auto" w:sz="12" w:space="0"/>
              <w:left w:val="nil"/>
              <w:bottom w:val="nil"/>
              <w:right w:val="nil"/>
            </w:tcBorders>
            <w:shd w:val="clear" w:color="auto" w:fill="FFFFFF"/>
            <w:noWrap w:val="0"/>
            <w:tcMar>
              <w:top w:w="-1" w:type="dxa"/>
              <w:left w:w="-1" w:type="dxa"/>
              <w:bottom w:w="-1" w:type="dxa"/>
              <w:right w:w="-1" w:type="dxa"/>
            </w:tcMar>
            <w:vAlign w:val="center"/>
          </w:tcPr>
          <w:p w14:paraId="26CB4E3D">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8"/>
                <w:szCs w:val="28"/>
                <w:u w:val="none"/>
                <w:lang w:val="en-US" w:eastAsia="zh-CN"/>
              </w:rPr>
            </w:pPr>
            <w:r>
              <w:rPr>
                <w:rFonts w:hint="eastAsia" w:ascii="仿宋" w:hAnsi="仿宋" w:eastAsia="仿宋" w:cs="仿宋"/>
                <w:b/>
                <w:bCs/>
                <w:i w:val="0"/>
                <w:iCs w:val="0"/>
                <w:color w:val="auto"/>
                <w:sz w:val="28"/>
                <w:szCs w:val="28"/>
                <w:u w:val="none"/>
                <w:lang w:val="en-US" w:eastAsia="zh-CN"/>
              </w:rPr>
              <w:t>所在科室</w:t>
            </w:r>
          </w:p>
        </w:tc>
      </w:tr>
      <w:tr w14:paraId="63205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1D353323">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18F</w:t>
            </w:r>
          </w:p>
        </w:tc>
        <w:tc>
          <w:tcPr>
            <w:tcW w:w="5470"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48F0C8B1">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4.992*10</w:t>
            </w:r>
            <w:r>
              <w:rPr>
                <w:rFonts w:hint="eastAsia" w:ascii="仿宋" w:hAnsi="仿宋" w:eastAsia="仿宋" w:cs="仿宋"/>
                <w:i w:val="0"/>
                <w:iCs w:val="0"/>
                <w:color w:val="auto"/>
                <w:kern w:val="0"/>
                <w:sz w:val="24"/>
                <w:szCs w:val="24"/>
                <w:u w:val="none"/>
                <w:vertAlign w:val="superscript"/>
                <w:lang w:val="en-US" w:eastAsia="zh-CN" w:bidi="ar"/>
              </w:rPr>
              <w:t>13</w:t>
            </w:r>
            <w:r>
              <w:rPr>
                <w:rFonts w:hint="eastAsia" w:ascii="仿宋" w:hAnsi="仿宋" w:eastAsia="仿宋" w:cs="仿宋"/>
                <w:i w:val="0"/>
                <w:iCs w:val="0"/>
                <w:color w:val="auto"/>
                <w:kern w:val="0"/>
                <w:sz w:val="24"/>
                <w:szCs w:val="24"/>
                <w:u w:val="none"/>
                <w:lang w:val="en-US" w:eastAsia="zh-CN" w:bidi="ar"/>
              </w:rPr>
              <w:t>（生产）3.85*10</w:t>
            </w:r>
            <w:r>
              <w:rPr>
                <w:rFonts w:hint="eastAsia" w:ascii="仿宋" w:hAnsi="仿宋" w:eastAsia="仿宋" w:cs="仿宋"/>
                <w:i w:val="0"/>
                <w:iCs w:val="0"/>
                <w:color w:val="auto"/>
                <w:kern w:val="0"/>
                <w:sz w:val="24"/>
                <w:szCs w:val="24"/>
                <w:u w:val="none"/>
                <w:vertAlign w:val="superscript"/>
                <w:lang w:val="en-US" w:eastAsia="zh-CN" w:bidi="ar"/>
              </w:rPr>
              <w:t>12</w:t>
            </w:r>
            <w:r>
              <w:rPr>
                <w:rFonts w:hint="eastAsia" w:ascii="仿宋" w:hAnsi="仿宋" w:eastAsia="仿宋" w:cs="仿宋"/>
                <w:i w:val="0"/>
                <w:iCs w:val="0"/>
                <w:color w:val="auto"/>
                <w:kern w:val="0"/>
                <w:sz w:val="24"/>
                <w:szCs w:val="24"/>
                <w:u w:val="none"/>
                <w:lang w:val="en-US" w:eastAsia="zh-CN" w:bidi="ar"/>
              </w:rPr>
              <w:t>（使用）</w:t>
            </w:r>
          </w:p>
        </w:tc>
        <w:tc>
          <w:tcPr>
            <w:tcW w:w="1619" w:type="dxa"/>
            <w:tcBorders>
              <w:top w:val="single" w:color="000000" w:sz="4" w:space="0"/>
              <w:left w:val="nil"/>
              <w:bottom w:val="nil"/>
              <w:right w:val="nil"/>
            </w:tcBorders>
            <w:shd w:val="clear" w:color="auto" w:fill="FFFFFF"/>
            <w:noWrap w:val="0"/>
            <w:tcMar>
              <w:top w:w="-1" w:type="dxa"/>
              <w:left w:w="-1" w:type="dxa"/>
              <w:bottom w:w="-1" w:type="dxa"/>
              <w:right w:w="-1" w:type="dxa"/>
            </w:tcMar>
            <w:vAlign w:val="center"/>
          </w:tcPr>
          <w:p w14:paraId="6EC22C97">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sz w:val="24"/>
                <w:szCs w:val="28"/>
                <w:u w:val="none"/>
                <w:lang w:val="en-US" w:eastAsia="zh-CN"/>
              </w:rPr>
            </w:pPr>
            <w:r>
              <w:rPr>
                <w:rFonts w:hint="eastAsia" w:ascii="仿宋" w:hAnsi="仿宋" w:eastAsia="仿宋" w:cs="仿宋"/>
                <w:i w:val="0"/>
                <w:iCs w:val="0"/>
                <w:color w:val="auto"/>
                <w:sz w:val="24"/>
                <w:szCs w:val="28"/>
                <w:u w:val="none"/>
                <w:lang w:val="en-US" w:eastAsia="zh-CN"/>
              </w:rPr>
              <w:t>核医学科</w:t>
            </w:r>
          </w:p>
        </w:tc>
      </w:tr>
      <w:tr w14:paraId="06BDB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2D2D75E8">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99mTc</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2E4799E8">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4.81*10</w:t>
            </w:r>
            <w:r>
              <w:rPr>
                <w:rFonts w:hint="eastAsia" w:ascii="仿宋" w:hAnsi="仿宋" w:eastAsia="仿宋" w:cs="仿宋"/>
                <w:i w:val="0"/>
                <w:iCs w:val="0"/>
                <w:color w:val="auto"/>
                <w:kern w:val="0"/>
                <w:sz w:val="24"/>
                <w:szCs w:val="24"/>
                <w:u w:val="none"/>
                <w:vertAlign w:val="superscript"/>
                <w:lang w:val="en-US" w:eastAsia="zh-CN" w:bidi="ar"/>
              </w:rPr>
              <w:t>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6EA98FFC">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sz w:val="24"/>
                <w:szCs w:val="28"/>
                <w:u w:val="none"/>
              </w:rPr>
            </w:pPr>
            <w:r>
              <w:rPr>
                <w:rFonts w:hint="eastAsia" w:ascii="仿宋" w:hAnsi="仿宋" w:eastAsia="仿宋" w:cs="仿宋"/>
                <w:i w:val="0"/>
                <w:iCs w:val="0"/>
                <w:color w:val="auto"/>
                <w:sz w:val="24"/>
                <w:szCs w:val="28"/>
                <w:u w:val="none"/>
                <w:lang w:val="en-US" w:eastAsia="zh-CN"/>
              </w:rPr>
              <w:t>核医学科</w:t>
            </w:r>
          </w:p>
        </w:tc>
      </w:tr>
      <w:tr w14:paraId="25A55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07D7856D">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89Sr</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707E782A">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3.848*10</w:t>
            </w:r>
            <w:r>
              <w:rPr>
                <w:rFonts w:hint="eastAsia" w:ascii="仿宋" w:hAnsi="仿宋" w:eastAsia="仿宋" w:cs="仿宋"/>
                <w:i w:val="0"/>
                <w:iCs w:val="0"/>
                <w:color w:val="auto"/>
                <w:kern w:val="0"/>
                <w:sz w:val="24"/>
                <w:szCs w:val="24"/>
                <w:u w:val="none"/>
                <w:vertAlign w:val="superscript"/>
                <w:lang w:val="en-US" w:eastAsia="zh-CN" w:bidi="ar"/>
              </w:rPr>
              <w:t>11</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6E733C76">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sz w:val="24"/>
                <w:szCs w:val="28"/>
                <w:u w:val="none"/>
              </w:rPr>
            </w:pPr>
            <w:r>
              <w:rPr>
                <w:rFonts w:hint="eastAsia" w:ascii="仿宋" w:hAnsi="仿宋" w:eastAsia="仿宋" w:cs="仿宋"/>
                <w:i w:val="0"/>
                <w:iCs w:val="0"/>
                <w:color w:val="auto"/>
                <w:sz w:val="24"/>
                <w:szCs w:val="28"/>
                <w:u w:val="none"/>
                <w:lang w:val="en-US" w:eastAsia="zh-CN"/>
              </w:rPr>
              <w:t>核医学科</w:t>
            </w:r>
          </w:p>
        </w:tc>
      </w:tr>
      <w:tr w14:paraId="27DCF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2A56D672">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131I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4954FB9E">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2.479*10</w:t>
            </w:r>
            <w:r>
              <w:rPr>
                <w:rFonts w:hint="eastAsia" w:ascii="仿宋" w:hAnsi="仿宋" w:eastAsia="仿宋" w:cs="仿宋"/>
                <w:i w:val="0"/>
                <w:iCs w:val="0"/>
                <w:color w:val="auto"/>
                <w:kern w:val="0"/>
                <w:sz w:val="24"/>
                <w:szCs w:val="24"/>
                <w:u w:val="none"/>
                <w:vertAlign w:val="superscript"/>
                <w:lang w:val="en-US" w:eastAsia="zh-CN" w:bidi="ar"/>
              </w:rPr>
              <w:t>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5203F364">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24122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4BEECB7D">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131I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463F9990">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2.15*10</w:t>
            </w:r>
            <w:r>
              <w:rPr>
                <w:rFonts w:hint="eastAsia" w:ascii="仿宋" w:hAnsi="仿宋" w:eastAsia="仿宋" w:cs="仿宋"/>
                <w:i w:val="0"/>
                <w:iCs w:val="0"/>
                <w:color w:val="auto"/>
                <w:kern w:val="0"/>
                <w:sz w:val="24"/>
                <w:szCs w:val="24"/>
                <w:u w:val="none"/>
                <w:vertAlign w:val="superscript"/>
                <w:lang w:val="en-US" w:eastAsia="zh-CN" w:bidi="ar"/>
              </w:rPr>
              <w:t>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127F6810">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5D9E1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2479AD2">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131I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343D442C">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3.7*10</w:t>
            </w:r>
            <w:r>
              <w:rPr>
                <w:rFonts w:hint="eastAsia" w:ascii="仿宋" w:hAnsi="仿宋" w:eastAsia="仿宋" w:cs="仿宋"/>
                <w:i w:val="0"/>
                <w:iCs w:val="0"/>
                <w:color w:val="auto"/>
                <w:kern w:val="0"/>
                <w:sz w:val="24"/>
                <w:szCs w:val="24"/>
                <w:u w:val="none"/>
                <w:vertAlign w:val="superscript"/>
                <w:lang w:val="en-US" w:eastAsia="zh-CN" w:bidi="ar"/>
              </w:rPr>
              <w:t>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2165960B">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68D38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5A8E0B57">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177Lu</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263C2993">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1.48*10</w:t>
            </w:r>
            <w:r>
              <w:rPr>
                <w:rFonts w:hint="eastAsia" w:ascii="仿宋" w:hAnsi="仿宋" w:eastAsia="仿宋" w:cs="仿宋"/>
                <w:i w:val="0"/>
                <w:iCs w:val="0"/>
                <w:color w:val="auto"/>
                <w:kern w:val="0"/>
                <w:sz w:val="24"/>
                <w:szCs w:val="24"/>
                <w:u w:val="none"/>
                <w:vertAlign w:val="superscript"/>
                <w:lang w:val="en-US" w:eastAsia="zh-CN" w:bidi="ar"/>
              </w:rPr>
              <w:t>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0CDEBAB3">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25651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303269B1">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223Ra</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7B27B5D1">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1.85*10</w:t>
            </w:r>
            <w:r>
              <w:rPr>
                <w:rFonts w:hint="eastAsia" w:ascii="仿宋" w:hAnsi="仿宋" w:eastAsia="仿宋" w:cs="仿宋"/>
                <w:i w:val="0"/>
                <w:iCs w:val="0"/>
                <w:color w:val="auto"/>
                <w:kern w:val="0"/>
                <w:sz w:val="24"/>
                <w:szCs w:val="24"/>
                <w:u w:val="none"/>
                <w:vertAlign w:val="superscript"/>
                <w:lang w:val="en-US" w:eastAsia="zh-CN" w:bidi="ar"/>
              </w:rPr>
              <w:t>10</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0F124630">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0B87F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6492F2D8">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32P</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2BC1F6B0">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3.7*10</w:t>
            </w:r>
            <w:r>
              <w:rPr>
                <w:rFonts w:hint="eastAsia" w:ascii="仿宋" w:hAnsi="仿宋" w:eastAsia="仿宋" w:cs="仿宋"/>
                <w:i w:val="0"/>
                <w:iCs w:val="0"/>
                <w:color w:val="auto"/>
                <w:kern w:val="0"/>
                <w:sz w:val="24"/>
                <w:szCs w:val="24"/>
                <w:u w:val="none"/>
                <w:vertAlign w:val="superscript"/>
                <w:lang w:val="en-US" w:eastAsia="zh-CN" w:bidi="ar"/>
              </w:rPr>
              <w:t>11</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699C4FEE">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35CF6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FFFFFF"/>
            <w:noWrap w:val="0"/>
            <w:tcMar>
              <w:top w:w="-1" w:type="dxa"/>
              <w:left w:w="-1" w:type="dxa"/>
              <w:bottom w:w="-1" w:type="dxa"/>
              <w:right w:w="-1" w:type="dxa"/>
            </w:tcMar>
            <w:vAlign w:val="center"/>
          </w:tcPr>
          <w:p w14:paraId="7DDF46B1">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125I</w:t>
            </w:r>
          </w:p>
        </w:tc>
        <w:tc>
          <w:tcPr>
            <w:tcW w:w="5470" w:type="dxa"/>
            <w:tcBorders>
              <w:top w:val="nil"/>
              <w:left w:val="nil"/>
              <w:bottom w:val="nil"/>
              <w:right w:val="nil"/>
            </w:tcBorders>
            <w:shd w:val="clear" w:color="auto" w:fill="FFFFFF"/>
            <w:noWrap w:val="0"/>
            <w:tcMar>
              <w:top w:w="-1" w:type="dxa"/>
              <w:left w:w="-1" w:type="dxa"/>
              <w:bottom w:w="-1" w:type="dxa"/>
              <w:right w:w="-1" w:type="dxa"/>
            </w:tcMar>
            <w:vAlign w:val="center"/>
          </w:tcPr>
          <w:p w14:paraId="08A5A7A9">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3.7*10</w:t>
            </w:r>
            <w:r>
              <w:rPr>
                <w:rFonts w:hint="eastAsia" w:ascii="仿宋" w:hAnsi="仿宋" w:eastAsia="仿宋" w:cs="仿宋"/>
                <w:i w:val="0"/>
                <w:iCs w:val="0"/>
                <w:color w:val="auto"/>
                <w:kern w:val="0"/>
                <w:sz w:val="24"/>
                <w:szCs w:val="24"/>
                <w:u w:val="none"/>
                <w:vertAlign w:val="superscript"/>
                <w:lang w:val="en-US" w:eastAsia="zh-CN" w:bidi="ar"/>
              </w:rPr>
              <w:t>12</w:t>
            </w:r>
          </w:p>
        </w:tc>
        <w:tc>
          <w:tcPr>
            <w:tcW w:w="1619" w:type="dxa"/>
            <w:tcBorders>
              <w:top w:val="nil"/>
              <w:left w:val="nil"/>
              <w:bottom w:val="nil"/>
              <w:right w:val="nil"/>
            </w:tcBorders>
            <w:shd w:val="clear" w:color="auto" w:fill="FFFFFF"/>
            <w:noWrap w:val="0"/>
            <w:tcMar>
              <w:top w:w="-1" w:type="dxa"/>
              <w:left w:w="-1" w:type="dxa"/>
              <w:bottom w:w="-1" w:type="dxa"/>
              <w:right w:w="-1" w:type="dxa"/>
            </w:tcMar>
            <w:vAlign w:val="center"/>
          </w:tcPr>
          <w:p w14:paraId="38FBD983">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r w14:paraId="34792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433" w:type="dxa"/>
            <w:tcBorders>
              <w:top w:val="nil"/>
              <w:left w:val="nil"/>
              <w:bottom w:val="single" w:color="auto" w:sz="12" w:space="0"/>
              <w:right w:val="nil"/>
            </w:tcBorders>
            <w:shd w:val="clear" w:color="auto" w:fill="FFFFFF"/>
            <w:noWrap w:val="0"/>
            <w:tcMar>
              <w:top w:w="-1" w:type="dxa"/>
              <w:left w:w="-1" w:type="dxa"/>
              <w:bottom w:w="-1" w:type="dxa"/>
              <w:right w:w="-1" w:type="dxa"/>
            </w:tcMar>
            <w:vAlign w:val="center"/>
          </w:tcPr>
          <w:p w14:paraId="646DB9B2">
            <w:pPr>
              <w:keepNext w:val="0"/>
              <w:keepLines w:val="0"/>
              <w:widowControl/>
              <w:suppressLineNumbers w:val="0"/>
              <w:snapToGrid w:val="0"/>
              <w:ind w:left="0" w:leftChars="0" w:right="0" w:rightChars="0" w:firstLine="0" w:firstLineChars="0"/>
              <w:jc w:val="center"/>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225Ac</w:t>
            </w:r>
          </w:p>
        </w:tc>
        <w:tc>
          <w:tcPr>
            <w:tcW w:w="5470" w:type="dxa"/>
            <w:tcBorders>
              <w:top w:val="nil"/>
              <w:left w:val="nil"/>
              <w:bottom w:val="single" w:color="auto" w:sz="12" w:space="0"/>
              <w:right w:val="nil"/>
            </w:tcBorders>
            <w:shd w:val="clear" w:color="auto" w:fill="FFFFFF"/>
            <w:noWrap w:val="0"/>
            <w:tcMar>
              <w:top w:w="-1" w:type="dxa"/>
              <w:left w:w="-1" w:type="dxa"/>
              <w:bottom w:w="-1" w:type="dxa"/>
              <w:right w:w="-1" w:type="dxa"/>
            </w:tcMar>
            <w:vAlign w:val="center"/>
          </w:tcPr>
          <w:p w14:paraId="3D2A0666">
            <w:pPr>
              <w:keepNext w:val="0"/>
              <w:keepLines w:val="0"/>
              <w:widowControl/>
              <w:suppressLineNumbers w:val="0"/>
              <w:snapToGrid w:val="0"/>
              <w:ind w:left="0" w:leftChars="0" w:right="0" w:rightChars="0" w:firstLine="0" w:firstLineChars="0"/>
              <w:jc w:val="left"/>
              <w:textAlignment w:val="bottom"/>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1.85*10</w:t>
            </w:r>
            <w:r>
              <w:rPr>
                <w:rFonts w:hint="eastAsia" w:ascii="仿宋" w:hAnsi="仿宋" w:eastAsia="仿宋" w:cs="仿宋"/>
                <w:i w:val="0"/>
                <w:iCs w:val="0"/>
                <w:color w:val="auto"/>
                <w:kern w:val="0"/>
                <w:sz w:val="24"/>
                <w:szCs w:val="24"/>
                <w:u w:val="none"/>
                <w:vertAlign w:val="superscript"/>
                <w:lang w:val="en-US" w:eastAsia="zh-CN" w:bidi="ar"/>
              </w:rPr>
              <w:t>10</w:t>
            </w:r>
          </w:p>
        </w:tc>
        <w:tc>
          <w:tcPr>
            <w:tcW w:w="1619" w:type="dxa"/>
            <w:tcBorders>
              <w:top w:val="nil"/>
              <w:left w:val="nil"/>
              <w:bottom w:val="single" w:color="auto" w:sz="12" w:space="0"/>
              <w:right w:val="nil"/>
            </w:tcBorders>
            <w:shd w:val="clear" w:color="auto" w:fill="FFFFFF"/>
            <w:noWrap w:val="0"/>
            <w:tcMar>
              <w:top w:w="-1" w:type="dxa"/>
              <w:left w:w="-1" w:type="dxa"/>
              <w:bottom w:w="-1" w:type="dxa"/>
              <w:right w:w="-1" w:type="dxa"/>
            </w:tcMar>
            <w:vAlign w:val="center"/>
          </w:tcPr>
          <w:p w14:paraId="0907E713">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2"/>
                <w:sz w:val="24"/>
                <w:szCs w:val="28"/>
                <w:u w:val="none"/>
                <w:lang w:val="en-US" w:eastAsia="zh-CN" w:bidi="ar-SA"/>
              </w:rPr>
            </w:pPr>
            <w:r>
              <w:rPr>
                <w:rFonts w:hint="eastAsia" w:ascii="仿宋" w:hAnsi="仿宋" w:eastAsia="仿宋" w:cs="仿宋"/>
                <w:i w:val="0"/>
                <w:iCs w:val="0"/>
                <w:color w:val="auto"/>
                <w:sz w:val="24"/>
                <w:szCs w:val="28"/>
                <w:u w:val="none"/>
                <w:lang w:val="en-US" w:eastAsia="zh-CN"/>
              </w:rPr>
              <w:t>核医学科</w:t>
            </w:r>
          </w:p>
        </w:tc>
      </w:tr>
    </w:tbl>
    <w:p w14:paraId="5FC714CA">
      <w:pPr>
        <w:rPr>
          <w:rFonts w:hint="eastAsia"/>
          <w:color w:val="auto"/>
          <w:lang w:eastAsia="zh-CN"/>
        </w:rPr>
      </w:pPr>
    </w:p>
    <w:p w14:paraId="0F917E80">
      <w:pPr>
        <w:keepNext w:val="0"/>
        <w:keepLines w:val="0"/>
        <w:pageBreakBefore w:val="0"/>
        <w:widowControl w:val="0"/>
        <w:numPr>
          <w:ilvl w:val="0"/>
          <w:numId w:val="0"/>
        </w:numPr>
        <w:kinsoku/>
        <w:overflowPunct/>
        <w:topLinePunct/>
        <w:autoSpaceDE/>
        <w:autoSpaceDN/>
        <w:bidi w:val="0"/>
        <w:adjustRightInd/>
        <w:snapToGrid/>
        <w:spacing w:line="480" w:lineRule="exact"/>
        <w:ind w:left="0" w:firstLine="560" w:firstLineChars="200"/>
        <w:textAlignment w:val="auto"/>
        <w:rPr>
          <w:rFonts w:hint="default" w:ascii="仿宋_GB2312" w:eastAsia="仿宋_GB2312"/>
          <w:b/>
          <w:bCs/>
          <w:color w:val="auto"/>
          <w:sz w:val="28"/>
          <w:szCs w:val="28"/>
          <w:lang w:val="en-US" w:eastAsia="zh-CN"/>
        </w:rPr>
      </w:pPr>
      <w:r>
        <w:rPr>
          <w:rFonts w:hint="eastAsia" w:ascii="仿宋_GB2312" w:eastAsia="仿宋_GB2312"/>
          <w:color w:val="auto"/>
          <w:sz w:val="28"/>
          <w:szCs w:val="28"/>
          <w:lang w:val="en-US" w:eastAsia="zh-CN"/>
        </w:rPr>
        <w:t>注：在本合同期限内，甲方新增的放射诊疗设备全部纳入本合同服务范围，乙方为甲方新增放射诊疗设备提供本合同约定技术服务，甲方无需向乙方支付任何费用。</w:t>
      </w:r>
    </w:p>
    <w:p w14:paraId="2906C7C7">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szCs w:val="28"/>
        </w:rPr>
      </w:pPr>
      <w:r>
        <w:rPr>
          <w:rFonts w:hint="eastAsia" w:ascii="仿宋_GB2312" w:eastAsia="仿宋_GB2312"/>
          <w:b/>
          <w:bCs/>
          <w:color w:val="auto"/>
          <w:sz w:val="28"/>
          <w:szCs w:val="28"/>
        </w:rPr>
        <w:t>第二条</w:t>
      </w:r>
      <w:r>
        <w:rPr>
          <w:rFonts w:hint="eastAsia" w:ascii="仿宋_GB2312" w:eastAsia="仿宋_GB2312"/>
          <w:color w:val="auto"/>
          <w:sz w:val="28"/>
          <w:szCs w:val="28"/>
        </w:rPr>
        <w:t>乙方进行技术服务的内容、要求和方式：</w:t>
      </w:r>
    </w:p>
    <w:p w14:paraId="60527988">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u w:val="single"/>
        </w:rPr>
      </w:pPr>
      <w:r>
        <w:rPr>
          <w:rFonts w:hint="eastAsia" w:ascii="仿宋_GB2312" w:eastAsia="仿宋_GB2312"/>
          <w:color w:val="auto"/>
          <w:sz w:val="28"/>
          <w:szCs w:val="28"/>
        </w:rPr>
        <w:t>2.1服务内容：</w:t>
      </w:r>
      <w:r>
        <w:rPr>
          <w:rFonts w:hint="eastAsia" w:ascii="仿宋_GB2312" w:hAnsi="Times New Roman" w:eastAsia="仿宋_GB2312" w:cs="Times New Roman"/>
          <w:color w:val="auto"/>
          <w:sz w:val="28"/>
          <w:szCs w:val="28"/>
          <w:u w:val="single"/>
          <w:lang w:val="en-US" w:eastAsia="zh-CN"/>
        </w:rPr>
        <w:t>为甲方设备提供预评价、控制效果评价、环境影响评价、环保竣工验收、</w:t>
      </w:r>
      <w:r>
        <w:rPr>
          <w:rFonts w:hint="eastAsia" w:ascii="仿宋_GB2312" w:hAnsi="Times New Roman" w:eastAsia="仿宋_GB2312" w:cs="Times New Roman"/>
          <w:color w:val="auto"/>
          <w:sz w:val="28"/>
          <w:szCs w:val="28"/>
          <w:u w:val="single"/>
        </w:rPr>
        <w:t>编制报告、组织专家评审、取得</w:t>
      </w:r>
      <w:r>
        <w:rPr>
          <w:rFonts w:hint="eastAsia" w:ascii="仿宋_GB2312" w:hAnsi="Times New Roman" w:eastAsia="仿宋_GB2312" w:cs="Times New Roman"/>
          <w:color w:val="auto"/>
          <w:sz w:val="28"/>
          <w:szCs w:val="28"/>
          <w:u w:val="single"/>
          <w:lang w:val="en-US" w:eastAsia="zh-CN"/>
        </w:rPr>
        <w:t>行政主管部门合格</w:t>
      </w:r>
      <w:r>
        <w:rPr>
          <w:rFonts w:hint="eastAsia" w:ascii="仿宋_GB2312" w:hAnsi="Times New Roman" w:eastAsia="仿宋_GB2312" w:cs="Times New Roman"/>
          <w:color w:val="auto"/>
          <w:sz w:val="28"/>
          <w:szCs w:val="28"/>
          <w:u w:val="single"/>
        </w:rPr>
        <w:t>批复</w:t>
      </w:r>
      <w:r>
        <w:rPr>
          <w:rFonts w:hint="eastAsia" w:ascii="仿宋_GB2312" w:hAnsi="Times New Roman" w:eastAsia="仿宋_GB2312" w:cs="Times New Roman"/>
          <w:color w:val="auto"/>
          <w:sz w:val="28"/>
          <w:szCs w:val="28"/>
          <w:u w:val="single"/>
          <w:lang w:eastAsia="zh-CN"/>
        </w:rPr>
        <w:t>，</w:t>
      </w:r>
      <w:r>
        <w:rPr>
          <w:rFonts w:hint="eastAsia" w:ascii="仿宋_GB2312" w:hAnsi="Times New Roman" w:eastAsia="仿宋_GB2312" w:cs="Times New Roman"/>
          <w:color w:val="auto"/>
          <w:sz w:val="28"/>
          <w:szCs w:val="28"/>
          <w:u w:val="single"/>
          <w:lang w:val="en-US" w:eastAsia="zh-CN"/>
        </w:rPr>
        <w:t>且所有评价项目取得《放射诊疗许可证》、《辐射安全许可证》</w:t>
      </w:r>
      <w:r>
        <w:rPr>
          <w:rFonts w:hint="eastAsia" w:ascii="仿宋" w:hAnsi="仿宋" w:eastAsia="仿宋" w:cs="仿宋"/>
          <w:color w:val="auto"/>
          <w:sz w:val="32"/>
          <w:szCs w:val="32"/>
        </w:rPr>
        <w:t>。</w:t>
      </w:r>
    </w:p>
    <w:p w14:paraId="456B834A">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2.2服务要求：</w:t>
      </w:r>
      <w:r>
        <w:rPr>
          <w:rFonts w:hint="eastAsia" w:ascii="仿宋_GB2312" w:eastAsia="仿宋_GB2312"/>
          <w:color w:val="auto"/>
          <w:sz w:val="28"/>
          <w:szCs w:val="28"/>
          <w:u w:val="single"/>
        </w:rPr>
        <w:t>乙方按国家有关法律法规</w:t>
      </w:r>
      <w:r>
        <w:rPr>
          <w:rFonts w:hint="eastAsia" w:ascii="仿宋_GB2312" w:eastAsia="仿宋_GB2312"/>
          <w:color w:val="auto"/>
          <w:sz w:val="28"/>
          <w:szCs w:val="28"/>
          <w:u w:val="single"/>
          <w:lang w:val="en-US" w:eastAsia="zh-CN"/>
        </w:rPr>
        <w:t>规定的</w:t>
      </w:r>
      <w:r>
        <w:rPr>
          <w:rFonts w:hint="eastAsia" w:ascii="仿宋_GB2312" w:eastAsia="仿宋_GB2312"/>
          <w:color w:val="auto"/>
          <w:sz w:val="28"/>
          <w:szCs w:val="28"/>
          <w:u w:val="single"/>
        </w:rPr>
        <w:t>放射防护监测标准开展</w:t>
      </w:r>
      <w:r>
        <w:rPr>
          <w:rFonts w:hint="eastAsia" w:ascii="仿宋_GB2312" w:eastAsia="仿宋_GB2312"/>
          <w:color w:val="auto"/>
          <w:sz w:val="28"/>
          <w:szCs w:val="28"/>
          <w:u w:val="single"/>
          <w:lang w:val="en-US" w:eastAsia="zh-CN"/>
        </w:rPr>
        <w:t>工</w:t>
      </w:r>
      <w:r>
        <w:rPr>
          <w:rFonts w:hint="eastAsia" w:ascii="仿宋_GB2312" w:eastAsia="仿宋_GB2312"/>
          <w:color w:val="auto"/>
          <w:sz w:val="28"/>
          <w:szCs w:val="28"/>
          <w:u w:val="single"/>
        </w:rPr>
        <w:t>作。</w:t>
      </w:r>
    </w:p>
    <w:p w14:paraId="09565244">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u w:val="single"/>
        </w:rPr>
      </w:pPr>
      <w:r>
        <w:rPr>
          <w:rFonts w:hint="eastAsia" w:ascii="仿宋_GB2312" w:eastAsia="仿宋_GB2312"/>
          <w:color w:val="auto"/>
          <w:sz w:val="28"/>
          <w:szCs w:val="28"/>
        </w:rPr>
        <w:t>2.3服务方式：</w:t>
      </w:r>
      <w:r>
        <w:rPr>
          <w:rFonts w:hint="eastAsia" w:ascii="仿宋_GB2312" w:eastAsia="仿宋_GB2312"/>
          <w:color w:val="auto"/>
          <w:sz w:val="28"/>
          <w:szCs w:val="28"/>
          <w:u w:val="single"/>
        </w:rPr>
        <w:t>在甲方通知规定时间内前往甲方指定地点进行</w:t>
      </w:r>
      <w:r>
        <w:rPr>
          <w:rFonts w:hint="eastAsia" w:ascii="仿宋_GB2312" w:eastAsia="仿宋_GB2312"/>
          <w:color w:val="auto"/>
          <w:sz w:val="28"/>
          <w:szCs w:val="28"/>
          <w:u w:val="single"/>
          <w:lang w:val="en-US" w:eastAsia="zh-CN"/>
        </w:rPr>
        <w:t>评价服务</w:t>
      </w:r>
      <w:r>
        <w:rPr>
          <w:rFonts w:hint="eastAsia" w:ascii="仿宋_GB2312" w:eastAsia="仿宋_GB2312"/>
          <w:color w:val="auto"/>
          <w:sz w:val="28"/>
          <w:szCs w:val="28"/>
          <w:u w:val="single"/>
        </w:rPr>
        <w:t>。</w:t>
      </w:r>
    </w:p>
    <w:p w14:paraId="0D73EEB1">
      <w:pPr>
        <w:keepNext w:val="0"/>
        <w:keepLines w:val="0"/>
        <w:pageBreakBefore w:val="0"/>
        <w:widowControl w:val="0"/>
        <w:kinsoku/>
        <w:wordWrap w:val="0"/>
        <w:overflowPunct/>
        <w:topLinePunct/>
        <w:autoSpaceDE/>
        <w:autoSpaceDN/>
        <w:bidi w:val="0"/>
        <w:adjustRightInd/>
        <w:snapToGrid/>
        <w:spacing w:line="480" w:lineRule="exact"/>
        <w:ind w:left="0" w:firstLine="560" w:firstLineChars="200"/>
        <w:textAlignment w:val="auto"/>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2.4合同期限：</w:t>
      </w:r>
      <w:r>
        <w:rPr>
          <w:rFonts w:hint="eastAsia" w:ascii="仿宋_GB2312" w:eastAsia="仿宋_GB2312"/>
          <w:color w:val="auto"/>
          <w:sz w:val="28"/>
          <w:szCs w:val="28"/>
          <w:highlight w:val="none"/>
          <w:lang w:val="en-US" w:eastAsia="zh-CN"/>
        </w:rPr>
        <w:t>本合同期限为</w:t>
      </w:r>
      <w:r>
        <w:rPr>
          <w:rFonts w:hint="eastAsia" w:ascii="仿宋_GB2312" w:eastAsia="仿宋_GB2312"/>
          <w:color w:val="auto"/>
          <w:sz w:val="28"/>
          <w:szCs w:val="28"/>
          <w:highlight w:val="none"/>
          <w:u w:val="none"/>
          <w:lang w:val="en-US" w:eastAsia="zh-CN"/>
        </w:rPr>
        <w:t>个月</w:t>
      </w:r>
      <w:r>
        <w:rPr>
          <w:rFonts w:hint="eastAsia" w:ascii="仿宋_GB2312" w:eastAsia="仿宋_GB2312"/>
          <w:color w:val="auto"/>
          <w:sz w:val="28"/>
          <w:szCs w:val="28"/>
          <w:highlight w:val="none"/>
          <w:lang w:val="en-US" w:eastAsia="zh-CN"/>
        </w:rPr>
        <w:t>，自</w:t>
      </w:r>
      <w:r>
        <w:rPr>
          <w:rFonts w:hint="eastAsia" w:ascii="仿宋_GB2312" w:eastAsia="仿宋_GB2312"/>
          <w:color w:val="auto"/>
          <w:sz w:val="28"/>
          <w:szCs w:val="28"/>
          <w:lang w:val="en-US" w:eastAsia="zh-CN"/>
        </w:rPr>
        <w:t>年月日起至年月日止。</w:t>
      </w:r>
    </w:p>
    <w:p w14:paraId="22D2AABD">
      <w:pPr>
        <w:keepNext w:val="0"/>
        <w:keepLines w:val="0"/>
        <w:pageBreakBefore w:val="0"/>
        <w:widowControl w:val="0"/>
        <w:kinsoku/>
        <w:wordWrap w:val="0"/>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u w:val="single"/>
        </w:rPr>
      </w:pPr>
      <w:r>
        <w:rPr>
          <w:rFonts w:hint="eastAsia" w:ascii="仿宋_GB2312" w:eastAsia="仿宋_GB2312"/>
          <w:color w:val="auto"/>
          <w:sz w:val="28"/>
          <w:szCs w:val="28"/>
        </w:rPr>
        <w:t>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服务</w:t>
      </w:r>
      <w:r>
        <w:rPr>
          <w:rFonts w:hint="eastAsia" w:ascii="仿宋_GB2312" w:eastAsia="仿宋_GB2312"/>
          <w:color w:val="auto"/>
          <w:sz w:val="28"/>
          <w:szCs w:val="28"/>
          <w:lang w:val="en-US" w:eastAsia="zh-CN"/>
        </w:rPr>
        <w:t>期限</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每次服务期限为40日，均自乙方收到甲方通知之日起开始计算；乙方每次应在前述服务期限内</w:t>
      </w:r>
      <w:r>
        <w:rPr>
          <w:rFonts w:hint="eastAsia" w:ascii="仿宋_GB2312" w:hAnsi="Times New Roman" w:eastAsia="仿宋_GB2312" w:cs="Times New Roman"/>
          <w:color w:val="auto"/>
          <w:sz w:val="28"/>
          <w:szCs w:val="28"/>
          <w:u w:val="none"/>
          <w:lang w:val="en-US" w:eastAsia="zh-CN"/>
        </w:rPr>
        <w:t>完成该批次</w:t>
      </w:r>
      <w:r>
        <w:rPr>
          <w:rFonts w:hint="eastAsia" w:ascii="仿宋_GB2312" w:eastAsia="仿宋_GB2312"/>
          <w:color w:val="auto"/>
          <w:sz w:val="28"/>
          <w:szCs w:val="28"/>
          <w:lang w:val="en-US" w:eastAsia="zh-CN"/>
        </w:rPr>
        <w:t>放射诊疗设备</w:t>
      </w:r>
      <w:r>
        <w:rPr>
          <w:rFonts w:hint="eastAsia" w:ascii="仿宋_GB2312" w:hAnsi="Times New Roman" w:eastAsia="仿宋_GB2312" w:cs="Times New Roman"/>
          <w:color w:val="auto"/>
          <w:sz w:val="28"/>
          <w:szCs w:val="28"/>
          <w:u w:val="single"/>
          <w:lang w:val="en-US" w:eastAsia="zh-CN"/>
        </w:rPr>
        <w:t>环评、预评报告编制及评审批复，所有评价项目取得</w:t>
      </w:r>
      <w:r>
        <w:rPr>
          <w:rFonts w:hint="eastAsia" w:ascii="仿宋_GB2312" w:hAnsi="Times New Roman" w:eastAsia="仿宋_GB2312" w:cs="Times New Roman"/>
          <w:color w:val="auto"/>
          <w:sz w:val="28"/>
          <w:szCs w:val="28"/>
          <w:u w:val="single"/>
        </w:rPr>
        <w:t>《放射诊疗许可证》《辐射安全许可证》</w:t>
      </w:r>
      <w:r>
        <w:rPr>
          <w:rFonts w:hint="eastAsia" w:ascii="仿宋_GB2312" w:hAnsi="Times New Roman" w:eastAsia="仿宋_GB2312" w:cs="Times New Roman"/>
          <w:color w:val="auto"/>
          <w:sz w:val="28"/>
          <w:szCs w:val="28"/>
          <w:u w:val="single"/>
          <w:lang w:val="en-US" w:eastAsia="zh-CN"/>
        </w:rPr>
        <w:t>及全部批复文件并交付甲方。</w:t>
      </w:r>
    </w:p>
    <w:p w14:paraId="1C25B816">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szCs w:val="28"/>
        </w:rPr>
      </w:pPr>
      <w:r>
        <w:rPr>
          <w:rFonts w:hint="eastAsia" w:ascii="仿宋_GB2312" w:eastAsia="仿宋_GB2312"/>
          <w:b/>
          <w:bCs/>
          <w:color w:val="auto"/>
          <w:sz w:val="28"/>
          <w:szCs w:val="28"/>
        </w:rPr>
        <w:t>第三条</w:t>
      </w:r>
      <w:r>
        <w:rPr>
          <w:rFonts w:hint="eastAsia" w:ascii="仿宋_GB2312" w:eastAsia="仿宋_GB2312"/>
          <w:color w:val="auto"/>
          <w:sz w:val="28"/>
          <w:szCs w:val="28"/>
        </w:rPr>
        <w:t>乙方应当按照下列进度要求进行本合同项目的技术服务工作：</w:t>
      </w:r>
      <w:r>
        <w:rPr>
          <w:rFonts w:hint="eastAsia" w:ascii="仿宋_GB2312" w:eastAsia="仿宋_GB2312"/>
          <w:color w:val="auto"/>
          <w:sz w:val="28"/>
          <w:szCs w:val="28"/>
          <w:u w:val="single"/>
        </w:rPr>
        <w:t>接受委托，对甲方确定的放射诊疗设备和放射工作场所</w:t>
      </w:r>
      <w:r>
        <w:rPr>
          <w:rFonts w:hint="eastAsia" w:ascii="仿宋_GB2312" w:eastAsia="仿宋_GB2312"/>
          <w:color w:val="auto"/>
          <w:sz w:val="28"/>
          <w:szCs w:val="28"/>
          <w:u w:val="single"/>
          <w:lang w:val="en-US" w:eastAsia="zh-CN"/>
        </w:rPr>
        <w:t>按照法律法规要求开展评价工作</w:t>
      </w:r>
      <w:r>
        <w:rPr>
          <w:rFonts w:hint="eastAsia" w:ascii="仿宋_GB2312" w:eastAsia="仿宋_GB2312"/>
          <w:color w:val="auto"/>
          <w:sz w:val="28"/>
          <w:szCs w:val="28"/>
          <w:u w:val="single"/>
        </w:rPr>
        <w:t>。</w:t>
      </w:r>
    </w:p>
    <w:p w14:paraId="7F8EF9A1">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szCs w:val="28"/>
        </w:rPr>
      </w:pPr>
      <w:r>
        <w:rPr>
          <w:rFonts w:hint="eastAsia" w:ascii="仿宋_GB2312" w:eastAsia="仿宋_GB2312"/>
          <w:b/>
          <w:bCs/>
          <w:color w:val="auto"/>
          <w:sz w:val="28"/>
          <w:szCs w:val="28"/>
        </w:rPr>
        <w:t>第四条</w:t>
      </w:r>
      <w:r>
        <w:rPr>
          <w:rFonts w:hint="eastAsia" w:ascii="仿宋_GB2312" w:eastAsia="仿宋_GB2312"/>
          <w:color w:val="auto"/>
          <w:sz w:val="28"/>
          <w:szCs w:val="28"/>
        </w:rPr>
        <w:t>为保证乙方有效进行技术服务工作，甲方应当向乙方提供下列协作事项：</w:t>
      </w:r>
    </w:p>
    <w:p w14:paraId="2E98B506">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4.1提供技术资料：</w:t>
      </w:r>
    </w:p>
    <w:p w14:paraId="48230EFF">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hAnsi="宋体" w:eastAsia="仿宋_GB2312"/>
          <w:bCs/>
          <w:color w:val="auto"/>
          <w:sz w:val="28"/>
          <w:szCs w:val="28"/>
          <w:u w:val="single"/>
        </w:rPr>
      </w:pPr>
      <w:r>
        <w:rPr>
          <w:rFonts w:hint="eastAsia" w:ascii="仿宋_GB2312" w:hAnsi="宋体" w:eastAsia="仿宋_GB2312"/>
          <w:bCs/>
          <w:color w:val="auto"/>
          <w:sz w:val="28"/>
          <w:szCs w:val="28"/>
        </w:rPr>
        <w:t>4.1.1</w:t>
      </w:r>
      <w:r>
        <w:rPr>
          <w:rFonts w:hint="eastAsia" w:ascii="仿宋_GB2312" w:hAnsi="宋体" w:eastAsia="仿宋_GB2312"/>
          <w:bCs/>
          <w:color w:val="auto"/>
          <w:sz w:val="28"/>
          <w:szCs w:val="28"/>
          <w:u w:val="single"/>
        </w:rPr>
        <w:t>放射诊疗设备信息、技术资料和放射工作场所所在位置</w:t>
      </w:r>
      <w:r>
        <w:rPr>
          <w:rFonts w:hint="eastAsia" w:ascii="仿宋_GB2312" w:hAnsi="宋体" w:eastAsia="仿宋_GB2312"/>
          <w:bCs/>
          <w:color w:val="auto"/>
          <w:sz w:val="28"/>
          <w:szCs w:val="28"/>
        </w:rPr>
        <w:t>；</w:t>
      </w:r>
    </w:p>
    <w:p w14:paraId="4443BE3C">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hAnsi="宋体" w:eastAsia="仿宋_GB2312"/>
          <w:color w:val="auto"/>
          <w:sz w:val="28"/>
          <w:szCs w:val="28"/>
        </w:rPr>
      </w:pPr>
      <w:r>
        <w:rPr>
          <w:rFonts w:hint="eastAsia" w:ascii="仿宋_GB2312" w:hAnsi="宋体" w:eastAsia="仿宋_GB2312"/>
          <w:color w:val="auto"/>
          <w:sz w:val="28"/>
          <w:szCs w:val="28"/>
        </w:rPr>
        <w:t>4.1.2</w:t>
      </w:r>
      <w:r>
        <w:rPr>
          <w:rFonts w:hint="eastAsia" w:ascii="仿宋_GB2312" w:hAnsi="宋体" w:eastAsia="仿宋_GB2312"/>
          <w:color w:val="auto"/>
          <w:sz w:val="28"/>
          <w:szCs w:val="28"/>
          <w:u w:val="single"/>
          <w:lang w:eastAsia="zh-CN"/>
        </w:rPr>
        <w:t>统一社会信用代码</w:t>
      </w:r>
      <w:r>
        <w:rPr>
          <w:rFonts w:hint="eastAsia" w:ascii="仿宋_GB2312" w:hAnsi="宋体" w:eastAsia="仿宋_GB2312"/>
          <w:color w:val="auto"/>
          <w:sz w:val="28"/>
          <w:szCs w:val="28"/>
        </w:rPr>
        <w:t>；</w:t>
      </w:r>
    </w:p>
    <w:p w14:paraId="47924860">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lang w:eastAsia="zh-CN"/>
        </w:rPr>
      </w:pPr>
      <w:r>
        <w:rPr>
          <w:rFonts w:hint="eastAsia" w:ascii="仿宋_GB2312" w:eastAsia="仿宋_GB2312"/>
          <w:color w:val="auto"/>
          <w:sz w:val="28"/>
          <w:szCs w:val="28"/>
        </w:rPr>
        <w:t>4.2提供工作条件：</w:t>
      </w:r>
    </w:p>
    <w:p w14:paraId="3C074E5C">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u w:val="single"/>
        </w:rPr>
      </w:pPr>
      <w:r>
        <w:rPr>
          <w:rFonts w:hint="eastAsia" w:ascii="仿宋_GB2312" w:eastAsia="仿宋_GB2312"/>
          <w:color w:val="auto"/>
          <w:sz w:val="28"/>
          <w:szCs w:val="28"/>
        </w:rPr>
        <w:t>4.2.1</w:t>
      </w:r>
      <w:r>
        <w:rPr>
          <w:rFonts w:hint="eastAsia" w:ascii="仿宋_GB2312" w:eastAsia="仿宋_GB2312"/>
          <w:color w:val="auto"/>
          <w:sz w:val="28"/>
          <w:szCs w:val="28"/>
          <w:u w:val="single"/>
        </w:rPr>
        <w:t>甲方严格要求本单位工作人员按正确方法开展放射诊疗工作</w:t>
      </w:r>
      <w:r>
        <w:rPr>
          <w:rFonts w:hint="eastAsia" w:ascii="仿宋_GB2312" w:eastAsia="仿宋_GB2312"/>
          <w:color w:val="auto"/>
          <w:sz w:val="28"/>
          <w:szCs w:val="28"/>
        </w:rPr>
        <w:t>；</w:t>
      </w:r>
    </w:p>
    <w:p w14:paraId="214ACAC9">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4.2.2</w:t>
      </w:r>
      <w:r>
        <w:rPr>
          <w:rFonts w:hint="eastAsia" w:ascii="仿宋_GB2312" w:eastAsia="仿宋_GB2312"/>
          <w:color w:val="auto"/>
          <w:sz w:val="28"/>
          <w:szCs w:val="28"/>
          <w:u w:val="single"/>
        </w:rPr>
        <w:t>甲方安排工作人员陪同乙方进入现场，甲方技术人员配合乙方开展监测工作</w:t>
      </w:r>
      <w:r>
        <w:rPr>
          <w:rFonts w:hint="eastAsia" w:ascii="仿宋_GB2312" w:eastAsia="仿宋_GB2312"/>
          <w:color w:val="auto"/>
          <w:sz w:val="28"/>
          <w:szCs w:val="28"/>
        </w:rPr>
        <w:t>。</w:t>
      </w:r>
    </w:p>
    <w:p w14:paraId="74A42413">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szCs w:val="28"/>
        </w:rPr>
      </w:pPr>
      <w:r>
        <w:rPr>
          <w:rFonts w:hint="eastAsia" w:ascii="仿宋_GB2312" w:eastAsia="仿宋_GB2312"/>
          <w:b/>
          <w:bCs/>
          <w:color w:val="auto"/>
          <w:sz w:val="28"/>
          <w:szCs w:val="28"/>
        </w:rPr>
        <w:t>第五条</w:t>
      </w:r>
      <w:r>
        <w:rPr>
          <w:rFonts w:hint="eastAsia" w:ascii="仿宋_GB2312" w:eastAsia="仿宋_GB2312"/>
          <w:color w:val="auto"/>
          <w:sz w:val="28"/>
          <w:szCs w:val="28"/>
        </w:rPr>
        <w:t>甲方向乙方支付技术服务报酬及支付方式为：</w:t>
      </w:r>
    </w:p>
    <w:p w14:paraId="47C367BD">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u w:val="single"/>
        </w:rPr>
      </w:pPr>
      <w:r>
        <w:rPr>
          <w:rFonts w:hint="eastAsia" w:ascii="仿宋_GB2312" w:eastAsia="仿宋_GB2312"/>
          <w:color w:val="auto"/>
          <w:sz w:val="28"/>
          <w:szCs w:val="28"/>
        </w:rPr>
        <w:t>5.1技术服务</w:t>
      </w:r>
      <w:r>
        <w:rPr>
          <w:rFonts w:hint="eastAsia" w:ascii="仿宋_GB2312" w:eastAsia="仿宋_GB2312"/>
          <w:color w:val="auto"/>
          <w:sz w:val="28"/>
          <w:szCs w:val="28"/>
          <w:lang w:val="en-US" w:eastAsia="zh-CN"/>
        </w:rPr>
        <w:t>费实行总价包干，包干总价为</w:t>
      </w:r>
      <w:r>
        <w:rPr>
          <w:rFonts w:eastAsia="仿宋_GB2312"/>
          <w:color w:val="auto"/>
          <w:sz w:val="28"/>
          <w:u w:val="single"/>
        </w:rPr>
        <w:t>人民币</w:t>
      </w:r>
      <w:r>
        <w:rPr>
          <w:rFonts w:hint="eastAsia" w:eastAsia="仿宋_GB2312"/>
          <w:color w:val="auto"/>
          <w:sz w:val="28"/>
          <w:u w:val="single"/>
          <w:lang w:val="en-US" w:eastAsia="zh-CN"/>
        </w:rPr>
        <w:t>元</w:t>
      </w:r>
      <w:r>
        <w:rPr>
          <w:rFonts w:hint="eastAsia" w:eastAsia="仿宋_GB2312"/>
          <w:color w:val="auto"/>
          <w:sz w:val="28"/>
          <w:u w:val="single"/>
        </w:rPr>
        <w:t>整</w:t>
      </w:r>
      <w:r>
        <w:rPr>
          <w:rFonts w:eastAsia="仿宋_GB2312"/>
          <w:color w:val="auto"/>
          <w:sz w:val="28"/>
          <w:u w:val="single"/>
        </w:rPr>
        <w:t>（￥）；</w:t>
      </w:r>
      <w:r>
        <w:rPr>
          <w:rFonts w:hint="eastAsia" w:eastAsia="仿宋_GB2312"/>
          <w:color w:val="auto"/>
          <w:sz w:val="28"/>
          <w:u w:val="single"/>
          <w:lang w:val="en-US" w:eastAsia="zh-CN"/>
        </w:rPr>
        <w:t>该标准</w:t>
      </w:r>
      <w:r>
        <w:rPr>
          <w:rFonts w:eastAsia="仿宋_GB2312"/>
          <w:color w:val="auto"/>
          <w:sz w:val="28"/>
          <w:u w:val="single"/>
        </w:rPr>
        <w:t>包括</w:t>
      </w:r>
      <w:r>
        <w:rPr>
          <w:rFonts w:hint="eastAsia" w:ascii="Times New Roman" w:hAnsi="Times New Roman" w:eastAsia="仿宋_GB2312" w:cs="Times New Roman"/>
          <w:color w:val="auto"/>
          <w:sz w:val="28"/>
          <w:u w:val="single"/>
        </w:rPr>
        <w:t>勘查、检测、报告编制、专家评审、会务、备案上报、</w:t>
      </w:r>
      <w:r>
        <w:rPr>
          <w:rFonts w:hint="eastAsia" w:ascii="Times New Roman" w:hAnsi="Times New Roman" w:eastAsia="仿宋_GB2312" w:cs="Times New Roman"/>
          <w:color w:val="auto"/>
          <w:sz w:val="28"/>
          <w:u w:val="single"/>
          <w:lang w:val="en-US" w:eastAsia="zh-CN"/>
        </w:rPr>
        <w:t>证件办理、</w:t>
      </w:r>
      <w:r>
        <w:rPr>
          <w:rFonts w:hint="eastAsia" w:ascii="Times New Roman" w:hAnsi="Times New Roman" w:eastAsia="仿宋_GB2312" w:cs="Times New Roman"/>
          <w:color w:val="auto"/>
          <w:sz w:val="28"/>
          <w:u w:val="single"/>
        </w:rPr>
        <w:t>交通、税费、管理费、耗材等全部费用，</w:t>
      </w:r>
      <w:r>
        <w:rPr>
          <w:rFonts w:hint="eastAsia" w:ascii="Times New Roman" w:hAnsi="Times New Roman" w:eastAsia="仿宋_GB2312" w:cs="Times New Roman"/>
          <w:color w:val="auto"/>
          <w:sz w:val="28"/>
          <w:u w:val="single"/>
          <w:lang w:val="en-US" w:eastAsia="zh-CN"/>
        </w:rPr>
        <w:t>在本合同期限内</w:t>
      </w:r>
      <w:r>
        <w:rPr>
          <w:rFonts w:hint="eastAsia" w:ascii="Times New Roman" w:hAnsi="Times New Roman" w:eastAsia="仿宋_GB2312" w:cs="Times New Roman"/>
          <w:color w:val="auto"/>
          <w:sz w:val="28"/>
          <w:u w:val="single"/>
        </w:rPr>
        <w:t>甲方不再为本合同约定服务额外</w:t>
      </w:r>
      <w:r>
        <w:rPr>
          <w:rFonts w:hint="eastAsia" w:ascii="Times New Roman" w:hAnsi="Times New Roman" w:eastAsia="仿宋_GB2312" w:cs="Times New Roman"/>
          <w:color w:val="auto"/>
          <w:sz w:val="28"/>
          <w:u w:val="single"/>
          <w:lang w:val="en-US" w:eastAsia="zh-CN"/>
        </w:rPr>
        <w:t>向乙方</w:t>
      </w:r>
      <w:r>
        <w:rPr>
          <w:rFonts w:hint="eastAsia" w:ascii="Times New Roman" w:hAnsi="Times New Roman" w:eastAsia="仿宋_GB2312" w:cs="Times New Roman"/>
          <w:color w:val="auto"/>
          <w:sz w:val="28"/>
          <w:u w:val="single"/>
        </w:rPr>
        <w:t>支付</w:t>
      </w:r>
      <w:r>
        <w:rPr>
          <w:rFonts w:hint="eastAsia" w:ascii="Times New Roman" w:hAnsi="Times New Roman" w:eastAsia="仿宋_GB2312" w:cs="Times New Roman"/>
          <w:color w:val="auto"/>
          <w:sz w:val="28"/>
          <w:u w:val="single"/>
          <w:lang w:val="en-US" w:eastAsia="zh-CN"/>
        </w:rPr>
        <w:t>其他任何</w:t>
      </w:r>
      <w:r>
        <w:rPr>
          <w:rFonts w:hint="eastAsia" w:ascii="Times New Roman" w:hAnsi="Times New Roman" w:eastAsia="仿宋_GB2312" w:cs="Times New Roman"/>
          <w:color w:val="auto"/>
          <w:sz w:val="28"/>
          <w:u w:val="single"/>
        </w:rPr>
        <w:t>费用</w:t>
      </w:r>
      <w:r>
        <w:rPr>
          <w:rFonts w:hint="eastAsia" w:ascii="仿宋_GB2312" w:eastAsia="仿宋_GB2312"/>
          <w:color w:val="auto"/>
          <w:sz w:val="28"/>
          <w:szCs w:val="28"/>
        </w:rPr>
        <w:t>。</w:t>
      </w:r>
    </w:p>
    <w:p w14:paraId="539F40B8">
      <w:pPr>
        <w:keepNext w:val="0"/>
        <w:keepLines w:val="0"/>
        <w:pageBreakBefore w:val="0"/>
        <w:widowControl w:val="0"/>
        <w:kinsoku/>
        <w:overflowPunct/>
        <w:topLinePunct/>
        <w:autoSpaceDE/>
        <w:autoSpaceDN/>
        <w:bidi w:val="0"/>
        <w:adjustRightInd/>
        <w:snapToGrid/>
        <w:spacing w:line="480" w:lineRule="exact"/>
        <w:ind w:left="0" w:firstLine="560" w:firstLineChars="200"/>
        <w:jc w:val="left"/>
        <w:textAlignment w:val="auto"/>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5.2</w:t>
      </w:r>
      <w:r>
        <w:rPr>
          <w:rFonts w:hint="eastAsia" w:ascii="仿宋_GB2312" w:hAnsi="Times New Roman" w:eastAsia="仿宋_GB2312" w:cs="Times New Roman"/>
          <w:color w:val="auto"/>
          <w:sz w:val="28"/>
          <w:szCs w:val="28"/>
          <w:lang w:val="en-US" w:eastAsia="zh-CN"/>
        </w:rPr>
        <w:t>支付条件及时间</w:t>
      </w:r>
    </w:p>
    <w:p w14:paraId="68F2D7C9">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hAnsi="Times New Roman" w:eastAsia="仿宋_GB2312" w:cs="Times New Roman"/>
          <w:color w:val="auto"/>
          <w:sz w:val="28"/>
          <w:lang w:val="en-US" w:eastAsia="zh-CN"/>
        </w:rPr>
      </w:pPr>
      <w:r>
        <w:rPr>
          <w:rFonts w:hint="eastAsia" w:ascii="仿宋_GB2312" w:hAnsi="Times New Roman" w:eastAsia="仿宋_GB2312" w:cs="Times New Roman"/>
          <w:color w:val="auto"/>
          <w:sz w:val="28"/>
          <w:lang w:val="en-US" w:eastAsia="zh-CN"/>
        </w:rPr>
        <w:t>乙方按本合同约定完成甲方现有设备的全部技术服务并取得环评/预评/控评/验收批复及两证原件后30个工作日内，甲方向乙方支付本合同约定技术服务总金额的%即元；余款元，甲方在本合同期限届满且乙方完成了甲方新增的</w:t>
      </w:r>
      <w:r>
        <w:rPr>
          <w:rFonts w:hint="eastAsia" w:ascii="仿宋_GB2312" w:eastAsia="仿宋_GB2312"/>
          <w:color w:val="auto"/>
          <w:sz w:val="28"/>
          <w:szCs w:val="28"/>
          <w:lang w:val="en-US" w:eastAsia="zh-CN"/>
        </w:rPr>
        <w:t>放射诊疗</w:t>
      </w:r>
      <w:r>
        <w:rPr>
          <w:rFonts w:hint="eastAsia" w:ascii="仿宋_GB2312" w:hAnsi="Times New Roman" w:eastAsia="仿宋_GB2312" w:cs="Times New Roman"/>
          <w:color w:val="auto"/>
          <w:sz w:val="28"/>
          <w:lang w:val="en-US" w:eastAsia="zh-CN"/>
        </w:rPr>
        <w:t>设备全部技术服务并取得环评/预评/控评/验收批复及两证原件之日起日内付清给乙方。</w:t>
      </w:r>
    </w:p>
    <w:p w14:paraId="6A4CC6F1">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rPr>
      </w:pPr>
      <w:r>
        <w:rPr>
          <w:rFonts w:hint="eastAsia" w:ascii="仿宋_GB2312" w:eastAsia="仿宋_GB2312"/>
          <w:color w:val="auto"/>
          <w:sz w:val="28"/>
          <w:lang w:val="en-US" w:eastAsia="zh-CN"/>
        </w:rPr>
        <w:t>5.3甲方通过银行转账向乙方支付款项，乙方指定以下银行账户为收款账户：</w:t>
      </w:r>
    </w:p>
    <w:p w14:paraId="07FDE0E5">
      <w:pPr>
        <w:keepNext w:val="0"/>
        <w:keepLines w:val="0"/>
        <w:pageBreakBefore w:val="0"/>
        <w:widowControl w:val="0"/>
        <w:kinsoku/>
        <w:wordWrap/>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u w:val="single"/>
          <w:lang w:val="en-US" w:eastAsia="zh-CN"/>
        </w:rPr>
      </w:pPr>
      <w:r>
        <w:rPr>
          <w:rFonts w:hint="eastAsia" w:ascii="仿宋_GB2312" w:eastAsia="仿宋_GB2312"/>
          <w:color w:val="auto"/>
          <w:sz w:val="28"/>
        </w:rPr>
        <w:t>户名：</w:t>
      </w:r>
    </w:p>
    <w:p w14:paraId="7441410C">
      <w:pPr>
        <w:keepNext w:val="0"/>
        <w:keepLines w:val="0"/>
        <w:pageBreakBefore w:val="0"/>
        <w:widowControl w:val="0"/>
        <w:kinsoku/>
        <w:wordWrap/>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u w:val="single"/>
          <w:lang w:val="en-US" w:eastAsia="zh-CN"/>
        </w:rPr>
      </w:pPr>
      <w:r>
        <w:rPr>
          <w:rFonts w:hint="eastAsia" w:ascii="仿宋_GB2312" w:eastAsia="仿宋_GB2312"/>
          <w:color w:val="auto"/>
          <w:sz w:val="28"/>
        </w:rPr>
        <w:t>开户银行：</w:t>
      </w:r>
    </w:p>
    <w:p w14:paraId="168579CD">
      <w:pPr>
        <w:keepNext w:val="0"/>
        <w:keepLines w:val="0"/>
        <w:pageBreakBefore w:val="0"/>
        <w:widowControl w:val="0"/>
        <w:kinsoku/>
        <w:wordWrap/>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u w:val="single"/>
          <w:lang w:val="en-US" w:eastAsia="zh-CN"/>
        </w:rPr>
      </w:pPr>
      <w:r>
        <w:rPr>
          <w:rFonts w:hint="eastAsia" w:ascii="仿宋_GB2312" w:eastAsia="仿宋_GB2312"/>
          <w:color w:val="auto"/>
          <w:sz w:val="28"/>
          <w:lang w:val="en-US" w:eastAsia="zh-CN"/>
        </w:rPr>
        <w:t>账</w:t>
      </w:r>
      <w:r>
        <w:rPr>
          <w:rFonts w:hint="eastAsia" w:ascii="仿宋_GB2312" w:eastAsia="仿宋_GB2312"/>
          <w:color w:val="auto"/>
          <w:sz w:val="28"/>
        </w:rPr>
        <w:t>号：</w:t>
      </w:r>
    </w:p>
    <w:p w14:paraId="20EC19C0">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default" w:ascii="仿宋_GB2312" w:eastAsia="仿宋_GB2312"/>
          <w:color w:val="auto"/>
          <w:sz w:val="28"/>
          <w:u w:val="single"/>
          <w:lang w:val="en-US" w:eastAsia="zh-CN"/>
        </w:rPr>
      </w:pPr>
      <w:r>
        <w:rPr>
          <w:rFonts w:hint="eastAsia" w:ascii="仿宋_GB2312" w:eastAsia="仿宋_GB2312"/>
          <w:color w:val="auto"/>
          <w:sz w:val="28"/>
          <w:u w:val="none"/>
          <w:lang w:val="en-US" w:eastAsia="zh-CN"/>
        </w:rPr>
        <w:t>5.4乙方应在甲方每次付款前日，向甲方提供以自己名义开具的价税合计金额与该次付款金额等额的增值税普通发票；如乙方未按前述约定提供发票，甲方有权拒绝付款且不视为逾期付款，由此产生的不利后果由乙方自行承担。</w:t>
      </w:r>
    </w:p>
    <w:p w14:paraId="51E83D94">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rPr>
      </w:pPr>
      <w:r>
        <w:rPr>
          <w:rFonts w:hint="eastAsia" w:ascii="仿宋_GB2312" w:eastAsia="仿宋_GB2312"/>
          <w:b/>
          <w:bCs/>
          <w:color w:val="auto"/>
          <w:sz w:val="28"/>
        </w:rPr>
        <w:t>第六条</w:t>
      </w:r>
      <w:r>
        <w:rPr>
          <w:rFonts w:hint="eastAsia" w:ascii="仿宋_GB2312" w:eastAsia="仿宋_GB2312"/>
          <w:color w:val="auto"/>
          <w:sz w:val="28"/>
        </w:rPr>
        <w:t>乙方履行本合同过程中发生事故，包括但不限于在对甲方所确定的放射诊疗设备和放射工作场所防护开展质量控制和防护监测过程中发生事故，给甲方、乙方或第三方人身、财产造成的所有损失，均由乙方负责处理和承担全部法律责任、经济赔偿。</w:t>
      </w:r>
    </w:p>
    <w:p w14:paraId="2262415D">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default" w:ascii="仿宋_GB2312" w:hAnsi="Times New Roman" w:eastAsia="仿宋_GB2312" w:cs="Times New Roman"/>
          <w:color w:val="auto"/>
          <w:sz w:val="28"/>
          <w:lang w:val="en-US" w:eastAsia="zh-CN"/>
        </w:rPr>
      </w:pPr>
      <w:r>
        <w:rPr>
          <w:rFonts w:hint="eastAsia" w:ascii="仿宋_GB2312" w:hAnsi="Times New Roman" w:eastAsia="仿宋_GB2312" w:cs="Times New Roman"/>
          <w:color w:val="auto"/>
          <w:sz w:val="28"/>
          <w:lang w:val="en-US" w:eastAsia="zh-CN"/>
        </w:rPr>
        <w:t>如甲方因乙方服务等原因涉及纠纷、诉讼或被处以行政处罚，由乙方承担甲方因纠纷、诉讼、罚款等造成的全部经济损失。</w:t>
      </w:r>
    </w:p>
    <w:p w14:paraId="1EBA5814">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szCs w:val="28"/>
        </w:rPr>
      </w:pPr>
      <w:r>
        <w:rPr>
          <w:rFonts w:hint="eastAsia" w:ascii="仿宋_GB2312" w:eastAsia="仿宋_GB2312"/>
          <w:b/>
          <w:bCs/>
          <w:color w:val="auto"/>
          <w:sz w:val="28"/>
          <w:szCs w:val="28"/>
        </w:rPr>
        <w:t>第七条</w:t>
      </w:r>
      <w:r>
        <w:rPr>
          <w:rFonts w:hint="eastAsia" w:ascii="仿宋_GB2312" w:eastAsia="仿宋_GB2312"/>
          <w:color w:val="auto"/>
          <w:sz w:val="28"/>
          <w:szCs w:val="28"/>
        </w:rPr>
        <w:t>本合同的变更必须由双方协商一致，并以书面形式签订补充协议书确定。</w:t>
      </w:r>
    </w:p>
    <w:p w14:paraId="4D784D90">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hAnsi="Times New Roman" w:eastAsia="仿宋_GB2312" w:cs="Times New Roman"/>
          <w:b/>
          <w:bCs/>
          <w:color w:val="auto"/>
          <w:sz w:val="28"/>
          <w:szCs w:val="28"/>
          <w:lang w:val="en-US" w:eastAsia="zh-CN"/>
        </w:rPr>
      </w:pPr>
      <w:r>
        <w:rPr>
          <w:rFonts w:hint="eastAsia" w:ascii="仿宋_GB2312" w:hAnsi="Times New Roman" w:eastAsia="仿宋_GB2312" w:cs="Times New Roman"/>
          <w:b/>
          <w:bCs/>
          <w:color w:val="auto"/>
          <w:sz w:val="28"/>
          <w:szCs w:val="28"/>
          <w:lang w:val="en-US" w:eastAsia="zh-CN"/>
        </w:rPr>
        <w:t>第八条廉洁条款</w:t>
      </w:r>
    </w:p>
    <w:p w14:paraId="20D48B21">
      <w:pPr>
        <w:keepNext w:val="0"/>
        <w:keepLines w:val="0"/>
        <w:pageBreakBefore w:val="0"/>
        <w:widowControl w:val="0"/>
        <w:numPr>
          <w:ilvl w:val="0"/>
          <w:numId w:val="0"/>
        </w:numPr>
        <w:kinsoku/>
        <w:wordWrap/>
        <w:overflowPunct/>
        <w:topLinePunct/>
        <w:autoSpaceDE/>
        <w:autoSpaceDN/>
        <w:bidi w:val="0"/>
        <w:adjustRightInd/>
        <w:snapToGrid/>
        <w:spacing w:line="480" w:lineRule="exact"/>
        <w:ind w:left="0" w:right="0" w:firstLine="560" w:firstLineChars="200"/>
        <w:jc w:val="both"/>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w:t>
      </w:r>
      <w:r>
        <w:rPr>
          <w:rFonts w:hint="eastAsia" w:ascii="仿宋_GB2312" w:hAnsi="Times New Roman" w:eastAsia="仿宋_GB2312" w:cs="Times New Roman"/>
          <w:color w:val="auto"/>
          <w:sz w:val="28"/>
          <w:lang w:val="en-US" w:eastAsia="zh-CN"/>
        </w:rPr>
        <w:t>乙方应严格遵守国家相关法律法规，涉及合同的有关业务活动必须坚持公开、公平、公正、诚信原则，不得为获取不正当利益，损害国家、集体和甲方利益。</w:t>
      </w:r>
    </w:p>
    <w:p w14:paraId="61D526D9">
      <w:pPr>
        <w:keepNext w:val="0"/>
        <w:keepLines w:val="0"/>
        <w:pageBreakBefore w:val="0"/>
        <w:widowControl w:val="0"/>
        <w:numPr>
          <w:ilvl w:val="0"/>
          <w:numId w:val="0"/>
        </w:numPr>
        <w:kinsoku/>
        <w:wordWrap/>
        <w:overflowPunct/>
        <w:topLinePunct/>
        <w:autoSpaceDE/>
        <w:autoSpaceDN/>
        <w:bidi w:val="0"/>
        <w:adjustRightInd/>
        <w:snapToGrid/>
        <w:spacing w:line="480" w:lineRule="exact"/>
        <w:ind w:left="0" w:right="0" w:firstLine="562" w:firstLineChars="200"/>
        <w:jc w:val="both"/>
        <w:textAlignment w:val="auto"/>
        <w:rPr>
          <w:rFonts w:hint="eastAsia" w:ascii="仿宋" w:hAnsi="仿宋" w:eastAsia="仿宋" w:cs="仿宋"/>
          <w:b/>
          <w:bCs/>
          <w:color w:val="auto"/>
          <w:sz w:val="28"/>
          <w:szCs w:val="28"/>
          <w:highlight w:val="none"/>
        </w:rPr>
      </w:pPr>
      <w:r>
        <w:rPr>
          <w:rFonts w:hint="eastAsia" w:ascii="宋体" w:hAnsi="宋体" w:eastAsia="宋体" w:cs="宋体"/>
          <w:b/>
          <w:bCs/>
          <w:color w:val="auto"/>
          <w:sz w:val="28"/>
          <w:szCs w:val="28"/>
          <w:highlight w:val="none"/>
          <w:lang w:val="en-US" w:eastAsia="zh-CN"/>
        </w:rPr>
        <w:t>8.2</w:t>
      </w:r>
      <w:r>
        <w:rPr>
          <w:rFonts w:hint="eastAsia" w:ascii="仿宋" w:hAnsi="仿宋" w:eastAsia="仿宋" w:cs="仿宋"/>
          <w:b/>
          <w:bCs/>
          <w:color w:val="auto"/>
          <w:sz w:val="28"/>
          <w:szCs w:val="28"/>
          <w:highlight w:val="none"/>
          <w:u w:val="single"/>
          <w:lang w:val="en-US" w:eastAsia="zh-CN"/>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19462778">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hAnsi="Times New Roman" w:eastAsia="仿宋_GB2312" w:cs="Times New Roman"/>
          <w:b/>
          <w:bCs/>
          <w:color w:val="auto"/>
          <w:sz w:val="28"/>
          <w:szCs w:val="28"/>
          <w:lang w:val="en-US" w:eastAsia="zh-CN"/>
        </w:rPr>
      </w:pPr>
      <w:r>
        <w:rPr>
          <w:rFonts w:hint="eastAsia" w:ascii="仿宋_GB2312" w:hAnsi="Times New Roman" w:eastAsia="仿宋_GB2312" w:cs="Times New Roman"/>
          <w:b/>
          <w:bCs/>
          <w:color w:val="auto"/>
          <w:sz w:val="28"/>
          <w:szCs w:val="28"/>
          <w:lang w:val="en-US" w:eastAsia="zh-CN"/>
        </w:rPr>
        <w:t>第九条保密条款</w:t>
      </w:r>
    </w:p>
    <w:p w14:paraId="1093A60E">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hAnsi="Times New Roman" w:eastAsia="仿宋_GB2312" w:cs="Times New Roman"/>
          <w:color w:val="auto"/>
          <w:sz w:val="28"/>
          <w:szCs w:val="28"/>
          <w:lang w:val="en-US" w:eastAsia="zh-CN"/>
        </w:rPr>
      </w:pPr>
      <w:r>
        <w:rPr>
          <w:rFonts w:hint="eastAsia" w:ascii="仿宋_GB2312" w:hAnsi="Times New Roman" w:eastAsia="仿宋_GB2312" w:cs="Times New Roman"/>
          <w:color w:val="auto"/>
          <w:sz w:val="28"/>
          <w:szCs w:val="28"/>
          <w:lang w:val="en-US" w:eastAsia="zh-CN"/>
        </w:rPr>
        <w:t>9.1本合同订立、履行、变更等产生的研究、商讨、交流等信息，履行本合同获悉的甲方商业秘密、运营信息、工作人员信息、个人信息等，均属保密信息。</w:t>
      </w:r>
    </w:p>
    <w:p w14:paraId="1F82F715">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hAnsi="Times New Roman" w:eastAsia="仿宋_GB2312" w:cs="Times New Roman"/>
          <w:color w:val="auto"/>
          <w:sz w:val="28"/>
          <w:szCs w:val="28"/>
          <w:lang w:val="en-US" w:eastAsia="zh-CN"/>
        </w:rPr>
      </w:pPr>
      <w:r>
        <w:rPr>
          <w:rFonts w:hint="eastAsia" w:ascii="仿宋_GB2312" w:hAnsi="Times New Roman" w:eastAsia="仿宋_GB2312" w:cs="Times New Roman"/>
          <w:color w:val="auto"/>
          <w:sz w:val="28"/>
          <w:szCs w:val="28"/>
          <w:lang w:val="en-US" w:eastAsia="zh-CN"/>
        </w:rPr>
        <w:t>9.2乙方应对保密信息采取有效手段严格保密，不得用于非本合同之目的或向第三方泄露。如政府部门、法院或其他有权部门要求乙方提供保密信息，乙方应当立即向甲方通报。</w:t>
      </w:r>
    </w:p>
    <w:p w14:paraId="659417D9">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hAnsi="Times New Roman" w:eastAsia="仿宋_GB2312" w:cs="Times New Roman"/>
          <w:color w:val="auto"/>
          <w:sz w:val="28"/>
          <w:szCs w:val="28"/>
          <w:lang w:val="en-US" w:eastAsia="zh-CN"/>
        </w:rPr>
      </w:pPr>
      <w:r>
        <w:rPr>
          <w:rFonts w:hint="eastAsia" w:ascii="仿宋_GB2312" w:hAnsi="Times New Roman" w:eastAsia="仿宋_GB2312" w:cs="Times New Roman"/>
          <w:color w:val="auto"/>
          <w:sz w:val="28"/>
          <w:szCs w:val="28"/>
          <w:lang w:val="en-US" w:eastAsia="zh-CN"/>
        </w:rPr>
        <w:t>9.3因乙方未履行本合同保密义务造成甲方或第三方损失的，由乙方承担全部赔偿责任。</w:t>
      </w:r>
    </w:p>
    <w:p w14:paraId="015C5EA7">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lang w:val="en-US" w:eastAsia="zh-CN"/>
        </w:rPr>
        <w:t>9.4本合同保密条款在合同被认定无效、被撤销或终止、解除后仍然有效。</w:t>
      </w:r>
    </w:p>
    <w:p w14:paraId="5823AACD">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szCs w:val="28"/>
        </w:rPr>
      </w:pPr>
      <w:r>
        <w:rPr>
          <w:rFonts w:hint="eastAsia" w:ascii="仿宋_GB2312" w:eastAsia="仿宋_GB2312"/>
          <w:b/>
          <w:bCs/>
          <w:color w:val="auto"/>
          <w:sz w:val="28"/>
          <w:szCs w:val="28"/>
        </w:rPr>
        <w:t>第</w:t>
      </w:r>
      <w:r>
        <w:rPr>
          <w:rFonts w:hint="eastAsia" w:ascii="仿宋_GB2312" w:eastAsia="仿宋_GB2312"/>
          <w:b/>
          <w:bCs/>
          <w:color w:val="auto"/>
          <w:sz w:val="28"/>
          <w:szCs w:val="28"/>
          <w:lang w:val="en-US" w:eastAsia="zh-CN"/>
        </w:rPr>
        <w:t>十</w:t>
      </w:r>
      <w:r>
        <w:rPr>
          <w:rFonts w:hint="eastAsia" w:ascii="仿宋_GB2312" w:eastAsia="仿宋_GB2312"/>
          <w:b/>
          <w:bCs/>
          <w:color w:val="auto"/>
          <w:sz w:val="28"/>
          <w:szCs w:val="28"/>
        </w:rPr>
        <w:t>条</w:t>
      </w:r>
      <w:r>
        <w:rPr>
          <w:rFonts w:hint="eastAsia" w:ascii="仿宋_GB2312" w:eastAsia="仿宋_GB2312"/>
          <w:color w:val="auto"/>
          <w:sz w:val="28"/>
          <w:szCs w:val="28"/>
        </w:rPr>
        <w:t>双方确定，按以下标准和方式对乙方提交的技术服务工作成果进行验收：</w:t>
      </w:r>
    </w:p>
    <w:p w14:paraId="731F2079">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u w:val="single"/>
        </w:rPr>
      </w:pPr>
      <w:r>
        <w:rPr>
          <w:rFonts w:hint="eastAsia" w:ascii="仿宋_GB2312" w:eastAsia="仿宋_GB2312"/>
          <w:color w:val="auto"/>
          <w:sz w:val="28"/>
          <w:szCs w:val="28"/>
          <w:lang w:val="en-US" w:eastAsia="zh-CN"/>
        </w:rPr>
        <w:t>10</w:t>
      </w:r>
      <w:r>
        <w:rPr>
          <w:rFonts w:hint="eastAsia" w:ascii="仿宋_GB2312" w:eastAsia="仿宋_GB2312"/>
          <w:color w:val="auto"/>
          <w:sz w:val="28"/>
          <w:szCs w:val="28"/>
        </w:rPr>
        <w:t>.1乙方提交技术服务工作成果的形式：</w:t>
      </w:r>
      <w:r>
        <w:rPr>
          <w:rFonts w:hint="eastAsia" w:ascii="仿宋_GB2312" w:eastAsia="仿宋_GB2312"/>
          <w:color w:val="auto"/>
          <w:sz w:val="28"/>
          <w:szCs w:val="28"/>
          <w:u w:val="single"/>
        </w:rPr>
        <w:t>向甲方提供</w:t>
      </w:r>
      <w:r>
        <w:rPr>
          <w:rFonts w:hint="eastAsia" w:ascii="仿宋_GB2312" w:eastAsia="仿宋_GB2312"/>
          <w:color w:val="auto"/>
          <w:sz w:val="28"/>
          <w:szCs w:val="28"/>
          <w:u w:val="single"/>
          <w:lang w:val="en-US" w:eastAsia="zh-CN"/>
        </w:rPr>
        <w:t>行政主管部门关于本项目合格批复</w:t>
      </w:r>
      <w:r>
        <w:rPr>
          <w:rFonts w:hint="eastAsia" w:ascii="仿宋_GB2312" w:eastAsia="仿宋_GB2312"/>
          <w:bCs/>
          <w:color w:val="auto"/>
          <w:sz w:val="28"/>
          <w:szCs w:val="28"/>
          <w:u w:val="single"/>
        </w:rPr>
        <w:t>。</w:t>
      </w:r>
    </w:p>
    <w:p w14:paraId="7FB666E6">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hAnsi="Times New Roman" w:eastAsia="仿宋_GB2312" w:cs="Times New Roman"/>
          <w:bCs/>
          <w:color w:val="auto"/>
          <w:sz w:val="28"/>
          <w:szCs w:val="28"/>
          <w:u w:val="single"/>
        </w:rPr>
      </w:pPr>
      <w:r>
        <w:rPr>
          <w:rFonts w:hint="eastAsia" w:ascii="仿宋_GB2312" w:eastAsia="仿宋_GB2312"/>
          <w:color w:val="auto"/>
          <w:sz w:val="28"/>
          <w:szCs w:val="28"/>
          <w:lang w:val="en-US" w:eastAsia="zh-CN"/>
        </w:rPr>
        <w:t>10</w:t>
      </w:r>
      <w:r>
        <w:rPr>
          <w:rFonts w:hint="eastAsia" w:ascii="仿宋_GB2312" w:eastAsia="仿宋_GB2312"/>
          <w:color w:val="auto"/>
          <w:sz w:val="28"/>
          <w:szCs w:val="28"/>
        </w:rPr>
        <w:t>.2技术服务工作成果的验收标准：</w:t>
      </w:r>
      <w:r>
        <w:rPr>
          <w:rFonts w:hint="eastAsia" w:ascii="仿宋_GB2312" w:hAnsi="Times New Roman" w:eastAsia="仿宋_GB2312" w:cs="Times New Roman"/>
          <w:bCs/>
          <w:color w:val="auto"/>
          <w:sz w:val="28"/>
          <w:szCs w:val="28"/>
          <w:u w:val="single"/>
        </w:rPr>
        <w:t>符合《职业病防治法》《放射性污染防治法》《环境影响评价法》《放射诊疗管理规定》及GB18871</w:t>
      </w:r>
      <w:r>
        <w:rPr>
          <w:rFonts w:hint="eastAsia" w:ascii="仿宋_GB2312" w:hAnsi="Times New Roman" w:eastAsia="仿宋_GB2312" w:cs="Times New Roman"/>
          <w:bCs/>
          <w:color w:val="auto"/>
          <w:sz w:val="28"/>
          <w:szCs w:val="28"/>
          <w:u w:val="single"/>
        </w:rPr>
        <w:noBreakHyphen/>
      </w:r>
      <w:r>
        <w:rPr>
          <w:rFonts w:hint="eastAsia" w:ascii="仿宋_GB2312" w:hAnsi="Times New Roman" w:eastAsia="仿宋_GB2312" w:cs="Times New Roman"/>
          <w:bCs/>
          <w:color w:val="auto"/>
          <w:sz w:val="28"/>
          <w:szCs w:val="28"/>
          <w:u w:val="single"/>
        </w:rPr>
        <w:t>2002、GBZ130</w:t>
      </w:r>
      <w:r>
        <w:rPr>
          <w:rFonts w:hint="eastAsia" w:ascii="仿宋_GB2312" w:hAnsi="Times New Roman" w:eastAsia="仿宋_GB2312" w:cs="Times New Roman"/>
          <w:bCs/>
          <w:color w:val="auto"/>
          <w:sz w:val="28"/>
          <w:szCs w:val="28"/>
          <w:u w:val="single"/>
        </w:rPr>
        <w:noBreakHyphen/>
      </w:r>
      <w:r>
        <w:rPr>
          <w:rFonts w:hint="eastAsia" w:ascii="仿宋_GB2312" w:hAnsi="Times New Roman" w:eastAsia="仿宋_GB2312" w:cs="Times New Roman"/>
          <w:bCs/>
          <w:color w:val="auto"/>
          <w:sz w:val="28"/>
          <w:szCs w:val="28"/>
          <w:u w:val="single"/>
        </w:rPr>
        <w:t>2020等规范。</w:t>
      </w:r>
    </w:p>
    <w:p w14:paraId="029A66E8">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szCs w:val="28"/>
        </w:rPr>
      </w:pPr>
      <w:r>
        <w:rPr>
          <w:rFonts w:hint="eastAsia" w:ascii="仿宋_GB2312" w:eastAsia="仿宋_GB2312"/>
          <w:b/>
          <w:bCs/>
          <w:color w:val="auto"/>
          <w:sz w:val="28"/>
          <w:szCs w:val="28"/>
        </w:rPr>
        <w:t>第</w:t>
      </w:r>
      <w:r>
        <w:rPr>
          <w:rFonts w:hint="eastAsia" w:ascii="仿宋_GB2312" w:eastAsia="仿宋_GB2312"/>
          <w:b/>
          <w:bCs/>
          <w:color w:val="auto"/>
          <w:sz w:val="28"/>
          <w:szCs w:val="28"/>
          <w:lang w:val="en-US" w:eastAsia="zh-CN"/>
        </w:rPr>
        <w:t>十一</w:t>
      </w:r>
      <w:r>
        <w:rPr>
          <w:rFonts w:hint="eastAsia" w:ascii="仿宋_GB2312" w:eastAsia="仿宋_GB2312"/>
          <w:b/>
          <w:bCs/>
          <w:color w:val="auto"/>
          <w:sz w:val="28"/>
          <w:szCs w:val="28"/>
        </w:rPr>
        <w:t>条</w:t>
      </w:r>
      <w:r>
        <w:rPr>
          <w:rFonts w:hint="eastAsia" w:ascii="仿宋_GB2312" w:eastAsia="仿宋_GB2312"/>
          <w:color w:val="auto"/>
          <w:sz w:val="28"/>
          <w:szCs w:val="28"/>
        </w:rPr>
        <w:t>双方确定，按以下约定承担各自的违约责任：</w:t>
      </w:r>
    </w:p>
    <w:p w14:paraId="391B9366">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lang w:val="en-US" w:eastAsia="zh-CN"/>
        </w:rPr>
        <w:t>11</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1如</w:t>
      </w:r>
      <w:r>
        <w:rPr>
          <w:rFonts w:hint="eastAsia" w:ascii="仿宋_GB2312" w:eastAsia="仿宋_GB2312"/>
          <w:color w:val="auto"/>
          <w:sz w:val="28"/>
          <w:szCs w:val="28"/>
        </w:rPr>
        <w:t>乙方</w:t>
      </w:r>
      <w:r>
        <w:rPr>
          <w:rFonts w:hint="eastAsia" w:ascii="仿宋_GB2312" w:eastAsia="仿宋_GB2312"/>
          <w:color w:val="auto"/>
          <w:sz w:val="28"/>
          <w:szCs w:val="28"/>
          <w:lang w:val="en-US" w:eastAsia="zh-CN"/>
        </w:rPr>
        <w:t>未</w:t>
      </w:r>
      <w:r>
        <w:rPr>
          <w:rFonts w:hint="eastAsia" w:ascii="仿宋_GB2312" w:eastAsia="仿宋_GB2312"/>
          <w:color w:val="auto"/>
          <w:sz w:val="28"/>
          <w:szCs w:val="28"/>
        </w:rPr>
        <w:t>按本合同</w:t>
      </w:r>
      <w:r>
        <w:rPr>
          <w:rFonts w:hint="eastAsia" w:ascii="仿宋_GB2312" w:eastAsia="仿宋_GB2312"/>
          <w:color w:val="auto"/>
          <w:sz w:val="28"/>
          <w:szCs w:val="28"/>
          <w:lang w:val="en-US" w:eastAsia="zh-CN"/>
        </w:rPr>
        <w:t>约定时间完成</w:t>
      </w:r>
      <w:r>
        <w:rPr>
          <w:rFonts w:hint="eastAsia" w:ascii="仿宋_GB2312" w:eastAsia="仿宋_GB2312"/>
          <w:color w:val="auto"/>
          <w:sz w:val="28"/>
          <w:szCs w:val="28"/>
        </w:rPr>
        <w:t>，每延误一天</w:t>
      </w:r>
      <w:r>
        <w:rPr>
          <w:rFonts w:hint="eastAsia" w:ascii="仿宋_GB2312" w:eastAsia="仿宋_GB2312"/>
          <w:color w:val="auto"/>
          <w:sz w:val="28"/>
          <w:szCs w:val="28"/>
          <w:lang w:eastAsia="zh-CN"/>
        </w:rPr>
        <w:t>，</w:t>
      </w:r>
      <w:r>
        <w:rPr>
          <w:rFonts w:hint="eastAsia" w:ascii="仿宋_GB2312" w:eastAsia="仿宋_GB2312"/>
          <w:color w:val="auto"/>
          <w:sz w:val="28"/>
          <w:szCs w:val="28"/>
        </w:rPr>
        <w:t>乙方应</w:t>
      </w:r>
      <w:r>
        <w:rPr>
          <w:rFonts w:hint="eastAsia" w:ascii="仿宋_GB2312" w:eastAsia="仿宋_GB2312"/>
          <w:color w:val="auto"/>
          <w:sz w:val="28"/>
          <w:szCs w:val="28"/>
          <w:lang w:val="en-US" w:eastAsia="zh-CN"/>
        </w:rPr>
        <w:t>按本合同约定</w:t>
      </w:r>
      <w:r>
        <w:rPr>
          <w:rFonts w:hint="eastAsia" w:ascii="仿宋_GB2312" w:eastAsia="仿宋_GB2312"/>
          <w:color w:val="auto"/>
          <w:sz w:val="28"/>
          <w:szCs w:val="28"/>
        </w:rPr>
        <w:t>服务费的千分之五</w:t>
      </w:r>
      <w:r>
        <w:rPr>
          <w:rFonts w:hint="eastAsia" w:ascii="仿宋_GB2312" w:eastAsia="仿宋_GB2312"/>
          <w:color w:val="auto"/>
          <w:sz w:val="28"/>
          <w:szCs w:val="28"/>
          <w:lang w:val="en-US" w:eastAsia="zh-CN"/>
        </w:rPr>
        <w:t>向甲方支付</w:t>
      </w:r>
      <w:r>
        <w:rPr>
          <w:rFonts w:hint="eastAsia" w:ascii="仿宋_GB2312" w:eastAsia="仿宋_GB2312"/>
          <w:color w:val="auto"/>
          <w:sz w:val="28"/>
          <w:szCs w:val="28"/>
        </w:rPr>
        <w:t>违约金。</w:t>
      </w:r>
    </w:p>
    <w:p w14:paraId="0D45AD11">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lang w:val="en-US" w:eastAsia="zh-CN"/>
        </w:rPr>
        <w:t>11</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2如</w:t>
      </w:r>
      <w:r>
        <w:rPr>
          <w:rFonts w:hint="eastAsia" w:ascii="仿宋_GB2312" w:eastAsia="仿宋_GB2312"/>
          <w:color w:val="auto"/>
          <w:sz w:val="28"/>
          <w:szCs w:val="28"/>
        </w:rPr>
        <w:t>乙方</w:t>
      </w:r>
      <w:r>
        <w:rPr>
          <w:rFonts w:hint="eastAsia" w:ascii="仿宋_GB2312" w:eastAsia="仿宋_GB2312"/>
          <w:color w:val="auto"/>
          <w:sz w:val="28"/>
          <w:szCs w:val="28"/>
          <w:lang w:val="en-US" w:eastAsia="zh-CN"/>
        </w:rPr>
        <w:t>擅自</w:t>
      </w:r>
      <w:r>
        <w:rPr>
          <w:rFonts w:hint="eastAsia" w:ascii="仿宋_GB2312" w:eastAsia="仿宋_GB2312"/>
          <w:color w:val="auto"/>
          <w:sz w:val="28"/>
          <w:szCs w:val="28"/>
        </w:rPr>
        <w:t>单方解除</w:t>
      </w:r>
      <w:r>
        <w:rPr>
          <w:rFonts w:hint="eastAsia" w:ascii="仿宋_GB2312" w:eastAsia="仿宋_GB2312"/>
          <w:color w:val="auto"/>
          <w:sz w:val="28"/>
          <w:szCs w:val="28"/>
          <w:lang w:val="en-US" w:eastAsia="zh-CN"/>
        </w:rPr>
        <w:t>本</w:t>
      </w:r>
      <w:r>
        <w:rPr>
          <w:rFonts w:hint="eastAsia" w:ascii="仿宋_GB2312" w:eastAsia="仿宋_GB2312"/>
          <w:color w:val="auto"/>
          <w:sz w:val="28"/>
          <w:szCs w:val="28"/>
        </w:rPr>
        <w:t>合同</w:t>
      </w: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除赔偿甲方由此造成的经济损失外，还</w:t>
      </w:r>
      <w:r>
        <w:rPr>
          <w:rFonts w:hint="eastAsia" w:ascii="仿宋_GB2312" w:eastAsia="仿宋_GB2312"/>
          <w:color w:val="auto"/>
          <w:sz w:val="28"/>
          <w:szCs w:val="28"/>
        </w:rPr>
        <w:t>应按</w:t>
      </w:r>
      <w:r>
        <w:rPr>
          <w:rFonts w:hint="eastAsia" w:ascii="仿宋_GB2312" w:eastAsia="仿宋_GB2312"/>
          <w:color w:val="auto"/>
          <w:sz w:val="28"/>
          <w:szCs w:val="28"/>
          <w:lang w:val="en-US" w:eastAsia="zh-CN"/>
        </w:rPr>
        <w:t>本</w:t>
      </w:r>
      <w:r>
        <w:rPr>
          <w:rFonts w:hint="eastAsia" w:ascii="仿宋_GB2312" w:eastAsia="仿宋_GB2312"/>
          <w:color w:val="auto"/>
          <w:sz w:val="28"/>
          <w:szCs w:val="28"/>
        </w:rPr>
        <w:t>合同</w:t>
      </w:r>
      <w:r>
        <w:rPr>
          <w:rFonts w:hint="eastAsia" w:ascii="仿宋_GB2312" w:eastAsia="仿宋_GB2312"/>
          <w:color w:val="auto"/>
          <w:sz w:val="28"/>
          <w:szCs w:val="28"/>
          <w:lang w:val="en-US" w:eastAsia="zh-CN"/>
        </w:rPr>
        <w:t>服务费</w:t>
      </w:r>
      <w:r>
        <w:rPr>
          <w:rFonts w:hint="eastAsia" w:ascii="仿宋_GB2312" w:eastAsia="仿宋_GB2312"/>
          <w:color w:val="auto"/>
          <w:sz w:val="28"/>
          <w:szCs w:val="28"/>
        </w:rPr>
        <w:t>总金额的</w:t>
      </w:r>
      <w:r>
        <w:rPr>
          <w:rFonts w:hint="eastAsia" w:ascii="仿宋_GB2312" w:eastAsia="仿宋_GB2312"/>
          <w:color w:val="auto"/>
          <w:sz w:val="28"/>
          <w:szCs w:val="28"/>
          <w:lang w:val="en-US" w:eastAsia="zh-CN"/>
        </w:rPr>
        <w:t>3</w:t>
      </w:r>
      <w:r>
        <w:rPr>
          <w:rFonts w:hint="eastAsia" w:ascii="仿宋_GB2312" w:eastAsia="仿宋_GB2312"/>
          <w:color w:val="auto"/>
          <w:sz w:val="28"/>
          <w:szCs w:val="28"/>
        </w:rPr>
        <w:t>0%</w:t>
      </w:r>
      <w:r>
        <w:rPr>
          <w:rFonts w:hint="eastAsia" w:ascii="仿宋_GB2312" w:eastAsia="仿宋_GB2312"/>
          <w:color w:val="auto"/>
          <w:sz w:val="28"/>
          <w:szCs w:val="28"/>
          <w:lang w:val="en-US" w:eastAsia="zh-CN"/>
        </w:rPr>
        <w:t>向</w:t>
      </w:r>
      <w:r>
        <w:rPr>
          <w:rFonts w:hint="eastAsia" w:ascii="仿宋_GB2312" w:eastAsia="仿宋_GB2312"/>
          <w:color w:val="auto"/>
          <w:sz w:val="28"/>
          <w:szCs w:val="28"/>
        </w:rPr>
        <w:t>甲方</w:t>
      </w:r>
      <w:r>
        <w:rPr>
          <w:rFonts w:hint="eastAsia" w:ascii="仿宋_GB2312" w:eastAsia="仿宋_GB2312"/>
          <w:color w:val="auto"/>
          <w:sz w:val="28"/>
          <w:szCs w:val="28"/>
          <w:lang w:val="en-US" w:eastAsia="zh-CN"/>
        </w:rPr>
        <w:t>支付</w:t>
      </w:r>
      <w:r>
        <w:rPr>
          <w:rFonts w:hint="eastAsia" w:ascii="仿宋_GB2312" w:eastAsia="仿宋_GB2312"/>
          <w:color w:val="auto"/>
          <w:sz w:val="28"/>
          <w:szCs w:val="28"/>
        </w:rPr>
        <w:t>违约金。</w:t>
      </w:r>
    </w:p>
    <w:p w14:paraId="2E6D8111">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b/>
          <w:bCs/>
          <w:color w:val="auto"/>
          <w:sz w:val="28"/>
          <w:szCs w:val="28"/>
          <w:u w:val="single"/>
          <w:lang w:val="en-US" w:eastAsia="zh-CN"/>
        </w:rPr>
      </w:pPr>
      <w:r>
        <w:rPr>
          <w:rFonts w:hint="eastAsia" w:ascii="仿宋_GB2312" w:eastAsia="仿宋_GB2312"/>
          <w:b/>
          <w:bCs/>
          <w:color w:val="auto"/>
          <w:sz w:val="28"/>
          <w:szCs w:val="28"/>
          <w:u w:val="single"/>
          <w:lang w:val="en-US" w:eastAsia="zh-CN"/>
        </w:rPr>
        <w:t>11.3无论甲方在任意时候（不限于本合同履行期间）发现存在违反本合同廉洁条款约定的行为，乙方须按本合同总费用的10%向甲方支付一次性惩罚性违约金。如乙方除需承担违反廉洁条款的违约责任外，同时存在其他违约行为，乙方仍须就其他违约行为承担相应违约责任。</w:t>
      </w:r>
    </w:p>
    <w:p w14:paraId="5FF8AC24">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default" w:ascii="仿宋_GB2312" w:eastAsia="仿宋_GB2312"/>
          <w:b/>
          <w:bCs/>
          <w:color w:val="auto"/>
          <w:sz w:val="28"/>
          <w:szCs w:val="28"/>
          <w:u w:val="single"/>
          <w:lang w:val="en-US" w:eastAsia="zh-CN"/>
        </w:rPr>
      </w:pPr>
      <w:r>
        <w:rPr>
          <w:rFonts w:hint="eastAsia" w:ascii="仿宋_GB2312" w:eastAsia="仿宋_GB2312"/>
          <w:b/>
          <w:bCs/>
          <w:color w:val="auto"/>
          <w:sz w:val="28"/>
          <w:szCs w:val="28"/>
          <w:u w:val="single"/>
          <w:lang w:val="en-US" w:eastAsia="zh-CN"/>
        </w:rPr>
        <w:t>11.4依据本合同约定乙方应支付给甲方的违约金，甲方有权在应支付给乙方的任意价款中直接予以扣除，如扣除部分不足，乙方应在接到甲方通知后3日内补足。</w:t>
      </w:r>
    </w:p>
    <w:p w14:paraId="7175B5C3">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hAnsi="Times New Roman" w:eastAsia="仿宋_GB2312" w:cs="Times New Roman"/>
          <w:b/>
          <w:bCs/>
          <w:color w:val="auto"/>
          <w:sz w:val="28"/>
          <w:szCs w:val="28"/>
          <w:lang w:val="en-US" w:eastAsia="zh-CN"/>
        </w:rPr>
      </w:pPr>
      <w:r>
        <w:rPr>
          <w:rFonts w:hint="eastAsia" w:ascii="仿宋_GB2312" w:hAnsi="Times New Roman" w:eastAsia="仿宋_GB2312" w:cs="Times New Roman"/>
          <w:b/>
          <w:bCs/>
          <w:color w:val="auto"/>
          <w:sz w:val="28"/>
          <w:szCs w:val="28"/>
          <w:lang w:val="en-US" w:eastAsia="zh-CN"/>
        </w:rPr>
        <w:t>第十二条其他</w:t>
      </w:r>
    </w:p>
    <w:p w14:paraId="144E0513">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outlineLvl w:val="0"/>
        <w:rPr>
          <w:rFonts w:hint="eastAsia" w:ascii="仿宋_GB2312" w:eastAsia="仿宋_GB2312"/>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val="en-US" w:eastAsia="zh-CN"/>
        </w:rPr>
        <w:t>2</w:t>
      </w:r>
      <w:r>
        <w:rPr>
          <w:rFonts w:hint="eastAsia" w:ascii="仿宋_GB2312" w:eastAsia="仿宋_GB2312"/>
          <w:color w:val="auto"/>
          <w:sz w:val="28"/>
          <w:szCs w:val="28"/>
        </w:rPr>
        <w:t>.1当放射诊疗设备和放射工作场所监测结果可疑或超标时，</w:t>
      </w:r>
      <w:r>
        <w:rPr>
          <w:rFonts w:hint="eastAsia" w:ascii="仿宋_GB2312" w:eastAsia="仿宋_GB2312"/>
          <w:color w:val="auto"/>
          <w:sz w:val="28"/>
          <w:szCs w:val="28"/>
          <w:lang w:val="en-US" w:eastAsia="zh-CN"/>
        </w:rPr>
        <w:t>乙方应告知</w:t>
      </w:r>
      <w:r>
        <w:rPr>
          <w:rFonts w:hint="eastAsia" w:ascii="仿宋_GB2312" w:eastAsia="仿宋_GB2312"/>
          <w:color w:val="auto"/>
          <w:sz w:val="28"/>
          <w:szCs w:val="28"/>
        </w:rPr>
        <w:t>甲方对相关设备进行维修或整改，</w:t>
      </w:r>
      <w:r>
        <w:rPr>
          <w:rFonts w:hint="eastAsia" w:ascii="仿宋_GB2312" w:eastAsia="仿宋_GB2312"/>
          <w:color w:val="auto"/>
          <w:sz w:val="28"/>
          <w:szCs w:val="28"/>
          <w:lang w:val="en-US" w:eastAsia="zh-CN"/>
        </w:rPr>
        <w:t>并在甲方维修或整改完成后再</w:t>
      </w:r>
      <w:r>
        <w:rPr>
          <w:rFonts w:hint="eastAsia" w:ascii="仿宋_GB2312" w:eastAsia="仿宋_GB2312"/>
          <w:color w:val="auto"/>
          <w:sz w:val="28"/>
          <w:szCs w:val="28"/>
        </w:rPr>
        <w:t>进行监测</w:t>
      </w: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再次</w:t>
      </w:r>
      <w:r>
        <w:rPr>
          <w:rFonts w:hint="eastAsia" w:ascii="仿宋_GB2312" w:eastAsia="仿宋_GB2312"/>
          <w:color w:val="auto"/>
          <w:sz w:val="28"/>
          <w:szCs w:val="28"/>
        </w:rPr>
        <w:t>监测费用已经包含在本合同费用中，不</w:t>
      </w:r>
      <w:r>
        <w:rPr>
          <w:rFonts w:hint="eastAsia" w:ascii="仿宋_GB2312" w:eastAsia="仿宋_GB2312"/>
          <w:color w:val="auto"/>
          <w:sz w:val="28"/>
          <w:szCs w:val="28"/>
          <w:lang w:val="en-US" w:eastAsia="zh-CN"/>
        </w:rPr>
        <w:t>再</w:t>
      </w:r>
      <w:r>
        <w:rPr>
          <w:rFonts w:hint="eastAsia" w:ascii="仿宋_GB2312" w:eastAsia="仿宋_GB2312"/>
          <w:color w:val="auto"/>
          <w:sz w:val="28"/>
          <w:szCs w:val="28"/>
        </w:rPr>
        <w:t>另</w:t>
      </w:r>
      <w:r>
        <w:rPr>
          <w:rFonts w:hint="eastAsia" w:ascii="仿宋_GB2312" w:eastAsia="仿宋_GB2312"/>
          <w:color w:val="auto"/>
          <w:sz w:val="28"/>
          <w:szCs w:val="28"/>
          <w:lang w:val="en-US" w:eastAsia="zh-CN"/>
        </w:rPr>
        <w:t>行支付</w:t>
      </w:r>
      <w:r>
        <w:rPr>
          <w:rFonts w:hint="eastAsia" w:ascii="仿宋_GB2312" w:eastAsia="仿宋_GB2312"/>
          <w:color w:val="auto"/>
          <w:sz w:val="28"/>
          <w:szCs w:val="28"/>
        </w:rPr>
        <w:t>。</w:t>
      </w:r>
    </w:p>
    <w:p w14:paraId="1D3243C6">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outlineLvl w:val="0"/>
        <w:rPr>
          <w:rFonts w:hint="eastAsia" w:ascii="仿宋_GB2312" w:eastAsia="仿宋_GB2312"/>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val="en-US" w:eastAsia="zh-CN"/>
        </w:rPr>
        <w:t>2</w:t>
      </w:r>
      <w:r>
        <w:rPr>
          <w:rFonts w:hint="eastAsia" w:ascii="仿宋_GB2312" w:eastAsia="仿宋_GB2312"/>
          <w:color w:val="auto"/>
          <w:sz w:val="28"/>
          <w:szCs w:val="28"/>
        </w:rPr>
        <w:t>.2因甲方不接受整改意见或不予整改时，乙方无法提供监测结果的，造成的损失由甲方负责。</w:t>
      </w:r>
    </w:p>
    <w:p w14:paraId="7DF6D0B5">
      <w:pPr>
        <w:keepNext w:val="0"/>
        <w:keepLines w:val="0"/>
        <w:pageBreakBefore w:val="0"/>
        <w:widowControl w:val="0"/>
        <w:kinsoku/>
        <w:wordWrap w:val="0"/>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szCs w:val="28"/>
        </w:rPr>
      </w:pPr>
      <w:r>
        <w:rPr>
          <w:rFonts w:hint="eastAsia" w:ascii="仿宋_GB2312" w:eastAsia="仿宋_GB2312"/>
          <w:b/>
          <w:bCs/>
          <w:color w:val="auto"/>
          <w:sz w:val="28"/>
          <w:szCs w:val="28"/>
        </w:rPr>
        <w:t>第十</w:t>
      </w:r>
      <w:r>
        <w:rPr>
          <w:rFonts w:hint="eastAsia" w:ascii="仿宋_GB2312" w:eastAsia="仿宋_GB2312"/>
          <w:b/>
          <w:bCs/>
          <w:color w:val="auto"/>
          <w:sz w:val="28"/>
          <w:szCs w:val="28"/>
          <w:lang w:val="en-US" w:eastAsia="zh-CN"/>
        </w:rPr>
        <w:t>三</w:t>
      </w:r>
      <w:r>
        <w:rPr>
          <w:rFonts w:hint="eastAsia" w:ascii="仿宋_GB2312" w:eastAsia="仿宋_GB2312"/>
          <w:b/>
          <w:bCs/>
          <w:color w:val="auto"/>
          <w:sz w:val="28"/>
          <w:szCs w:val="28"/>
        </w:rPr>
        <w:t>条</w:t>
      </w:r>
      <w:r>
        <w:rPr>
          <w:rFonts w:hint="eastAsia" w:ascii="仿宋_GB2312" w:eastAsia="仿宋_GB2312"/>
          <w:color w:val="auto"/>
          <w:sz w:val="28"/>
          <w:szCs w:val="28"/>
        </w:rPr>
        <w:t>双方确定，在本合同有效期内，甲方指定</w:t>
      </w:r>
      <w:r>
        <w:rPr>
          <w:rFonts w:hint="eastAsia" w:ascii="仿宋_GB2312" w:eastAsia="仿宋_GB2312"/>
          <w:color w:val="auto"/>
          <w:sz w:val="28"/>
          <w:u w:val="single"/>
          <w:lang w:val="en-US" w:eastAsia="zh-CN"/>
        </w:rPr>
        <w:t>廖海星、</w:t>
      </w:r>
      <w:r>
        <w:rPr>
          <w:rFonts w:hint="eastAsia" w:ascii="仿宋_GB2312" w:eastAsia="仿宋_GB2312"/>
          <w:color w:val="auto"/>
          <w:sz w:val="28"/>
          <w:u w:val="none"/>
          <w:lang w:val="en-US" w:eastAsia="zh-CN"/>
        </w:rPr>
        <w:t>联系电话</w:t>
      </w:r>
      <w:r>
        <w:rPr>
          <w:rFonts w:hint="eastAsia" w:ascii="仿宋_GB2312" w:eastAsia="仿宋_GB2312"/>
          <w:color w:val="auto"/>
          <w:sz w:val="28"/>
          <w:u w:val="single"/>
          <w:lang w:val="en-US" w:eastAsia="zh-CN"/>
        </w:rPr>
        <w:t>15873871616</w:t>
      </w:r>
      <w:r>
        <w:rPr>
          <w:rFonts w:hint="eastAsia" w:ascii="仿宋_GB2312" w:eastAsia="仿宋_GB2312"/>
          <w:color w:val="auto"/>
          <w:sz w:val="28"/>
          <w:szCs w:val="28"/>
        </w:rPr>
        <w:t>为甲方项目联系人，乙方指定</w:t>
      </w:r>
      <w:r>
        <w:rPr>
          <w:rFonts w:hint="eastAsia" w:ascii="仿宋_GB2312" w:eastAsia="仿宋_GB2312"/>
          <w:color w:val="auto"/>
          <w:sz w:val="28"/>
          <w:szCs w:val="28"/>
          <w:u w:val="none"/>
          <w:lang w:val="en-US" w:eastAsia="zh-CN"/>
        </w:rPr>
        <w:t>联系电话</w:t>
      </w:r>
      <w:r>
        <w:rPr>
          <w:rFonts w:hint="eastAsia" w:ascii="仿宋_GB2312" w:eastAsia="仿宋_GB2312"/>
          <w:color w:val="auto"/>
          <w:sz w:val="28"/>
          <w:szCs w:val="28"/>
        </w:rPr>
        <w:t>为乙方项目联系人。</w:t>
      </w:r>
    </w:p>
    <w:p w14:paraId="340FD6B2">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szCs w:val="28"/>
        </w:rPr>
      </w:pPr>
      <w:r>
        <w:rPr>
          <w:rFonts w:hint="eastAsia" w:ascii="仿宋_GB2312" w:eastAsia="仿宋_GB2312"/>
          <w:b/>
          <w:bCs/>
          <w:color w:val="auto"/>
          <w:sz w:val="28"/>
          <w:szCs w:val="28"/>
        </w:rPr>
        <w:t>第十</w:t>
      </w:r>
      <w:r>
        <w:rPr>
          <w:rFonts w:hint="eastAsia" w:ascii="仿宋_GB2312" w:eastAsia="仿宋_GB2312"/>
          <w:b/>
          <w:bCs/>
          <w:color w:val="auto"/>
          <w:sz w:val="28"/>
          <w:szCs w:val="28"/>
          <w:lang w:val="en-US" w:eastAsia="zh-CN"/>
        </w:rPr>
        <w:t>四</w:t>
      </w:r>
      <w:r>
        <w:rPr>
          <w:rFonts w:hint="eastAsia" w:ascii="仿宋_GB2312" w:eastAsia="仿宋_GB2312"/>
          <w:b/>
          <w:bCs/>
          <w:color w:val="auto"/>
          <w:sz w:val="28"/>
          <w:szCs w:val="28"/>
        </w:rPr>
        <w:t>条</w:t>
      </w:r>
      <w:r>
        <w:rPr>
          <w:rFonts w:hint="eastAsia" w:ascii="仿宋_GB2312" w:eastAsia="仿宋_GB2312"/>
          <w:color w:val="auto"/>
          <w:sz w:val="28"/>
          <w:szCs w:val="28"/>
        </w:rPr>
        <w:t>双方确定，出现下列情形，致使本合同的履行成为不必要或不可能的，可以解除本合同：</w:t>
      </w:r>
    </w:p>
    <w:p w14:paraId="7BFCF2CB">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u w:val="single"/>
        </w:rPr>
      </w:pPr>
      <w:r>
        <w:rPr>
          <w:rFonts w:hint="eastAsia" w:ascii="仿宋_GB2312" w:eastAsia="仿宋_GB2312"/>
          <w:color w:val="auto"/>
          <w:sz w:val="28"/>
          <w:szCs w:val="28"/>
          <w:u w:val="none"/>
          <w:lang w:val="en-US" w:eastAsia="zh-CN"/>
        </w:rPr>
        <w:t>14.1</w:t>
      </w:r>
      <w:r>
        <w:rPr>
          <w:rFonts w:hint="eastAsia" w:ascii="仿宋_GB2312" w:eastAsia="仿宋_GB2312"/>
          <w:color w:val="auto"/>
          <w:sz w:val="28"/>
          <w:szCs w:val="28"/>
          <w:u w:val="single"/>
        </w:rPr>
        <w:t>发生不可抗力</w:t>
      </w:r>
      <w:r>
        <w:rPr>
          <w:rFonts w:hint="eastAsia" w:ascii="仿宋_GB2312" w:eastAsia="仿宋_GB2312"/>
          <w:color w:val="auto"/>
          <w:sz w:val="28"/>
          <w:szCs w:val="28"/>
        </w:rPr>
        <w:t>；</w:t>
      </w:r>
    </w:p>
    <w:p w14:paraId="7C7CD019">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lang w:val="en-US" w:eastAsia="zh-CN"/>
        </w:rPr>
        <w:t>14.</w:t>
      </w:r>
      <w:r>
        <w:rPr>
          <w:rFonts w:hint="eastAsia" w:ascii="仿宋_GB2312" w:eastAsia="仿宋_GB2312"/>
          <w:color w:val="auto"/>
          <w:sz w:val="28"/>
          <w:szCs w:val="28"/>
        </w:rPr>
        <w:t>2</w:t>
      </w:r>
      <w:r>
        <w:rPr>
          <w:rFonts w:hint="eastAsia" w:ascii="仿宋_GB2312" w:eastAsia="仿宋_GB2312"/>
          <w:color w:val="auto"/>
          <w:sz w:val="28"/>
          <w:szCs w:val="28"/>
          <w:u w:val="single"/>
        </w:rPr>
        <w:t>一方提出解除合同并经另一方同意，双方</w:t>
      </w:r>
      <w:r>
        <w:rPr>
          <w:rFonts w:hint="eastAsia" w:ascii="仿宋_GB2312" w:eastAsia="仿宋_GB2312"/>
          <w:color w:val="auto"/>
          <w:sz w:val="28"/>
          <w:szCs w:val="28"/>
          <w:u w:val="single"/>
          <w:lang w:eastAsia="zh-CN"/>
        </w:rPr>
        <w:t>签订书面</w:t>
      </w:r>
      <w:r>
        <w:rPr>
          <w:rFonts w:hint="eastAsia" w:ascii="仿宋_GB2312" w:eastAsia="仿宋_GB2312"/>
          <w:color w:val="auto"/>
          <w:sz w:val="28"/>
          <w:szCs w:val="28"/>
          <w:u w:val="single"/>
        </w:rPr>
        <w:t>解除合同协议</w:t>
      </w:r>
      <w:r>
        <w:rPr>
          <w:rFonts w:hint="eastAsia" w:ascii="仿宋_GB2312" w:eastAsia="仿宋_GB2312"/>
          <w:color w:val="auto"/>
          <w:sz w:val="28"/>
          <w:szCs w:val="28"/>
        </w:rPr>
        <w:t>。</w:t>
      </w:r>
    </w:p>
    <w:p w14:paraId="01B04FCE">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szCs w:val="28"/>
        </w:rPr>
      </w:pPr>
      <w:r>
        <w:rPr>
          <w:rFonts w:hint="eastAsia" w:ascii="仿宋_GB2312" w:eastAsia="仿宋_GB2312"/>
          <w:b/>
          <w:bCs/>
          <w:color w:val="auto"/>
          <w:sz w:val="28"/>
          <w:szCs w:val="28"/>
        </w:rPr>
        <w:t>第十</w:t>
      </w:r>
      <w:r>
        <w:rPr>
          <w:rFonts w:hint="eastAsia" w:ascii="仿宋_GB2312" w:eastAsia="仿宋_GB2312"/>
          <w:b/>
          <w:bCs/>
          <w:color w:val="auto"/>
          <w:sz w:val="28"/>
          <w:szCs w:val="28"/>
          <w:lang w:val="en-US" w:eastAsia="zh-CN"/>
        </w:rPr>
        <w:t>五</w:t>
      </w:r>
      <w:r>
        <w:rPr>
          <w:rFonts w:hint="eastAsia" w:ascii="仿宋_GB2312" w:eastAsia="仿宋_GB2312"/>
          <w:b/>
          <w:bCs/>
          <w:color w:val="auto"/>
          <w:sz w:val="28"/>
          <w:szCs w:val="28"/>
        </w:rPr>
        <w:t>条</w:t>
      </w:r>
      <w:r>
        <w:rPr>
          <w:rFonts w:hint="eastAsia" w:ascii="仿宋_GB2312" w:eastAsia="仿宋_GB2312"/>
          <w:color w:val="auto"/>
          <w:sz w:val="28"/>
          <w:szCs w:val="28"/>
        </w:rPr>
        <w:t>乙方出现以下违约情形之一的，甲方有权单方面解除合同：</w:t>
      </w:r>
    </w:p>
    <w:p w14:paraId="725E5110">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.1乙</w:t>
      </w:r>
      <w:r>
        <w:rPr>
          <w:rFonts w:hint="eastAsia" w:ascii="仿宋_GB2312" w:hAnsi="Times New Roman" w:eastAsia="仿宋_GB2312" w:cs="Times New Roman"/>
          <w:color w:val="auto"/>
          <w:sz w:val="28"/>
          <w:szCs w:val="28"/>
          <w:lang w:val="en-US" w:eastAsia="zh-CN"/>
        </w:rPr>
        <w:t>方超过10日未向甲</w:t>
      </w:r>
      <w:r>
        <w:rPr>
          <w:rFonts w:hint="eastAsia" w:ascii="仿宋_GB2312" w:eastAsia="仿宋_GB2312"/>
          <w:color w:val="auto"/>
          <w:sz w:val="28"/>
          <w:szCs w:val="28"/>
          <w:lang w:val="en-US" w:eastAsia="zh-CN"/>
        </w:rPr>
        <w:t>方交付符合本合同约定成果</w:t>
      </w:r>
      <w:r>
        <w:rPr>
          <w:rFonts w:hint="eastAsia" w:ascii="仿宋_GB2312" w:eastAsia="仿宋_GB2312"/>
          <w:color w:val="auto"/>
          <w:sz w:val="28"/>
          <w:szCs w:val="28"/>
        </w:rPr>
        <w:t>的；</w:t>
      </w:r>
    </w:p>
    <w:p w14:paraId="7FF34A09">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.2乙方将服务转包、分包给第三方；</w:t>
      </w:r>
    </w:p>
    <w:p w14:paraId="55EDC84B">
      <w:pPr>
        <w:keepNext w:val="0"/>
        <w:keepLines w:val="0"/>
        <w:pageBreakBefore w:val="0"/>
        <w:widowControl w:val="0"/>
        <w:kinsoku/>
        <w:overflowPunct/>
        <w:topLinePunct/>
        <w:autoSpaceDE/>
        <w:autoSpaceDN/>
        <w:bidi w:val="0"/>
        <w:adjustRightInd/>
        <w:snapToGrid/>
        <w:spacing w:line="480" w:lineRule="exact"/>
        <w:ind w:left="0" w:firstLine="560" w:firstLineChars="200"/>
        <w:textAlignment w:val="auto"/>
        <w:rPr>
          <w:rFonts w:ascii="仿宋_GB2312" w:eastAsia="仿宋_GB2312"/>
          <w:b/>
          <w:bCs/>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.3其他根本违约的情形。</w:t>
      </w:r>
    </w:p>
    <w:p w14:paraId="30D2C178">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szCs w:val="28"/>
        </w:rPr>
      </w:pPr>
      <w:r>
        <w:rPr>
          <w:rFonts w:hint="eastAsia" w:ascii="仿宋_GB2312" w:eastAsia="仿宋_GB2312"/>
          <w:b/>
          <w:bCs/>
          <w:color w:val="auto"/>
          <w:sz w:val="28"/>
          <w:szCs w:val="28"/>
        </w:rPr>
        <w:t>第十</w:t>
      </w:r>
      <w:r>
        <w:rPr>
          <w:rFonts w:hint="eastAsia" w:ascii="仿宋_GB2312" w:eastAsia="仿宋_GB2312"/>
          <w:b/>
          <w:bCs/>
          <w:color w:val="auto"/>
          <w:sz w:val="28"/>
          <w:szCs w:val="28"/>
          <w:lang w:val="en-US" w:eastAsia="zh-CN"/>
        </w:rPr>
        <w:t>六</w:t>
      </w:r>
      <w:r>
        <w:rPr>
          <w:rFonts w:hint="eastAsia" w:ascii="仿宋_GB2312" w:eastAsia="仿宋_GB2312"/>
          <w:b/>
          <w:bCs/>
          <w:color w:val="auto"/>
          <w:sz w:val="28"/>
          <w:szCs w:val="28"/>
        </w:rPr>
        <w:t>条</w:t>
      </w:r>
      <w:r>
        <w:rPr>
          <w:rFonts w:hint="eastAsia" w:ascii="仿宋_GB2312" w:eastAsia="仿宋_GB2312"/>
          <w:color w:val="auto"/>
          <w:sz w:val="28"/>
          <w:szCs w:val="28"/>
        </w:rPr>
        <w:t>双方因履行本合同而发生的争议，应协商、调解解决。协商、调解不成的，依法向甲方所在地有管辖权的人民法院起诉。</w:t>
      </w:r>
    </w:p>
    <w:p w14:paraId="7A2A3B40">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szCs w:val="28"/>
        </w:rPr>
      </w:pPr>
      <w:r>
        <w:rPr>
          <w:rFonts w:hint="eastAsia" w:ascii="仿宋_GB2312" w:eastAsia="仿宋_GB2312"/>
          <w:b/>
          <w:bCs/>
          <w:color w:val="auto"/>
          <w:sz w:val="28"/>
          <w:szCs w:val="28"/>
        </w:rPr>
        <w:t>第十</w:t>
      </w:r>
      <w:r>
        <w:rPr>
          <w:rFonts w:hint="eastAsia" w:ascii="仿宋_GB2312" w:eastAsia="仿宋_GB2312"/>
          <w:b/>
          <w:bCs/>
          <w:color w:val="auto"/>
          <w:sz w:val="28"/>
          <w:szCs w:val="28"/>
          <w:lang w:val="en-US" w:eastAsia="zh-CN"/>
        </w:rPr>
        <w:t>七</w:t>
      </w:r>
      <w:r>
        <w:rPr>
          <w:rFonts w:hint="eastAsia" w:ascii="仿宋_GB2312" w:eastAsia="仿宋_GB2312"/>
          <w:b/>
          <w:bCs/>
          <w:color w:val="auto"/>
          <w:sz w:val="28"/>
          <w:szCs w:val="28"/>
        </w:rPr>
        <w:t>条</w:t>
      </w:r>
      <w:r>
        <w:rPr>
          <w:rFonts w:hint="eastAsia" w:ascii="仿宋_GB2312" w:eastAsia="仿宋_GB2312"/>
          <w:color w:val="auto"/>
          <w:sz w:val="28"/>
          <w:szCs w:val="28"/>
        </w:rPr>
        <w:t>本合同组成文件和优先解释权：</w:t>
      </w:r>
      <w:r>
        <w:rPr>
          <w:rFonts w:hint="eastAsia" w:ascii="仿宋_GB2312" w:eastAsia="仿宋_GB2312"/>
          <w:color w:val="auto"/>
          <w:sz w:val="28"/>
          <w:szCs w:val="28"/>
          <w:lang w:eastAsia="zh-CN"/>
        </w:rPr>
        <w:t>乙方在履行本合同中作出的书面承诺；</w:t>
      </w:r>
      <w:r>
        <w:rPr>
          <w:rFonts w:hint="eastAsia" w:ascii="仿宋_GB2312" w:eastAsia="仿宋_GB2312"/>
          <w:color w:val="auto"/>
          <w:sz w:val="28"/>
          <w:szCs w:val="28"/>
        </w:rPr>
        <w:t>本合同补充协议；本合同及附件；</w:t>
      </w:r>
      <w:r>
        <w:rPr>
          <w:rFonts w:hint="eastAsia" w:ascii="仿宋_GB2312" w:eastAsia="仿宋_GB2312"/>
          <w:color w:val="auto"/>
          <w:sz w:val="28"/>
          <w:szCs w:val="28"/>
          <w:lang w:eastAsia="zh-CN"/>
        </w:rPr>
        <w:t>中标通知书</w:t>
      </w:r>
      <w:r>
        <w:rPr>
          <w:rFonts w:hint="eastAsia" w:ascii="仿宋_GB2312" w:eastAsia="仿宋_GB2312"/>
          <w:color w:val="auto"/>
          <w:sz w:val="28"/>
          <w:szCs w:val="28"/>
          <w:lang w:val="en-US" w:eastAsia="zh-CN"/>
        </w:rPr>
        <w:t>/成交通知书/</w:t>
      </w:r>
      <w:r>
        <w:rPr>
          <w:rFonts w:hint="eastAsia" w:ascii="仿宋_GB2312" w:eastAsia="仿宋_GB2312"/>
          <w:color w:val="auto"/>
          <w:sz w:val="28"/>
          <w:szCs w:val="28"/>
        </w:rPr>
        <w:t>议价结果公示</w:t>
      </w:r>
      <w:r>
        <w:rPr>
          <w:rFonts w:hint="eastAsia" w:ascii="仿宋_GB2312" w:eastAsia="仿宋_GB2312"/>
          <w:color w:val="auto"/>
          <w:sz w:val="28"/>
          <w:szCs w:val="28"/>
          <w:lang w:val="en-US" w:eastAsia="zh-CN"/>
        </w:rPr>
        <w:t>/成交公告</w:t>
      </w:r>
      <w:r>
        <w:rPr>
          <w:rFonts w:hint="eastAsia" w:ascii="仿宋_GB2312" w:eastAsia="仿宋_GB2312"/>
          <w:color w:val="auto"/>
          <w:sz w:val="28"/>
          <w:szCs w:val="28"/>
        </w:rPr>
        <w:t>；</w:t>
      </w:r>
      <w:r>
        <w:rPr>
          <w:rFonts w:hint="eastAsia" w:ascii="仿宋_GB2312" w:eastAsia="仿宋_GB2312"/>
          <w:color w:val="auto"/>
          <w:sz w:val="28"/>
          <w:szCs w:val="28"/>
          <w:lang w:eastAsia="zh-CN"/>
        </w:rPr>
        <w:t>投标文件</w:t>
      </w:r>
      <w:r>
        <w:rPr>
          <w:rFonts w:hint="eastAsia" w:ascii="仿宋_GB2312" w:eastAsia="仿宋_GB2312"/>
          <w:color w:val="auto"/>
          <w:sz w:val="28"/>
          <w:szCs w:val="28"/>
          <w:lang w:val="en-US" w:eastAsia="zh-CN"/>
        </w:rPr>
        <w:t>/</w:t>
      </w:r>
      <w:r>
        <w:rPr>
          <w:rFonts w:hint="eastAsia" w:ascii="仿宋_GB2312" w:eastAsia="仿宋_GB2312"/>
          <w:color w:val="auto"/>
          <w:sz w:val="28"/>
          <w:szCs w:val="28"/>
        </w:rPr>
        <w:t>响应文件；</w:t>
      </w:r>
      <w:r>
        <w:rPr>
          <w:rFonts w:hint="eastAsia" w:ascii="仿宋_GB2312" w:eastAsia="仿宋_GB2312"/>
          <w:color w:val="auto"/>
          <w:sz w:val="28"/>
          <w:szCs w:val="28"/>
          <w:lang w:eastAsia="zh-CN"/>
        </w:rPr>
        <w:t>招标文件</w:t>
      </w:r>
      <w:r>
        <w:rPr>
          <w:rFonts w:hint="eastAsia" w:ascii="仿宋_GB2312" w:eastAsia="仿宋_GB2312"/>
          <w:color w:val="auto"/>
          <w:sz w:val="28"/>
          <w:szCs w:val="28"/>
          <w:lang w:val="en-US" w:eastAsia="zh-CN"/>
        </w:rPr>
        <w:t>/</w:t>
      </w:r>
      <w:r>
        <w:rPr>
          <w:rFonts w:hint="eastAsia" w:ascii="仿宋_GB2312" w:eastAsia="仿宋_GB2312"/>
          <w:color w:val="auto"/>
          <w:sz w:val="28"/>
          <w:szCs w:val="28"/>
        </w:rPr>
        <w:t>采购文件</w:t>
      </w:r>
      <w:r>
        <w:rPr>
          <w:rFonts w:hint="eastAsia" w:ascii="仿宋_GB2312" w:eastAsia="仿宋_GB2312"/>
          <w:color w:val="auto"/>
          <w:sz w:val="28"/>
          <w:szCs w:val="28"/>
          <w:lang w:val="en-US" w:eastAsia="zh-CN"/>
        </w:rPr>
        <w:t>/采购需求</w:t>
      </w:r>
      <w:r>
        <w:rPr>
          <w:rFonts w:hint="eastAsia" w:ascii="仿宋_GB2312" w:eastAsia="仿宋_GB2312"/>
          <w:color w:val="auto"/>
          <w:sz w:val="28"/>
          <w:szCs w:val="28"/>
        </w:rPr>
        <w:t>；其他与本合同有关的资料。</w:t>
      </w:r>
    </w:p>
    <w:p w14:paraId="1CDD5B35">
      <w:pPr>
        <w:keepNext w:val="0"/>
        <w:keepLines w:val="0"/>
        <w:pageBreakBefore w:val="0"/>
        <w:widowControl w:val="0"/>
        <w:kinsoku/>
        <w:overflowPunct/>
        <w:topLinePunct/>
        <w:autoSpaceDE/>
        <w:autoSpaceDN/>
        <w:bidi w:val="0"/>
        <w:adjustRightInd/>
        <w:snapToGrid/>
        <w:spacing w:line="480" w:lineRule="exact"/>
        <w:ind w:left="0" w:firstLine="562" w:firstLineChars="200"/>
        <w:textAlignment w:val="auto"/>
        <w:rPr>
          <w:rFonts w:hint="eastAsia" w:ascii="仿宋_GB2312" w:eastAsia="仿宋_GB2312"/>
          <w:color w:val="auto"/>
          <w:sz w:val="28"/>
          <w:szCs w:val="28"/>
        </w:rPr>
      </w:pPr>
      <w:r>
        <w:rPr>
          <w:rFonts w:hint="eastAsia" w:ascii="仿宋_GB2312" w:eastAsia="仿宋_GB2312"/>
          <w:b/>
          <w:bCs/>
          <w:color w:val="auto"/>
          <w:sz w:val="28"/>
          <w:szCs w:val="28"/>
        </w:rPr>
        <w:t>第十</w:t>
      </w:r>
      <w:r>
        <w:rPr>
          <w:rFonts w:hint="eastAsia" w:ascii="仿宋_GB2312" w:eastAsia="仿宋_GB2312"/>
          <w:b/>
          <w:bCs/>
          <w:color w:val="auto"/>
          <w:sz w:val="28"/>
          <w:szCs w:val="28"/>
          <w:lang w:val="en-US" w:eastAsia="zh-CN"/>
        </w:rPr>
        <w:t>八</w:t>
      </w:r>
      <w:r>
        <w:rPr>
          <w:rFonts w:hint="eastAsia" w:ascii="仿宋_GB2312" w:eastAsia="仿宋_GB2312"/>
          <w:b/>
          <w:bCs/>
          <w:color w:val="auto"/>
          <w:sz w:val="28"/>
          <w:szCs w:val="28"/>
        </w:rPr>
        <w:t>条</w:t>
      </w:r>
      <w:r>
        <w:rPr>
          <w:rFonts w:hint="eastAsia" w:ascii="仿宋_GB2312" w:eastAsia="仿宋_GB2312"/>
          <w:color w:val="auto"/>
          <w:sz w:val="28"/>
          <w:szCs w:val="28"/>
        </w:rPr>
        <w:t>本合同经</w:t>
      </w:r>
      <w:r>
        <w:rPr>
          <w:rFonts w:hint="eastAsia" w:ascii="仿宋_GB2312" w:eastAsia="仿宋_GB2312"/>
          <w:color w:val="auto"/>
          <w:sz w:val="28"/>
          <w:szCs w:val="28"/>
          <w:lang w:val="en-US" w:eastAsia="zh-CN"/>
        </w:rPr>
        <w:t>甲、乙</w:t>
      </w:r>
      <w:r>
        <w:rPr>
          <w:rFonts w:hint="eastAsia" w:ascii="仿宋_GB2312" w:eastAsia="仿宋_GB2312"/>
          <w:color w:val="auto"/>
          <w:sz w:val="28"/>
          <w:szCs w:val="28"/>
        </w:rPr>
        <w:t>双方签字</w:t>
      </w:r>
      <w:r>
        <w:rPr>
          <w:rFonts w:hint="eastAsia" w:ascii="仿宋_GB2312" w:eastAsia="仿宋_GB2312"/>
          <w:color w:val="auto"/>
          <w:sz w:val="28"/>
          <w:szCs w:val="28"/>
          <w:lang w:val="en-US" w:eastAsia="zh-CN"/>
        </w:rPr>
        <w:t>并</w:t>
      </w:r>
      <w:r>
        <w:rPr>
          <w:rFonts w:hint="eastAsia" w:ascii="仿宋_GB2312" w:eastAsia="仿宋_GB2312"/>
          <w:color w:val="auto"/>
          <w:sz w:val="28"/>
          <w:szCs w:val="28"/>
        </w:rPr>
        <w:t>盖章后生效。本合同一式</w:t>
      </w:r>
      <w:r>
        <w:rPr>
          <w:rFonts w:hint="eastAsia" w:ascii="仿宋_GB2312" w:eastAsia="仿宋_GB2312"/>
          <w:b/>
          <w:color w:val="auto"/>
          <w:sz w:val="28"/>
          <w:szCs w:val="28"/>
          <w:u w:val="single"/>
        </w:rPr>
        <w:t>伍</w:t>
      </w:r>
      <w:r>
        <w:rPr>
          <w:rFonts w:hint="eastAsia" w:ascii="仿宋_GB2312" w:eastAsia="仿宋_GB2312"/>
          <w:color w:val="auto"/>
          <w:sz w:val="28"/>
          <w:szCs w:val="28"/>
        </w:rPr>
        <w:t>份，具有同等法律效力。本合同甲方执叁份、乙方执贰份。</w:t>
      </w:r>
    </w:p>
    <w:p w14:paraId="1D331CB0">
      <w:pPr>
        <w:spacing w:line="480" w:lineRule="exact"/>
        <w:rPr>
          <w:rFonts w:hint="eastAsia"/>
          <w:color w:val="auto"/>
          <w:sz w:val="28"/>
        </w:rPr>
      </w:pPr>
    </w:p>
    <w:p w14:paraId="1DE4F01B">
      <w:pPr>
        <w:keepNext w:val="0"/>
        <w:keepLines w:val="0"/>
        <w:pageBreakBefore w:val="0"/>
        <w:widowControl w:val="0"/>
        <w:kinsoku/>
        <w:wordWrap/>
        <w:overflowPunct/>
        <w:topLinePunct/>
        <w:autoSpaceDE/>
        <w:autoSpaceDN/>
        <w:bidi w:val="0"/>
        <w:adjustRightInd/>
        <w:snapToGrid/>
        <w:spacing w:line="480" w:lineRule="exact"/>
        <w:ind w:left="0" w:firstLine="0" w:firstLineChars="0"/>
        <w:textAlignment w:val="auto"/>
        <w:rPr>
          <w:rFonts w:hint="default" w:ascii="仿宋_GB2312" w:hAnsi="Times New Roman" w:eastAsia="仿宋_GB2312" w:cs="Times New Roman"/>
          <w:color w:val="auto"/>
          <w:sz w:val="28"/>
          <w:szCs w:val="28"/>
          <w:lang w:val="en-US" w:eastAsia="zh-CN"/>
        </w:rPr>
      </w:pPr>
      <w:r>
        <w:rPr>
          <w:rFonts w:hint="eastAsia" w:ascii="仿宋_GB2312" w:hAnsi="Times New Roman" w:eastAsia="仿宋_GB2312" w:cs="Times New Roman"/>
          <w:color w:val="auto"/>
          <w:sz w:val="28"/>
          <w:szCs w:val="28"/>
        </w:rPr>
        <w:t>甲方（盖章）：</w:t>
      </w:r>
      <w:r>
        <w:rPr>
          <w:rFonts w:hint="eastAsia" w:ascii="仿宋_GB2312" w:hAnsi="Times New Roman" w:eastAsia="仿宋_GB2312" w:cs="Times New Roman"/>
          <w:color w:val="auto"/>
          <w:sz w:val="28"/>
          <w:szCs w:val="28"/>
          <w:lang w:eastAsia="zh-CN"/>
        </w:rPr>
        <w:t>广州医科大学附属</w:t>
      </w:r>
      <w:r>
        <w:rPr>
          <w:rFonts w:hint="eastAsia" w:ascii="仿宋_GB2312" w:hAnsi="Times New Roman" w:eastAsia="仿宋_GB2312" w:cs="Times New Roman"/>
          <w:color w:val="auto"/>
          <w:sz w:val="28"/>
          <w:szCs w:val="28"/>
        </w:rPr>
        <w:t>乙方（盖章）：</w:t>
      </w:r>
    </w:p>
    <w:p w14:paraId="2EF6AA84">
      <w:pPr>
        <w:keepNext w:val="0"/>
        <w:keepLines w:val="0"/>
        <w:pageBreakBefore w:val="0"/>
        <w:widowControl w:val="0"/>
        <w:kinsoku/>
        <w:wordWrap/>
        <w:overflowPunct/>
        <w:topLinePunct/>
        <w:autoSpaceDE/>
        <w:autoSpaceDN/>
        <w:bidi w:val="0"/>
        <w:adjustRightInd/>
        <w:snapToGrid/>
        <w:spacing w:line="480" w:lineRule="exact"/>
        <w:ind w:left="0" w:firstLine="1960" w:firstLineChars="700"/>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lang w:eastAsia="zh-CN"/>
        </w:rPr>
        <w:t>第一医院娄底医院</w:t>
      </w:r>
    </w:p>
    <w:p w14:paraId="5C99FB9B">
      <w:pPr>
        <w:keepNext w:val="0"/>
        <w:keepLines w:val="0"/>
        <w:pageBreakBefore w:val="0"/>
        <w:widowControl w:val="0"/>
        <w:kinsoku/>
        <w:wordWrap/>
        <w:overflowPunct/>
        <w:topLinePunct/>
        <w:autoSpaceDE/>
        <w:autoSpaceDN/>
        <w:bidi w:val="0"/>
        <w:adjustRightInd/>
        <w:snapToGrid/>
        <w:spacing w:line="480" w:lineRule="exact"/>
        <w:ind w:left="0" w:firstLine="0" w:firstLineChars="0"/>
        <w:textAlignment w:val="auto"/>
        <w:rPr>
          <w:rFonts w:hint="eastAsia" w:ascii="仿宋_GB2312" w:hAnsi="Times New Roman" w:eastAsia="仿宋_GB2312" w:cs="Times New Roman"/>
          <w:color w:val="auto"/>
          <w:sz w:val="28"/>
          <w:szCs w:val="28"/>
        </w:rPr>
      </w:pPr>
    </w:p>
    <w:p w14:paraId="69E08AB4">
      <w:pPr>
        <w:keepNext w:val="0"/>
        <w:keepLines w:val="0"/>
        <w:pageBreakBefore w:val="0"/>
        <w:widowControl w:val="0"/>
        <w:kinsoku/>
        <w:wordWrap/>
        <w:overflowPunct/>
        <w:topLinePunct/>
        <w:autoSpaceDE/>
        <w:autoSpaceDN/>
        <w:bidi w:val="0"/>
        <w:adjustRightInd/>
        <w:snapToGrid/>
        <w:spacing w:line="480" w:lineRule="exact"/>
        <w:ind w:left="0" w:firstLine="0" w:firstLineChars="0"/>
        <w:textAlignment w:val="auto"/>
        <w:rPr>
          <w:rFonts w:hint="eastAsia" w:ascii="仿宋_GB2312" w:hAnsi="Times New Roman" w:eastAsia="仿宋_GB2312" w:cs="Times New Roman"/>
          <w:color w:val="auto"/>
          <w:sz w:val="28"/>
          <w:szCs w:val="28"/>
          <w:lang w:eastAsia="zh-CN"/>
        </w:rPr>
      </w:pPr>
      <w:r>
        <w:rPr>
          <w:rFonts w:hint="eastAsia" w:ascii="仿宋_GB2312" w:hAnsi="Times New Roman" w:eastAsia="仿宋_GB2312" w:cs="Times New Roman"/>
          <w:color w:val="auto"/>
          <w:sz w:val="28"/>
          <w:szCs w:val="28"/>
        </w:rPr>
        <w:t>法定代表人（签字）：法定代表人（签字）：</w:t>
      </w:r>
    </w:p>
    <w:p w14:paraId="1377463A">
      <w:pPr>
        <w:keepNext w:val="0"/>
        <w:keepLines w:val="0"/>
        <w:pageBreakBefore w:val="0"/>
        <w:widowControl w:val="0"/>
        <w:kinsoku/>
        <w:wordWrap/>
        <w:overflowPunct/>
        <w:topLinePunct/>
        <w:autoSpaceDE/>
        <w:autoSpaceDN/>
        <w:bidi w:val="0"/>
        <w:adjustRightInd/>
        <w:snapToGrid/>
        <w:spacing w:line="480" w:lineRule="exact"/>
        <w:ind w:left="0" w:firstLine="0" w:firstLineChars="0"/>
        <w:textAlignment w:val="auto"/>
        <w:rPr>
          <w:rFonts w:hint="eastAsia" w:ascii="仿宋_GB2312" w:hAnsi="Times New Roman" w:eastAsia="仿宋_GB2312" w:cs="Times New Roman"/>
          <w:color w:val="auto"/>
          <w:sz w:val="28"/>
          <w:szCs w:val="28"/>
        </w:rPr>
      </w:pPr>
    </w:p>
    <w:p w14:paraId="4C4B90AA">
      <w:pPr>
        <w:keepNext w:val="0"/>
        <w:keepLines w:val="0"/>
        <w:pageBreakBefore w:val="0"/>
        <w:widowControl w:val="0"/>
        <w:kinsoku/>
        <w:wordWrap/>
        <w:overflowPunct/>
        <w:topLinePunct/>
        <w:autoSpaceDE/>
        <w:autoSpaceDN/>
        <w:bidi w:val="0"/>
        <w:adjustRightInd/>
        <w:snapToGrid/>
        <w:spacing w:line="480" w:lineRule="exact"/>
        <w:ind w:left="0" w:firstLine="0" w:firstLineChars="0"/>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或委托代理人（签字）：或委托代理人（签字）：</w:t>
      </w:r>
    </w:p>
    <w:p w14:paraId="21D98835">
      <w:pPr>
        <w:keepNext w:val="0"/>
        <w:keepLines w:val="0"/>
        <w:pageBreakBefore w:val="0"/>
        <w:widowControl w:val="0"/>
        <w:kinsoku/>
        <w:wordWrap/>
        <w:overflowPunct/>
        <w:topLinePunct/>
        <w:autoSpaceDE/>
        <w:autoSpaceDN/>
        <w:bidi w:val="0"/>
        <w:adjustRightInd/>
        <w:snapToGrid/>
        <w:spacing w:line="480" w:lineRule="exact"/>
        <w:ind w:left="0" w:firstLine="0" w:firstLineChars="0"/>
        <w:textAlignment w:val="auto"/>
        <w:rPr>
          <w:rFonts w:hint="eastAsia" w:ascii="仿宋_GB2312" w:hAnsi="Times New Roman" w:eastAsia="仿宋_GB2312" w:cs="Times New Roman"/>
          <w:color w:val="auto"/>
          <w:sz w:val="28"/>
          <w:szCs w:val="28"/>
        </w:rPr>
      </w:pPr>
    </w:p>
    <w:p w14:paraId="27FE3EA2">
      <w:pPr>
        <w:keepNext w:val="0"/>
        <w:keepLines w:val="0"/>
        <w:pageBreakBefore w:val="0"/>
        <w:widowControl w:val="0"/>
        <w:kinsoku/>
        <w:wordWrap/>
        <w:overflowPunct/>
        <w:topLinePunct/>
        <w:autoSpaceDE/>
        <w:autoSpaceDN/>
        <w:bidi w:val="0"/>
        <w:adjustRightInd/>
        <w:snapToGrid/>
        <w:spacing w:line="480" w:lineRule="exact"/>
        <w:ind w:left="0" w:firstLine="0" w:firstLineChars="0"/>
        <w:textAlignment w:val="auto"/>
        <w:rPr>
          <w:rFonts w:hint="default" w:ascii="仿宋_GB2312" w:hAnsi="Times New Roman" w:eastAsia="仿宋_GB2312" w:cs="Times New Roman"/>
          <w:color w:val="auto"/>
          <w:sz w:val="28"/>
          <w:szCs w:val="28"/>
          <w:lang w:val="en-US" w:eastAsia="zh-CN"/>
        </w:rPr>
      </w:pPr>
      <w:r>
        <w:rPr>
          <w:rFonts w:hint="eastAsia" w:ascii="仿宋_GB2312" w:hAnsi="Times New Roman" w:eastAsia="仿宋_GB2312" w:cs="Times New Roman"/>
          <w:color w:val="auto"/>
          <w:sz w:val="28"/>
          <w:szCs w:val="28"/>
        </w:rPr>
        <w:t>合同签订地履行地：娄底市娄星区签订时间：年月日</w:t>
      </w:r>
    </w:p>
    <w:p w14:paraId="7C3B6AC6">
      <w:pPr>
        <w:rPr>
          <w:rFonts w:hint="eastAsia" w:ascii="仿宋" w:hAnsi="仿宋" w:eastAsia="仿宋" w:cs="仿宋"/>
          <w:color w:val="auto"/>
          <w:sz w:val="30"/>
          <w:szCs w:val="30"/>
        </w:rPr>
      </w:pPr>
      <w:r>
        <w:rPr>
          <w:rFonts w:hint="eastAsia" w:ascii="仿宋" w:hAnsi="仿宋" w:eastAsia="仿宋" w:cs="仿宋"/>
          <w:color w:val="auto"/>
          <w:sz w:val="30"/>
          <w:szCs w:val="30"/>
        </w:rPr>
        <w:br w:type="page"/>
      </w:r>
    </w:p>
    <w:p w14:paraId="2CA87A98">
      <w:pPr>
        <w:rPr>
          <w:rFonts w:hint="eastAsia" w:ascii="仿宋" w:hAnsi="仿宋" w:eastAsia="仿宋" w:cs="仿宋"/>
          <w:color w:val="auto"/>
          <w:sz w:val="30"/>
          <w:szCs w:val="30"/>
        </w:rPr>
      </w:pPr>
    </w:p>
    <w:p w14:paraId="5990C00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仿宋" w:hAnsi="仿宋" w:eastAsia="仿宋" w:cs="仿宋"/>
          <w:color w:val="auto"/>
          <w:sz w:val="30"/>
          <w:szCs w:val="30"/>
        </w:rPr>
      </w:pPr>
      <w:r>
        <w:rPr>
          <w:rFonts w:hint="eastAsia" w:ascii="仿宋" w:hAnsi="仿宋" w:eastAsia="仿宋" w:cs="仿宋"/>
          <w:color w:val="auto"/>
          <w:sz w:val="30"/>
          <w:szCs w:val="30"/>
        </w:rPr>
        <w:t>第</w:t>
      </w:r>
      <w:r>
        <w:rPr>
          <w:rFonts w:hint="eastAsia" w:ascii="仿宋" w:hAnsi="仿宋" w:eastAsia="仿宋" w:cs="仿宋"/>
          <w:color w:val="auto"/>
          <w:sz w:val="30"/>
          <w:szCs w:val="30"/>
          <w:lang w:val="en-US" w:eastAsia="zh-CN"/>
        </w:rPr>
        <w:t>五</w:t>
      </w:r>
      <w:r>
        <w:rPr>
          <w:rFonts w:hint="eastAsia" w:ascii="仿宋" w:hAnsi="仿宋" w:eastAsia="仿宋" w:cs="仿宋"/>
          <w:color w:val="auto"/>
          <w:sz w:val="30"/>
          <w:szCs w:val="30"/>
        </w:rPr>
        <w:t>章评标办法</w:t>
      </w:r>
    </w:p>
    <w:p w14:paraId="0FAFDA76">
      <w:pPr>
        <w:pStyle w:val="19"/>
        <w:keepNext w:val="0"/>
        <w:keepLines w:val="0"/>
        <w:pageBreakBefore w:val="0"/>
        <w:kinsoku/>
        <w:wordWrap/>
        <w:topLinePunct w:val="0"/>
        <w:autoSpaceDE/>
        <w:autoSpaceDN/>
        <w:bidi w:val="0"/>
        <w:snapToGrid/>
        <w:spacing w:line="360" w:lineRule="auto"/>
        <w:ind w:left="0" w:leftChars="0" w:firstLine="620" w:firstLineChars="200"/>
        <w:rPr>
          <w:rFonts w:hint="eastAsia" w:ascii="仿宋" w:hAnsi="仿宋" w:eastAsia="仿宋" w:cs="仿宋"/>
          <w:color w:val="auto"/>
          <w:spacing w:val="15"/>
          <w:kern w:val="0"/>
          <w:sz w:val="28"/>
          <w:szCs w:val="28"/>
        </w:rPr>
      </w:pPr>
    </w:p>
    <w:p w14:paraId="6CA5C414">
      <w:pPr>
        <w:pStyle w:val="34"/>
        <w:keepNext w:val="0"/>
        <w:keepLines w:val="0"/>
        <w:pageBreakBefore w:val="0"/>
        <w:widowControl/>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本项目评标办法为综合评估法。评审委员会根据评分情况，向招标人推荐中标候选人。</w:t>
      </w:r>
    </w:p>
    <w:p w14:paraId="3444E59C">
      <w:pPr>
        <w:pStyle w:val="34"/>
        <w:keepNext w:val="0"/>
        <w:keepLines w:val="0"/>
        <w:pageBreakBefore w:val="0"/>
        <w:widowControl/>
        <w:kinsoku/>
        <w:wordWrap/>
        <w:overflowPunct/>
        <w:topLinePunct w:val="0"/>
        <w:autoSpaceDE/>
        <w:autoSpaceDN/>
        <w:bidi w:val="0"/>
        <w:adjustRightInd/>
        <w:snapToGrid/>
        <w:spacing w:after="0" w:line="360" w:lineRule="auto"/>
        <w:ind w:firstLine="562" w:firstLineChars="200"/>
        <w:textAlignment w:val="auto"/>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一、投标文件的资格及符合性检查</w:t>
      </w:r>
    </w:p>
    <w:p w14:paraId="5610C37A">
      <w:pPr>
        <w:pStyle w:val="34"/>
        <w:keepNext w:val="0"/>
        <w:keepLines w:val="0"/>
        <w:pageBreakBefore w:val="0"/>
        <w:widowControl/>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1、检查投标文件资格证明材料是否齐全、投标文件是否完整、签字盖章是否符合招标文件规定、有无计算上的错误。</w:t>
      </w:r>
    </w:p>
    <w:p w14:paraId="3A6775CA">
      <w:pPr>
        <w:pStyle w:val="34"/>
        <w:keepNext w:val="0"/>
        <w:keepLines w:val="0"/>
        <w:pageBreakBefore w:val="0"/>
        <w:widowControl/>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2、同一数值的表达不一致时，以文字表达为准。投标人不接受对其错误的修正，其参选将被拒绝。</w:t>
      </w:r>
    </w:p>
    <w:p w14:paraId="49C4C715">
      <w:pPr>
        <w:pStyle w:val="34"/>
        <w:keepNext w:val="0"/>
        <w:keepLines w:val="0"/>
        <w:pageBreakBefore w:val="0"/>
        <w:widowControl/>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3、对于投标文件中不构成实质性偏差的不正规、不一致、或不规则，招标人可以接受，但这种接受将影响投标人的综合得分。</w:t>
      </w:r>
    </w:p>
    <w:p w14:paraId="21375C60">
      <w:pPr>
        <w:pStyle w:val="34"/>
        <w:keepNext w:val="0"/>
        <w:keepLines w:val="0"/>
        <w:pageBreakBefore w:val="0"/>
        <w:widowControl/>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4、在详细评审前，评审委员会审查每份投标文件是否实质上响应招标文件的要求。</w:t>
      </w:r>
    </w:p>
    <w:p w14:paraId="5C7D00D7">
      <w:pPr>
        <w:pStyle w:val="34"/>
        <w:keepNext w:val="0"/>
        <w:keepLines w:val="0"/>
        <w:pageBreakBefore w:val="0"/>
        <w:widowControl/>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5、实质上没有响应招标文件要求的投标文件将被拒绝。</w:t>
      </w:r>
    </w:p>
    <w:p w14:paraId="0BC19CE0">
      <w:pPr>
        <w:pStyle w:val="34"/>
        <w:keepNext w:val="0"/>
        <w:keepLines w:val="0"/>
        <w:pageBreakBefore w:val="0"/>
        <w:widowControl/>
        <w:kinsoku/>
        <w:wordWrap/>
        <w:overflowPunct/>
        <w:topLinePunct w:val="0"/>
        <w:autoSpaceDE/>
        <w:autoSpaceDN/>
        <w:bidi w:val="0"/>
        <w:adjustRightInd/>
        <w:snapToGrid/>
        <w:spacing w:after="0" w:line="360" w:lineRule="auto"/>
        <w:ind w:firstLine="562" w:firstLineChars="200"/>
        <w:textAlignment w:val="auto"/>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二、投标文件的详细评审</w:t>
      </w:r>
    </w:p>
    <w:p w14:paraId="0CEF63C4">
      <w:pPr>
        <w:pStyle w:val="34"/>
        <w:keepNext w:val="0"/>
        <w:keepLines w:val="0"/>
        <w:pageBreakBefore w:val="0"/>
        <w:widowControl/>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1、评审委员会将只对实质上响应招标文件要求的参选进行详细评审。</w:t>
      </w:r>
    </w:p>
    <w:p w14:paraId="020C4225">
      <w:pPr>
        <w:pStyle w:val="34"/>
        <w:keepNext w:val="0"/>
        <w:keepLines w:val="0"/>
        <w:pageBreakBefore w:val="0"/>
        <w:widowControl/>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2、详细评审按《评审因素和标准》确定的标准进行综合评分并作出排序，得分最高的投标人将被确认为第一中标候选人，依此类推。得分相同的，按投标报价由低到高顺序排列；得分且投标报价相同的，按技术能力评审得分由高到低顺序排列。</w:t>
      </w:r>
    </w:p>
    <w:p w14:paraId="72C28152">
      <w:pPr>
        <w:pStyle w:val="34"/>
        <w:keepNext w:val="0"/>
        <w:keepLines w:val="0"/>
        <w:pageBreakBefore w:val="0"/>
        <w:widowControl/>
        <w:kinsoku/>
        <w:wordWrap/>
        <w:overflowPunct/>
        <w:topLinePunct w:val="0"/>
        <w:autoSpaceDE/>
        <w:autoSpaceDN/>
        <w:bidi w:val="0"/>
        <w:adjustRightInd/>
        <w:snapToGrid/>
        <w:spacing w:after="0" w:line="360" w:lineRule="auto"/>
        <w:ind w:firstLine="560" w:firstLineChars="200"/>
        <w:textAlignment w:val="auto"/>
        <w:rPr>
          <w:rFonts w:hint="default"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3、评分标准具体详见附件《评审因素和标准》。</w:t>
      </w:r>
    </w:p>
    <w:p w14:paraId="4D96543E">
      <w:pPr>
        <w:rPr>
          <w:rFonts w:hint="eastAsia" w:ascii="仿宋" w:hAnsi="仿宋" w:eastAsia="仿宋" w:cs="仿宋"/>
          <w:b/>
          <w:bCs/>
          <w:color w:val="auto"/>
          <w:sz w:val="30"/>
          <w:szCs w:val="30"/>
        </w:rPr>
      </w:pPr>
      <w:r>
        <w:rPr>
          <w:rFonts w:hint="eastAsia" w:ascii="仿宋" w:hAnsi="仿宋" w:eastAsia="仿宋" w:cs="仿宋"/>
          <w:b/>
          <w:bCs/>
          <w:color w:val="auto"/>
          <w:sz w:val="30"/>
          <w:szCs w:val="30"/>
        </w:rPr>
        <w:br w:type="page"/>
      </w:r>
    </w:p>
    <w:p w14:paraId="5161DD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仿宋" w:hAnsi="仿宋" w:eastAsia="仿宋" w:cs="仿宋"/>
          <w:color w:val="auto"/>
          <w:sz w:val="30"/>
          <w:szCs w:val="30"/>
        </w:rPr>
      </w:pPr>
      <w:r>
        <w:rPr>
          <w:rFonts w:hint="eastAsia" w:ascii="仿宋" w:hAnsi="仿宋" w:eastAsia="仿宋" w:cs="仿宋"/>
          <w:b/>
          <w:bCs/>
          <w:color w:val="auto"/>
          <w:sz w:val="30"/>
          <w:szCs w:val="30"/>
        </w:rPr>
        <w:t>评审因素和标准</w:t>
      </w:r>
    </w:p>
    <w:tbl>
      <w:tblPr>
        <w:tblStyle w:val="20"/>
        <w:tblW w:w="878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45" w:type="dxa"/>
          <w:left w:w="96" w:type="dxa"/>
          <w:bottom w:w="45" w:type="dxa"/>
          <w:right w:w="96" w:type="dxa"/>
        </w:tblCellMar>
      </w:tblPr>
      <w:tblGrid>
        <w:gridCol w:w="1697"/>
        <w:gridCol w:w="1860"/>
        <w:gridCol w:w="4494"/>
        <w:gridCol w:w="732"/>
      </w:tblGrid>
      <w:tr w14:paraId="691063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tblHeader/>
          <w:jc w:val="center"/>
        </w:trPr>
        <w:tc>
          <w:tcPr>
            <w:tcW w:w="1697" w:type="dxa"/>
            <w:tcBorders>
              <w:tl2br w:val="nil"/>
              <w:tr2bl w:val="nil"/>
            </w:tcBorders>
            <w:noWrap w:val="0"/>
            <w:vAlign w:val="center"/>
          </w:tcPr>
          <w:p w14:paraId="60DD901E">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b/>
                <w:color w:val="auto"/>
                <w:sz w:val="24"/>
                <w:szCs w:val="24"/>
                <w:lang w:eastAsia="zh-CN"/>
              </w:rPr>
            </w:pPr>
            <w:r>
              <w:rPr>
                <w:rFonts w:hint="eastAsia" w:ascii="仿宋" w:hAnsi="仿宋" w:eastAsia="仿宋" w:cs="仿宋"/>
                <w:b/>
                <w:bCs/>
                <w:color w:val="auto"/>
                <w:sz w:val="24"/>
                <w:szCs w:val="24"/>
                <w:lang w:eastAsia="zh-CN"/>
              </w:rPr>
              <w:t>评审因素</w:t>
            </w:r>
          </w:p>
        </w:tc>
        <w:tc>
          <w:tcPr>
            <w:tcW w:w="1860" w:type="dxa"/>
            <w:tcBorders>
              <w:tl2br w:val="nil"/>
              <w:tr2bl w:val="nil"/>
            </w:tcBorders>
            <w:noWrap w:val="0"/>
            <w:vAlign w:val="center"/>
          </w:tcPr>
          <w:p w14:paraId="31B62BD3">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评审项目</w:t>
            </w:r>
          </w:p>
        </w:tc>
        <w:tc>
          <w:tcPr>
            <w:tcW w:w="4494" w:type="dxa"/>
            <w:tcBorders>
              <w:tl2br w:val="nil"/>
              <w:tr2bl w:val="nil"/>
            </w:tcBorders>
            <w:noWrap w:val="0"/>
            <w:vAlign w:val="center"/>
          </w:tcPr>
          <w:p w14:paraId="4683F540">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b/>
                <w:color w:val="auto"/>
                <w:sz w:val="24"/>
                <w:szCs w:val="24"/>
                <w:lang w:eastAsia="zh-CN"/>
              </w:rPr>
            </w:pPr>
            <w:r>
              <w:rPr>
                <w:rFonts w:hint="eastAsia" w:ascii="仿宋" w:hAnsi="仿宋" w:eastAsia="仿宋" w:cs="仿宋"/>
                <w:b/>
                <w:bCs/>
                <w:color w:val="auto"/>
                <w:sz w:val="24"/>
                <w:szCs w:val="24"/>
                <w:lang w:eastAsia="zh-CN"/>
              </w:rPr>
              <w:t>评分标准</w:t>
            </w:r>
          </w:p>
        </w:tc>
        <w:tc>
          <w:tcPr>
            <w:tcW w:w="732" w:type="dxa"/>
            <w:tcBorders>
              <w:tl2br w:val="nil"/>
              <w:tr2bl w:val="nil"/>
            </w:tcBorders>
            <w:noWrap w:val="0"/>
            <w:vAlign w:val="center"/>
          </w:tcPr>
          <w:p w14:paraId="605E63AD">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val="en-US" w:eastAsia="zh-CN"/>
              </w:rPr>
              <w:t>分值</w:t>
            </w:r>
          </w:p>
        </w:tc>
      </w:tr>
      <w:tr w14:paraId="386B63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1697" w:type="dxa"/>
            <w:tcBorders>
              <w:tl2br w:val="nil"/>
              <w:tr2bl w:val="nil"/>
            </w:tcBorders>
            <w:noWrap w:val="0"/>
            <w:vAlign w:val="center"/>
          </w:tcPr>
          <w:p w14:paraId="1C6733E9">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价格</w:t>
            </w:r>
          </w:p>
          <w:p w14:paraId="22F93519">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20分</w:t>
            </w:r>
            <w:r>
              <w:rPr>
                <w:rFonts w:hint="eastAsia" w:ascii="仿宋" w:hAnsi="仿宋" w:eastAsia="仿宋" w:cs="仿宋"/>
                <w:color w:val="auto"/>
                <w:sz w:val="24"/>
                <w:szCs w:val="24"/>
                <w:highlight w:val="none"/>
                <w:lang w:eastAsia="zh-CN"/>
              </w:rPr>
              <w:t>）</w:t>
            </w:r>
          </w:p>
        </w:tc>
        <w:tc>
          <w:tcPr>
            <w:tcW w:w="1860" w:type="dxa"/>
            <w:tcBorders>
              <w:tl2br w:val="nil"/>
              <w:tr2bl w:val="nil"/>
            </w:tcBorders>
            <w:noWrap w:val="0"/>
            <w:vAlign w:val="center"/>
          </w:tcPr>
          <w:p w14:paraId="2963AF3E">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bidi="ar-SA"/>
              </w:rPr>
              <w:t>投标报价</w:t>
            </w:r>
          </w:p>
        </w:tc>
        <w:tc>
          <w:tcPr>
            <w:tcW w:w="4494" w:type="dxa"/>
            <w:tcBorders>
              <w:tl2br w:val="nil"/>
              <w:tr2bl w:val="nil"/>
            </w:tcBorders>
            <w:noWrap w:val="0"/>
            <w:vAlign w:val="center"/>
          </w:tcPr>
          <w:p w14:paraId="0008373F">
            <w:pPr>
              <w:pStyle w:val="12"/>
              <w:keepNext w:val="0"/>
              <w:keepLines w:val="0"/>
              <w:pageBreakBefore w:val="0"/>
              <w:widowControl w:val="0"/>
              <w:kinsoku/>
              <w:wordWrap/>
              <w:overflowPunct/>
              <w:topLinePunct w:val="0"/>
              <w:autoSpaceDE/>
              <w:autoSpaceDN/>
              <w:bidi w:val="0"/>
              <w:adjustRightInd w:val="0"/>
              <w:snapToGrid w:val="0"/>
              <w:spacing w:after="0" w:line="240" w:lineRule="auto"/>
              <w:ind w:right="105" w:rightChars="5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以经评标委员会一致认为满足招标文件要求且经评审后的最低投标报价为评标基准价，</w:t>
            </w:r>
            <w:r>
              <w:rPr>
                <w:rFonts w:hint="eastAsia" w:ascii="仿宋" w:hAnsi="仿宋" w:eastAsia="仿宋" w:cs="仿宋"/>
                <w:color w:val="auto"/>
                <w:sz w:val="24"/>
                <w:szCs w:val="24"/>
              </w:rPr>
              <w:t>其价格分为满分</w:t>
            </w:r>
            <w:r>
              <w:rPr>
                <w:rFonts w:hint="eastAsia" w:ascii="仿宋" w:hAnsi="仿宋" w:eastAsia="仿宋" w:cs="仿宋"/>
                <w:color w:val="auto"/>
                <w:sz w:val="24"/>
                <w:szCs w:val="24"/>
                <w:lang w:eastAsia="zh-CN"/>
              </w:rPr>
              <w:t>。</w:t>
            </w:r>
            <w:r>
              <w:rPr>
                <w:rFonts w:hint="eastAsia" w:ascii="仿宋" w:hAnsi="仿宋" w:eastAsia="仿宋" w:cs="仿宋"/>
                <w:color w:val="auto"/>
                <w:kern w:val="2"/>
                <w:sz w:val="24"/>
                <w:szCs w:val="24"/>
                <w:highlight w:val="none"/>
                <w:lang w:val="en-US" w:eastAsia="zh-CN" w:bidi="ar-SA"/>
              </w:rPr>
              <w:t>其他投标人的价格得分统一按公式计算：报价得分＝（评标基准价÷投标报价）×投标报价权重。</w:t>
            </w:r>
          </w:p>
          <w:p w14:paraId="6DA3FE28">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kern w:val="2"/>
                <w:sz w:val="24"/>
                <w:szCs w:val="24"/>
                <w:highlight w:val="none"/>
                <w:lang w:val="en-US" w:eastAsia="zh-CN" w:bidi="ar-SA"/>
              </w:rPr>
              <w:t>注</w:t>
            </w:r>
            <w:r>
              <w:rPr>
                <w:rFonts w:hint="eastAsia" w:ascii="仿宋" w:hAnsi="仿宋" w:eastAsia="仿宋" w:cs="仿宋"/>
                <w:color w:val="auto"/>
                <w:sz w:val="24"/>
                <w:szCs w:val="24"/>
                <w:lang w:val="en-US" w:eastAsia="zh-CN"/>
              </w:rPr>
              <w:t>：评标委员会认为投标人的报价明显低于其他投标人的报价，有可能影响产品质量或者不能诚信履约的，有权要求其在评标现场合理的时间内提供书面说明，必要时提交相关证明材料；投标人不能证明其报价合理性的，评标委员会可将其作为无效投标处理。</w:t>
            </w:r>
          </w:p>
        </w:tc>
        <w:tc>
          <w:tcPr>
            <w:tcW w:w="732" w:type="dxa"/>
            <w:tcBorders>
              <w:tl2br w:val="nil"/>
              <w:tr2bl w:val="nil"/>
            </w:tcBorders>
            <w:noWrap w:val="0"/>
            <w:vAlign w:val="center"/>
          </w:tcPr>
          <w:p w14:paraId="679D73F5">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20</w:t>
            </w:r>
          </w:p>
        </w:tc>
      </w:tr>
      <w:tr w14:paraId="770F6B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1697" w:type="dxa"/>
            <w:vMerge w:val="restart"/>
            <w:tcBorders>
              <w:tl2br w:val="nil"/>
              <w:tr2bl w:val="nil"/>
            </w:tcBorders>
            <w:noWrap w:val="0"/>
            <w:vAlign w:val="center"/>
          </w:tcPr>
          <w:p w14:paraId="7F609645">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商务</w:t>
            </w:r>
          </w:p>
          <w:p w14:paraId="2CA733D1">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40</w:t>
            </w:r>
            <w:r>
              <w:rPr>
                <w:rFonts w:hint="eastAsia" w:ascii="仿宋" w:hAnsi="仿宋" w:eastAsia="仿宋" w:cs="仿宋"/>
                <w:color w:val="auto"/>
                <w:sz w:val="24"/>
                <w:szCs w:val="24"/>
                <w:highlight w:val="none"/>
              </w:rPr>
              <w:t>分）</w:t>
            </w:r>
          </w:p>
        </w:tc>
        <w:tc>
          <w:tcPr>
            <w:tcW w:w="1860" w:type="dxa"/>
            <w:tcBorders>
              <w:tl2br w:val="nil"/>
              <w:tr2bl w:val="nil"/>
            </w:tcBorders>
            <w:noWrap w:val="0"/>
            <w:vAlign w:val="center"/>
          </w:tcPr>
          <w:p w14:paraId="10144747">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类似业绩</w:t>
            </w:r>
          </w:p>
        </w:tc>
        <w:tc>
          <w:tcPr>
            <w:tcW w:w="4494" w:type="dxa"/>
            <w:tcBorders>
              <w:tl2br w:val="nil"/>
              <w:tr2bl w:val="nil"/>
            </w:tcBorders>
            <w:noWrap w:val="0"/>
            <w:vAlign w:val="center"/>
          </w:tcPr>
          <w:p w14:paraId="4DA281EC">
            <w:pPr>
              <w:keepNext w:val="0"/>
              <w:keepLines w:val="0"/>
              <w:pageBreakBefore w:val="0"/>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lang w:val="en-US" w:eastAsia="zh-CN"/>
              </w:rPr>
              <w:t>投标单位自2023年1月1日以来的类似业绩，合同内容具有环评、验收或预评、控评其中至少两项目内容的，每个计3分；最高计12分。（须提供合同复印件否则不计分。）</w:t>
            </w:r>
          </w:p>
        </w:tc>
        <w:tc>
          <w:tcPr>
            <w:tcW w:w="732" w:type="dxa"/>
            <w:tcBorders>
              <w:tl2br w:val="nil"/>
              <w:tr2bl w:val="nil"/>
            </w:tcBorders>
            <w:noWrap w:val="0"/>
            <w:vAlign w:val="center"/>
          </w:tcPr>
          <w:p w14:paraId="357D9B0C">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12</w:t>
            </w:r>
          </w:p>
        </w:tc>
      </w:tr>
      <w:tr w14:paraId="0C6C1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1697" w:type="dxa"/>
            <w:vMerge w:val="continue"/>
            <w:tcBorders>
              <w:tl2br w:val="nil"/>
              <w:tr2bl w:val="nil"/>
            </w:tcBorders>
            <w:noWrap w:val="0"/>
            <w:vAlign w:val="center"/>
          </w:tcPr>
          <w:p w14:paraId="4CAABCDC">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rPr>
            </w:pPr>
          </w:p>
        </w:tc>
        <w:tc>
          <w:tcPr>
            <w:tcW w:w="1860" w:type="dxa"/>
            <w:tcBorders>
              <w:tl2br w:val="nil"/>
              <w:tr2bl w:val="nil"/>
            </w:tcBorders>
            <w:noWrap w:val="0"/>
            <w:vAlign w:val="center"/>
          </w:tcPr>
          <w:p w14:paraId="069F1410">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lang w:val="en-US" w:eastAsia="zh-CN"/>
              </w:rPr>
              <w:t>人员实力</w:t>
            </w:r>
          </w:p>
        </w:tc>
        <w:tc>
          <w:tcPr>
            <w:tcW w:w="4494" w:type="dxa"/>
            <w:tcBorders>
              <w:tl2br w:val="nil"/>
              <w:tr2bl w:val="nil"/>
            </w:tcBorders>
            <w:noWrap w:val="0"/>
            <w:vAlign w:val="center"/>
          </w:tcPr>
          <w:p w14:paraId="25DFD441">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1、拟任项目负责人资质：（本项最高计10分）</w:t>
            </w:r>
          </w:p>
          <w:p w14:paraId="1955822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（1）具备环保高级职称计分3分、具备环保中级职称计1分。</w:t>
            </w:r>
          </w:p>
          <w:p w14:paraId="2D9A3CE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（2）具备注册环评工程师资格证书计3分，无则不得分。</w:t>
            </w:r>
          </w:p>
          <w:p w14:paraId="1803D10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（3）具备注册核安全工程师计4分，无则不得分。</w:t>
            </w:r>
          </w:p>
          <w:p w14:paraId="60A897F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2.本项目参与人员资质：（同一人员有多个证书的不重复计分，本项最高计12分）</w:t>
            </w:r>
          </w:p>
          <w:p w14:paraId="2E282C7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（1）具备注册环评工程师资格证书的，每个计2分，满分6分。</w:t>
            </w:r>
          </w:p>
          <w:p w14:paraId="6AD1386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（2）具备环保类高级职称计3分，中级计1.5分，无则不得分，最多计3分</w:t>
            </w:r>
          </w:p>
          <w:p w14:paraId="6D0EA16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（3）具备放射卫生检测与评价技术培训考核合格证的，每个计1.5分，满分3分。</w:t>
            </w:r>
          </w:p>
          <w:p w14:paraId="562C197D">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需提供相关证书复印件、环境影响评价信用平台（http://114.251.10.92:8080/XYPT/）环评工程师信息截图。项目负责人及项目参与人员成员须为本单位为其缴纳社保上人员提供近半年来任意连续3个月的社保证明材料复印件，不按要求提供材料佐证不得分）</w:t>
            </w:r>
          </w:p>
        </w:tc>
        <w:tc>
          <w:tcPr>
            <w:tcW w:w="732" w:type="dxa"/>
            <w:tcBorders>
              <w:tl2br w:val="nil"/>
              <w:tr2bl w:val="nil"/>
            </w:tcBorders>
            <w:noWrap w:val="0"/>
            <w:vAlign w:val="center"/>
          </w:tcPr>
          <w:p w14:paraId="0A689B70">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22</w:t>
            </w:r>
          </w:p>
        </w:tc>
      </w:tr>
      <w:tr w14:paraId="2786C4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1697" w:type="dxa"/>
            <w:vMerge w:val="continue"/>
            <w:tcBorders>
              <w:tl2br w:val="nil"/>
              <w:tr2bl w:val="nil"/>
            </w:tcBorders>
            <w:noWrap w:val="0"/>
            <w:vAlign w:val="center"/>
          </w:tcPr>
          <w:p w14:paraId="79C0BCFA">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rPr>
            </w:pPr>
          </w:p>
        </w:tc>
        <w:tc>
          <w:tcPr>
            <w:tcW w:w="1860" w:type="dxa"/>
            <w:tcBorders>
              <w:tl2br w:val="nil"/>
              <w:tr2bl w:val="nil"/>
            </w:tcBorders>
            <w:noWrap w:val="0"/>
            <w:vAlign w:val="center"/>
          </w:tcPr>
          <w:p w14:paraId="17828612">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投标文件</w:t>
            </w:r>
          </w:p>
          <w:p w14:paraId="2E5A2A4B">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编制</w:t>
            </w:r>
          </w:p>
        </w:tc>
        <w:tc>
          <w:tcPr>
            <w:tcW w:w="4494" w:type="dxa"/>
            <w:tcBorders>
              <w:tl2br w:val="nil"/>
              <w:tr2bl w:val="nil"/>
            </w:tcBorders>
            <w:noWrap w:val="0"/>
            <w:vAlign w:val="center"/>
          </w:tcPr>
          <w:p w14:paraId="06CF64B6">
            <w:pPr>
              <w:keepNext w:val="0"/>
              <w:keepLines w:val="0"/>
              <w:pageBreakBefore w:val="0"/>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投标文件按招标文件规定</w:t>
            </w:r>
            <w:r>
              <w:rPr>
                <w:rFonts w:hint="eastAsia" w:ascii="仿宋" w:hAnsi="仿宋" w:eastAsia="仿宋" w:cs="仿宋"/>
                <w:color w:val="auto"/>
                <w:sz w:val="24"/>
                <w:szCs w:val="24"/>
                <w:highlight w:val="none"/>
                <w:lang w:val="en-US" w:eastAsia="zh-CN"/>
              </w:rPr>
              <w:t>完全符合要求的</w:t>
            </w:r>
            <w:r>
              <w:rPr>
                <w:rFonts w:hint="eastAsia" w:ascii="仿宋" w:hAnsi="仿宋" w:eastAsia="仿宋" w:cs="仿宋"/>
                <w:color w:val="auto"/>
                <w:sz w:val="24"/>
                <w:szCs w:val="24"/>
                <w:highlight w:val="none"/>
              </w:rPr>
              <w:t>，计</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分；不符合要求的，每处扣</w:t>
            </w:r>
            <w:r>
              <w:rPr>
                <w:rFonts w:hint="eastAsia" w:ascii="仿宋" w:hAnsi="仿宋" w:eastAsia="仿宋" w:cs="仿宋"/>
                <w:color w:val="auto"/>
                <w:sz w:val="24"/>
                <w:szCs w:val="24"/>
                <w:highlight w:val="none"/>
                <w:lang w:val="en-US" w:eastAsia="zh-CN"/>
              </w:rPr>
              <w:t>0.5</w:t>
            </w:r>
            <w:r>
              <w:rPr>
                <w:rFonts w:hint="eastAsia" w:ascii="仿宋" w:hAnsi="仿宋" w:eastAsia="仿宋" w:cs="仿宋"/>
                <w:color w:val="auto"/>
                <w:sz w:val="24"/>
                <w:szCs w:val="24"/>
                <w:highlight w:val="none"/>
              </w:rPr>
              <w:t>分，扣完为止。</w:t>
            </w:r>
          </w:p>
        </w:tc>
        <w:tc>
          <w:tcPr>
            <w:tcW w:w="732" w:type="dxa"/>
            <w:tcBorders>
              <w:tl2br w:val="nil"/>
              <w:tr2bl w:val="nil"/>
            </w:tcBorders>
            <w:noWrap w:val="0"/>
            <w:vAlign w:val="center"/>
          </w:tcPr>
          <w:p w14:paraId="30C4EDF1">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6</w:t>
            </w:r>
          </w:p>
        </w:tc>
      </w:tr>
      <w:tr w14:paraId="19477C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1697" w:type="dxa"/>
            <w:vMerge w:val="restart"/>
            <w:tcBorders>
              <w:tl2br w:val="nil"/>
              <w:tr2bl w:val="nil"/>
            </w:tcBorders>
            <w:noWrap w:val="0"/>
            <w:vAlign w:val="center"/>
          </w:tcPr>
          <w:p w14:paraId="22F5B3FE">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技术</w:t>
            </w:r>
          </w:p>
          <w:p w14:paraId="21D373B4">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40</w:t>
            </w:r>
            <w:r>
              <w:rPr>
                <w:rFonts w:hint="eastAsia" w:ascii="仿宋" w:hAnsi="仿宋" w:eastAsia="仿宋" w:cs="仿宋"/>
                <w:color w:val="auto"/>
                <w:sz w:val="24"/>
                <w:szCs w:val="24"/>
                <w:highlight w:val="none"/>
              </w:rPr>
              <w:t>分）</w:t>
            </w:r>
          </w:p>
        </w:tc>
        <w:tc>
          <w:tcPr>
            <w:tcW w:w="1860" w:type="dxa"/>
            <w:tcBorders>
              <w:tl2br w:val="nil"/>
              <w:tr2bl w:val="nil"/>
            </w:tcBorders>
            <w:noWrap w:val="0"/>
            <w:vAlign w:val="center"/>
          </w:tcPr>
          <w:p w14:paraId="24A0DC1A">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项目整体技术</w:t>
            </w:r>
          </w:p>
          <w:p w14:paraId="60E6826A">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服务方案</w:t>
            </w:r>
          </w:p>
        </w:tc>
        <w:tc>
          <w:tcPr>
            <w:tcW w:w="4494" w:type="dxa"/>
            <w:tcBorders>
              <w:tl2br w:val="nil"/>
              <w:tr2bl w:val="nil"/>
            </w:tcBorders>
            <w:noWrap w:val="0"/>
            <w:vAlign w:val="center"/>
          </w:tcPr>
          <w:p w14:paraId="1385AB0F">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根据投标人对项目提供的整体技术服务方案等方面进行综合评分：</w:t>
            </w:r>
          </w:p>
          <w:p w14:paraId="428BEE08">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1、方案完整、科学合理、可行性良的计20分；</w:t>
            </w:r>
          </w:p>
          <w:p w14:paraId="44017C0C">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2、方案一般，措施一般，可行性一般的计15分；</w:t>
            </w:r>
          </w:p>
          <w:p w14:paraId="70676616">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3、方案有欠缺或欠合理或可行性差的计5分；</w:t>
            </w:r>
          </w:p>
          <w:p w14:paraId="069D906F">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lang w:val="en-US" w:eastAsia="zh-CN"/>
              </w:rPr>
              <w:t>4、未提供不计分。</w:t>
            </w:r>
          </w:p>
        </w:tc>
        <w:tc>
          <w:tcPr>
            <w:tcW w:w="732" w:type="dxa"/>
            <w:tcBorders>
              <w:tl2br w:val="nil"/>
              <w:tr2bl w:val="nil"/>
            </w:tcBorders>
            <w:noWrap w:val="0"/>
            <w:vAlign w:val="center"/>
          </w:tcPr>
          <w:p w14:paraId="5130ED80">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w:t>
            </w:r>
          </w:p>
        </w:tc>
      </w:tr>
      <w:tr w14:paraId="38BE8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1697" w:type="dxa"/>
            <w:vMerge w:val="continue"/>
            <w:tcBorders>
              <w:tl2br w:val="nil"/>
              <w:tr2bl w:val="nil"/>
            </w:tcBorders>
            <w:noWrap w:val="0"/>
            <w:vAlign w:val="center"/>
          </w:tcPr>
          <w:p w14:paraId="4BAA1060">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kern w:val="2"/>
                <w:sz w:val="24"/>
                <w:szCs w:val="24"/>
                <w:lang w:val="en-US" w:eastAsia="zh-CN" w:bidi="ar-SA"/>
              </w:rPr>
            </w:pPr>
          </w:p>
        </w:tc>
        <w:tc>
          <w:tcPr>
            <w:tcW w:w="1860" w:type="dxa"/>
            <w:tcBorders>
              <w:tl2br w:val="nil"/>
              <w:tr2bl w:val="nil"/>
            </w:tcBorders>
            <w:shd w:val="clear" w:color="auto" w:fill="auto"/>
            <w:noWrap w:val="0"/>
            <w:vAlign w:val="center"/>
          </w:tcPr>
          <w:p w14:paraId="2C7E2BDF">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人员组织</w:t>
            </w:r>
          </w:p>
        </w:tc>
        <w:tc>
          <w:tcPr>
            <w:tcW w:w="4494" w:type="dxa"/>
            <w:tcBorders>
              <w:tl2br w:val="nil"/>
              <w:tr2bl w:val="nil"/>
            </w:tcBorders>
            <w:shd w:val="clear" w:color="auto" w:fill="auto"/>
            <w:noWrap w:val="0"/>
            <w:vAlign w:val="center"/>
          </w:tcPr>
          <w:p w14:paraId="2AF04E8B">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根据投标人提供的人员组织方案，横向对比进行综合评分：</w:t>
            </w:r>
          </w:p>
          <w:p w14:paraId="5FB61636">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1、人员组织技术结构完整、技术能力强的计5分</w:t>
            </w:r>
            <w:r>
              <w:rPr>
                <w:rFonts w:hint="eastAsia" w:ascii="仿宋" w:hAnsi="仿宋" w:eastAsia="仿宋" w:cs="仿宋"/>
                <w:color w:val="auto"/>
                <w:sz w:val="24"/>
                <w:szCs w:val="24"/>
                <w:highlight w:val="none"/>
              </w:rPr>
              <w:t>。</w:t>
            </w:r>
          </w:p>
          <w:p w14:paraId="730932AC">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2、人员组织技术结构一般、技术能力一般的计3分；</w:t>
            </w:r>
          </w:p>
          <w:p w14:paraId="60D7EF21">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3、有欠缺或欠合理或可行性差计2分；</w:t>
            </w:r>
          </w:p>
          <w:p w14:paraId="09A3797B">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4、未提供不计分。</w:t>
            </w:r>
          </w:p>
        </w:tc>
        <w:tc>
          <w:tcPr>
            <w:tcW w:w="732" w:type="dxa"/>
            <w:tcBorders>
              <w:tl2br w:val="nil"/>
              <w:tr2bl w:val="nil"/>
            </w:tcBorders>
            <w:noWrap w:val="0"/>
            <w:vAlign w:val="center"/>
          </w:tcPr>
          <w:p w14:paraId="41458C1F">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r w14:paraId="37CAAC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1697" w:type="dxa"/>
            <w:vMerge w:val="continue"/>
            <w:tcBorders>
              <w:tl2br w:val="nil"/>
              <w:tr2bl w:val="nil"/>
            </w:tcBorders>
            <w:noWrap w:val="0"/>
            <w:vAlign w:val="center"/>
          </w:tcPr>
          <w:p w14:paraId="1BBB1067">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kern w:val="2"/>
                <w:sz w:val="24"/>
                <w:szCs w:val="24"/>
                <w:lang w:val="en-US" w:eastAsia="zh-CN" w:bidi="ar-SA"/>
              </w:rPr>
            </w:pPr>
          </w:p>
        </w:tc>
        <w:tc>
          <w:tcPr>
            <w:tcW w:w="1860" w:type="dxa"/>
            <w:tcBorders>
              <w:tl2br w:val="nil"/>
              <w:tr2bl w:val="nil"/>
            </w:tcBorders>
            <w:shd w:val="clear" w:color="auto" w:fill="auto"/>
            <w:noWrap w:val="0"/>
            <w:vAlign w:val="center"/>
          </w:tcPr>
          <w:p w14:paraId="4BC483C4">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工作计划</w:t>
            </w:r>
          </w:p>
        </w:tc>
        <w:tc>
          <w:tcPr>
            <w:tcW w:w="4494" w:type="dxa"/>
            <w:tcBorders>
              <w:tl2br w:val="nil"/>
              <w:tr2bl w:val="nil"/>
            </w:tcBorders>
            <w:shd w:val="clear" w:color="auto" w:fill="auto"/>
            <w:noWrap w:val="0"/>
            <w:vAlign w:val="center"/>
          </w:tcPr>
          <w:p w14:paraId="47B62875">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根据投标人提供的工作计划详实程度、可操作性、合理性等，横向对比进行综合评分：</w:t>
            </w:r>
          </w:p>
          <w:p w14:paraId="3C07B97B">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1、工作计划完整、科学合理、可操作性强的计5分</w:t>
            </w:r>
            <w:r>
              <w:rPr>
                <w:rFonts w:hint="eastAsia" w:ascii="仿宋" w:hAnsi="仿宋" w:eastAsia="仿宋" w:cs="仿宋"/>
                <w:color w:val="auto"/>
                <w:sz w:val="24"/>
                <w:szCs w:val="24"/>
                <w:highlight w:val="none"/>
              </w:rPr>
              <w:t>。</w:t>
            </w:r>
          </w:p>
          <w:p w14:paraId="7DA2554A">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2、工作计划一般，措施一般，可操作性一般的计3分；</w:t>
            </w:r>
          </w:p>
          <w:p w14:paraId="42B295A3">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3、有欠缺或欠合理或可行性差计2分；</w:t>
            </w:r>
          </w:p>
          <w:p w14:paraId="14C19FB9">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4、未提供不计分。</w:t>
            </w:r>
          </w:p>
        </w:tc>
        <w:tc>
          <w:tcPr>
            <w:tcW w:w="732" w:type="dxa"/>
            <w:tcBorders>
              <w:tl2br w:val="nil"/>
              <w:tr2bl w:val="nil"/>
            </w:tcBorders>
            <w:noWrap w:val="0"/>
            <w:vAlign w:val="center"/>
          </w:tcPr>
          <w:p w14:paraId="7C250049">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r w14:paraId="0A1FC7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1697" w:type="dxa"/>
            <w:vMerge w:val="continue"/>
            <w:tcBorders>
              <w:tl2br w:val="nil"/>
              <w:tr2bl w:val="nil"/>
            </w:tcBorders>
            <w:noWrap w:val="0"/>
            <w:vAlign w:val="center"/>
          </w:tcPr>
          <w:p w14:paraId="28EA6464">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kern w:val="2"/>
                <w:sz w:val="24"/>
                <w:szCs w:val="24"/>
                <w:lang w:val="en-US" w:eastAsia="zh-CN" w:bidi="ar-SA"/>
              </w:rPr>
            </w:pPr>
          </w:p>
        </w:tc>
        <w:tc>
          <w:tcPr>
            <w:tcW w:w="1860" w:type="dxa"/>
            <w:tcBorders>
              <w:tl2br w:val="nil"/>
              <w:tr2bl w:val="nil"/>
            </w:tcBorders>
            <w:shd w:val="clear" w:color="auto" w:fill="auto"/>
            <w:noWrap w:val="0"/>
            <w:vAlign w:val="center"/>
          </w:tcPr>
          <w:p w14:paraId="11E5A268">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实施措施</w:t>
            </w:r>
          </w:p>
        </w:tc>
        <w:tc>
          <w:tcPr>
            <w:tcW w:w="4494" w:type="dxa"/>
            <w:tcBorders>
              <w:tl2br w:val="nil"/>
              <w:tr2bl w:val="nil"/>
            </w:tcBorders>
            <w:shd w:val="clear" w:color="auto" w:fill="auto"/>
            <w:noWrap w:val="0"/>
            <w:vAlign w:val="center"/>
          </w:tcPr>
          <w:p w14:paraId="4DD80021">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根据投标人提供的实施措施详实程度、可操作性、合理性等，横向对比进行综合评分：</w:t>
            </w:r>
          </w:p>
          <w:p w14:paraId="0408D5B6">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1、实施措施完整、科学合理、可操作性强的计5分</w:t>
            </w:r>
            <w:r>
              <w:rPr>
                <w:rFonts w:hint="eastAsia" w:ascii="仿宋" w:hAnsi="仿宋" w:eastAsia="仿宋" w:cs="仿宋"/>
                <w:color w:val="auto"/>
                <w:sz w:val="24"/>
                <w:szCs w:val="24"/>
                <w:highlight w:val="none"/>
              </w:rPr>
              <w:t>。</w:t>
            </w:r>
          </w:p>
          <w:p w14:paraId="409702D2">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2、实施措施一般，措施一般，可操作性一般的计3分；</w:t>
            </w:r>
          </w:p>
          <w:p w14:paraId="524240D8">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3、有欠缺或欠合理或可行性差计2分；</w:t>
            </w:r>
          </w:p>
          <w:p w14:paraId="3C45E3BA">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4、未提供不计分。</w:t>
            </w:r>
          </w:p>
        </w:tc>
        <w:tc>
          <w:tcPr>
            <w:tcW w:w="732" w:type="dxa"/>
            <w:tcBorders>
              <w:tl2br w:val="nil"/>
              <w:tr2bl w:val="nil"/>
            </w:tcBorders>
            <w:noWrap w:val="0"/>
            <w:vAlign w:val="center"/>
          </w:tcPr>
          <w:p w14:paraId="2043F395">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r w14:paraId="21B54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1897" w:hRule="atLeast"/>
          <w:jc w:val="center"/>
        </w:trPr>
        <w:tc>
          <w:tcPr>
            <w:tcW w:w="1697" w:type="dxa"/>
            <w:vMerge w:val="continue"/>
            <w:tcBorders>
              <w:tl2br w:val="nil"/>
              <w:tr2bl w:val="nil"/>
            </w:tcBorders>
            <w:noWrap w:val="0"/>
            <w:vAlign w:val="center"/>
          </w:tcPr>
          <w:p w14:paraId="3468E634">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rPr>
            </w:pPr>
          </w:p>
        </w:tc>
        <w:tc>
          <w:tcPr>
            <w:tcW w:w="1860" w:type="dxa"/>
            <w:tcBorders>
              <w:tl2br w:val="nil"/>
              <w:tr2bl w:val="nil"/>
            </w:tcBorders>
            <w:noWrap w:val="0"/>
            <w:vAlign w:val="center"/>
          </w:tcPr>
          <w:p w14:paraId="6DE3F2FF">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应急措施</w:t>
            </w:r>
          </w:p>
        </w:tc>
        <w:tc>
          <w:tcPr>
            <w:tcW w:w="4494" w:type="dxa"/>
            <w:tcBorders>
              <w:tl2br w:val="nil"/>
              <w:tr2bl w:val="nil"/>
            </w:tcBorders>
            <w:noWrap w:val="0"/>
            <w:vAlign w:val="center"/>
          </w:tcPr>
          <w:p w14:paraId="17651199">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根据投标人提供的应急措施及应急预案详实程度、可操作性、合理性等，横向对比进行综合评分：</w:t>
            </w:r>
          </w:p>
          <w:p w14:paraId="524B9FB3">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1、应急措施及应急预完整、科学合理、可操作性强的计5分</w:t>
            </w:r>
            <w:r>
              <w:rPr>
                <w:rFonts w:hint="eastAsia" w:ascii="仿宋" w:hAnsi="仿宋" w:eastAsia="仿宋" w:cs="仿宋"/>
                <w:color w:val="auto"/>
                <w:sz w:val="24"/>
                <w:szCs w:val="24"/>
                <w:highlight w:val="none"/>
              </w:rPr>
              <w:t>。</w:t>
            </w:r>
          </w:p>
          <w:p w14:paraId="0FFC2C04">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2、应急措施及应急预一般，措施一般，可操作性一般的计3分；</w:t>
            </w:r>
          </w:p>
          <w:p w14:paraId="360FC565">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3、有欠缺或欠合理或可行性差计2分；</w:t>
            </w:r>
          </w:p>
          <w:p w14:paraId="5D6E8C42">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lang w:val="en-US" w:eastAsia="zh-CN"/>
              </w:rPr>
              <w:t>4、未提供不计分。</w:t>
            </w:r>
          </w:p>
        </w:tc>
        <w:tc>
          <w:tcPr>
            <w:tcW w:w="732" w:type="dxa"/>
            <w:tcBorders>
              <w:tl2br w:val="nil"/>
              <w:tr2bl w:val="nil"/>
            </w:tcBorders>
            <w:noWrap w:val="0"/>
            <w:vAlign w:val="center"/>
          </w:tcPr>
          <w:p w14:paraId="675E710B">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bl>
    <w:p w14:paraId="2DBB096A">
      <w:pPr>
        <w:rPr>
          <w:rFonts w:hint="eastAsia" w:ascii="仿宋" w:hAnsi="仿宋" w:eastAsia="仿宋" w:cs="仿宋"/>
          <w:color w:val="auto"/>
          <w:sz w:val="30"/>
          <w:szCs w:val="30"/>
          <w:lang w:val="en-US" w:eastAsia="zh-CN"/>
        </w:rPr>
      </w:pPr>
      <w:bookmarkStart w:id="0" w:name="_Toc16523574"/>
    </w:p>
    <w:p w14:paraId="6447B14C">
      <w:pPr>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br w:type="page"/>
      </w:r>
    </w:p>
    <w:p w14:paraId="74B4D4CE">
      <w:pPr>
        <w:pStyle w:val="6"/>
        <w:spacing w:before="0"/>
        <w:rPr>
          <w:rFonts w:ascii="黑体" w:hAnsi="宋体" w:cs="宋体"/>
          <w:b w:val="0"/>
          <w:color w:val="auto"/>
          <w:kern w:val="0"/>
          <w:sz w:val="21"/>
          <w:szCs w:val="21"/>
        </w:rPr>
      </w:pPr>
      <w:bookmarkStart w:id="1" w:name="_Toc127373475"/>
      <w:r>
        <w:rPr>
          <w:rFonts w:hint="eastAsia" w:ascii="黑体" w:hAnsi="仿宋" w:cs="宋体"/>
          <w:b w:val="0"/>
          <w:color w:val="auto"/>
          <w:sz w:val="21"/>
          <w:szCs w:val="21"/>
        </w:rPr>
        <w:t>附件联合体协议书（格式）</w:t>
      </w:r>
      <w:bookmarkEnd w:id="1"/>
    </w:p>
    <w:p w14:paraId="20082224">
      <w:pPr>
        <w:adjustRightInd w:val="0"/>
        <w:snapToGrid w:val="0"/>
        <w:spacing w:line="360" w:lineRule="auto"/>
        <w:jc w:val="center"/>
        <w:rPr>
          <w:rFonts w:ascii="宋体" w:hAnsi="宋体"/>
          <w:b/>
          <w:color w:val="auto"/>
          <w:szCs w:val="21"/>
        </w:rPr>
      </w:pPr>
      <w:r>
        <w:rPr>
          <w:rFonts w:hint="eastAsia" w:ascii="黑体" w:hAnsi="仿宋" w:eastAsia="黑体" w:cs="宋体"/>
          <w:b/>
          <w:color w:val="auto"/>
          <w:sz w:val="28"/>
          <w:szCs w:val="28"/>
        </w:rPr>
        <w:t>联合体协议书（格式）</w:t>
      </w:r>
    </w:p>
    <w:p w14:paraId="72DD19E7">
      <w:pPr>
        <w:adjustRightInd w:val="0"/>
        <w:snapToGrid w:val="0"/>
        <w:spacing w:line="360" w:lineRule="auto"/>
        <w:rPr>
          <w:rFonts w:ascii="宋体" w:hAnsi="宋体"/>
          <w:color w:val="auto"/>
          <w:szCs w:val="21"/>
        </w:rPr>
      </w:pPr>
    </w:p>
    <w:p w14:paraId="6B1E957C">
      <w:pPr>
        <w:adjustRightInd w:val="0"/>
        <w:snapToGrid w:val="0"/>
        <w:spacing w:line="360" w:lineRule="auto"/>
        <w:rPr>
          <w:rFonts w:ascii="宋体" w:hAnsi="宋体"/>
          <w:color w:val="auto"/>
          <w:szCs w:val="21"/>
        </w:rPr>
      </w:pPr>
      <w:r>
        <w:rPr>
          <w:rFonts w:hint="eastAsia" w:ascii="宋体" w:hAnsi="宋体"/>
          <w:color w:val="auto"/>
          <w:szCs w:val="21"/>
        </w:rPr>
        <w:t>致（采购人、采购代理机构）：</w:t>
      </w:r>
    </w:p>
    <w:p w14:paraId="325DBD04">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经研究，我们决定自愿组成联合体共同参加（项目名称</w:t>
      </w:r>
      <w:r>
        <w:rPr>
          <w:rFonts w:ascii="宋体" w:hAnsi="宋体"/>
          <w:color w:val="auto"/>
          <w:szCs w:val="21"/>
        </w:rPr>
        <w:t>）</w:t>
      </w:r>
      <w:r>
        <w:rPr>
          <w:rFonts w:hint="eastAsia" w:ascii="宋体" w:hAnsi="宋体"/>
          <w:color w:val="auto"/>
          <w:szCs w:val="21"/>
        </w:rPr>
        <w:t>（政府采购计划编号：）项目的投标。现就联合体投标事宜订立如下协议：</w:t>
      </w:r>
    </w:p>
    <w:p w14:paraId="124010B1">
      <w:pPr>
        <w:adjustRightInd w:val="0"/>
        <w:snapToGrid w:val="0"/>
        <w:spacing w:line="360" w:lineRule="auto"/>
        <w:ind w:firstLine="420" w:firstLineChars="200"/>
        <w:rPr>
          <w:rFonts w:ascii="宋体" w:hAnsi="宋体"/>
          <w:color w:val="auto"/>
          <w:szCs w:val="21"/>
          <w:u w:val="single"/>
        </w:rPr>
      </w:pPr>
      <w:r>
        <w:rPr>
          <w:rFonts w:hint="eastAsia" w:ascii="宋体" w:hAnsi="宋体"/>
          <w:color w:val="auto"/>
          <w:szCs w:val="21"/>
        </w:rPr>
        <w:t>一、联合体基本信息：（各方公司名称、地址、注册资金、营业执照、</w:t>
      </w:r>
      <w:r>
        <w:rPr>
          <w:rFonts w:hint="eastAsia" w:ascii="宋体" w:hAnsi="宋体" w:cs="微软雅黑"/>
          <w:color w:val="auto"/>
          <w:spacing w:val="-2"/>
          <w:kern w:val="0"/>
          <w:szCs w:val="21"/>
        </w:rPr>
        <w:t>法</w:t>
      </w:r>
      <w:r>
        <w:rPr>
          <w:rFonts w:hint="eastAsia" w:ascii="宋体" w:hAnsi="宋体" w:cs="微软雅黑"/>
          <w:color w:val="auto"/>
          <w:kern w:val="0"/>
          <w:szCs w:val="21"/>
        </w:rPr>
        <w:t>定</w:t>
      </w:r>
      <w:r>
        <w:rPr>
          <w:rFonts w:hint="eastAsia" w:ascii="宋体" w:hAnsi="宋体" w:cs="微软雅黑"/>
          <w:color w:val="auto"/>
          <w:spacing w:val="-2"/>
          <w:kern w:val="0"/>
          <w:szCs w:val="21"/>
        </w:rPr>
        <w:t>代</w:t>
      </w:r>
      <w:r>
        <w:rPr>
          <w:rFonts w:hint="eastAsia" w:ascii="宋体" w:hAnsi="宋体" w:cs="微软雅黑"/>
          <w:color w:val="auto"/>
          <w:kern w:val="0"/>
          <w:szCs w:val="21"/>
        </w:rPr>
        <w:t>表</w:t>
      </w:r>
      <w:r>
        <w:rPr>
          <w:rFonts w:hint="eastAsia" w:ascii="宋体" w:hAnsi="宋体" w:cs="微软雅黑"/>
          <w:color w:val="auto"/>
          <w:spacing w:val="-2"/>
          <w:kern w:val="0"/>
          <w:szCs w:val="21"/>
        </w:rPr>
        <w:t>人</w:t>
      </w:r>
      <w:r>
        <w:rPr>
          <w:rFonts w:hint="eastAsia" w:ascii="宋体" w:hAnsi="宋体" w:cs="微软雅黑"/>
          <w:color w:val="auto"/>
          <w:kern w:val="0"/>
          <w:szCs w:val="21"/>
        </w:rPr>
        <w:t>（</w:t>
      </w:r>
      <w:r>
        <w:rPr>
          <w:rFonts w:hint="eastAsia" w:ascii="宋体" w:hAnsi="宋体" w:cs="微软雅黑"/>
          <w:color w:val="auto"/>
          <w:spacing w:val="-2"/>
          <w:kern w:val="0"/>
          <w:szCs w:val="21"/>
        </w:rPr>
        <w:t>单</w:t>
      </w:r>
      <w:r>
        <w:rPr>
          <w:rFonts w:hint="eastAsia" w:ascii="宋体" w:hAnsi="宋体" w:cs="微软雅黑"/>
          <w:color w:val="auto"/>
          <w:kern w:val="0"/>
          <w:szCs w:val="21"/>
        </w:rPr>
        <w:t>位</w:t>
      </w:r>
      <w:r>
        <w:rPr>
          <w:rFonts w:hint="eastAsia" w:ascii="宋体" w:hAnsi="宋体" w:cs="微软雅黑"/>
          <w:color w:val="auto"/>
          <w:spacing w:val="-2"/>
          <w:kern w:val="0"/>
          <w:szCs w:val="21"/>
        </w:rPr>
        <w:t>负</w:t>
      </w:r>
      <w:r>
        <w:rPr>
          <w:rFonts w:hint="eastAsia" w:ascii="宋体" w:hAnsi="宋体" w:cs="微软雅黑"/>
          <w:color w:val="auto"/>
          <w:kern w:val="0"/>
          <w:szCs w:val="21"/>
        </w:rPr>
        <w:t>责人</w:t>
      </w:r>
      <w:r>
        <w:rPr>
          <w:rFonts w:hint="eastAsia" w:ascii="宋体" w:hAnsi="宋体" w:cs="微软雅黑"/>
          <w:color w:val="auto"/>
          <w:spacing w:val="-2"/>
          <w:kern w:val="0"/>
          <w:szCs w:val="21"/>
        </w:rPr>
        <w:t>）</w:t>
      </w:r>
      <w:r>
        <w:rPr>
          <w:rFonts w:hint="eastAsia" w:ascii="宋体" w:hAnsi="宋体"/>
          <w:color w:val="auto"/>
          <w:szCs w:val="21"/>
        </w:rPr>
        <w:t>姓名）</w:t>
      </w:r>
    </w:p>
    <w:p w14:paraId="3FD2E467">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二、（某成员单位名称）为（联合体名称）牵头人。</w:t>
      </w:r>
    </w:p>
    <w:p w14:paraId="62CFFBF1">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三、联合体牵头人合法代表联合体各成员负责本项目投标文件编制活动，代表联合体提交和接收相关的资料、信息及指示，并处理与投标有关的一切事务；联合体中标后，联合体牵头人负责合同订立和合同实施阶段的主办、组织和协调工作。</w:t>
      </w:r>
    </w:p>
    <w:p w14:paraId="4DD1A616">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四．联合体将严格按照招标文件的各项要求，递交投标文件，参加投标，履行中标义务和中标后的合同，并向采购人承担连带责任。</w:t>
      </w:r>
    </w:p>
    <w:p w14:paraId="10425FB5">
      <w:pPr>
        <w:adjustRightInd w:val="0"/>
        <w:snapToGrid w:val="0"/>
        <w:spacing w:line="360" w:lineRule="auto"/>
        <w:ind w:firstLine="420" w:firstLineChars="200"/>
        <w:rPr>
          <w:rFonts w:ascii="宋体" w:hAnsi="宋体"/>
          <w:color w:val="auto"/>
          <w:szCs w:val="21"/>
          <w:u w:val="single"/>
        </w:rPr>
      </w:pPr>
      <w:r>
        <w:rPr>
          <w:rFonts w:hint="eastAsia" w:ascii="宋体" w:hAnsi="宋体"/>
          <w:color w:val="auto"/>
          <w:szCs w:val="21"/>
        </w:rPr>
        <w:t>五、联合体各成员单位内部的职责分工如下：。按照本条上述分工，联合体各成员的协议合同金额占联合体协议合同总金额比例如下：。</w:t>
      </w:r>
    </w:p>
    <w:p w14:paraId="1A45E3E4">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六、本协议书自签署之日起生效，合同履行完毕后自动失效。</w:t>
      </w:r>
    </w:p>
    <w:p w14:paraId="4D284B7F">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七、本协议书一式份，联合体成员和采购人各执一份。</w:t>
      </w:r>
    </w:p>
    <w:p w14:paraId="3031FE06">
      <w:pPr>
        <w:adjustRightInd w:val="0"/>
        <w:snapToGrid w:val="0"/>
        <w:spacing w:line="360" w:lineRule="auto"/>
        <w:rPr>
          <w:rFonts w:ascii="宋体" w:hAnsi="宋体"/>
          <w:color w:val="auto"/>
          <w:szCs w:val="21"/>
        </w:rPr>
      </w:pPr>
    </w:p>
    <w:p w14:paraId="20C4C620">
      <w:pPr>
        <w:adjustRightInd w:val="0"/>
        <w:snapToGrid w:val="0"/>
        <w:spacing w:line="360" w:lineRule="auto"/>
        <w:rPr>
          <w:rFonts w:ascii="宋体" w:hAnsi="宋体"/>
          <w:color w:val="auto"/>
          <w:szCs w:val="21"/>
        </w:rPr>
      </w:pPr>
      <w:r>
        <w:rPr>
          <w:rFonts w:hint="eastAsia" w:ascii="宋体" w:hAnsi="宋体"/>
          <w:color w:val="auto"/>
          <w:szCs w:val="21"/>
        </w:rPr>
        <w:t>牵头人名称（盖单位章）：</w:t>
      </w:r>
    </w:p>
    <w:p w14:paraId="68B16873">
      <w:pPr>
        <w:adjustRightInd w:val="0"/>
        <w:snapToGrid w:val="0"/>
        <w:spacing w:line="360" w:lineRule="auto"/>
        <w:rPr>
          <w:rFonts w:hint="eastAsia" w:ascii="宋体" w:hAnsi="宋体" w:eastAsiaTheme="minorEastAsia"/>
          <w:color w:val="auto"/>
          <w:szCs w:val="21"/>
          <w:lang w:eastAsia="zh-CN"/>
        </w:rPr>
      </w:pPr>
      <w:r>
        <w:rPr>
          <w:rFonts w:hint="eastAsia" w:ascii="宋体" w:hAnsi="宋体" w:cs="微软雅黑"/>
          <w:color w:val="auto"/>
          <w:spacing w:val="-2"/>
          <w:kern w:val="0"/>
          <w:szCs w:val="21"/>
        </w:rPr>
        <w:t>法</w:t>
      </w:r>
      <w:r>
        <w:rPr>
          <w:rFonts w:hint="eastAsia" w:ascii="宋体" w:hAnsi="宋体" w:cs="微软雅黑"/>
          <w:color w:val="auto"/>
          <w:kern w:val="0"/>
          <w:szCs w:val="21"/>
        </w:rPr>
        <w:t>定</w:t>
      </w:r>
      <w:r>
        <w:rPr>
          <w:rFonts w:hint="eastAsia" w:ascii="宋体" w:hAnsi="宋体" w:cs="微软雅黑"/>
          <w:color w:val="auto"/>
          <w:spacing w:val="-2"/>
          <w:kern w:val="0"/>
          <w:szCs w:val="21"/>
        </w:rPr>
        <w:t>代</w:t>
      </w:r>
      <w:r>
        <w:rPr>
          <w:rFonts w:hint="eastAsia" w:ascii="宋体" w:hAnsi="宋体" w:cs="微软雅黑"/>
          <w:color w:val="auto"/>
          <w:kern w:val="0"/>
          <w:szCs w:val="21"/>
        </w:rPr>
        <w:t>表</w:t>
      </w:r>
      <w:r>
        <w:rPr>
          <w:rFonts w:hint="eastAsia" w:ascii="宋体" w:hAnsi="宋体" w:cs="微软雅黑"/>
          <w:color w:val="auto"/>
          <w:spacing w:val="-2"/>
          <w:kern w:val="0"/>
          <w:szCs w:val="21"/>
        </w:rPr>
        <w:t>人</w:t>
      </w:r>
      <w:r>
        <w:rPr>
          <w:rFonts w:hint="eastAsia" w:ascii="宋体" w:hAnsi="宋体" w:cs="微软雅黑"/>
          <w:color w:val="auto"/>
          <w:kern w:val="0"/>
          <w:szCs w:val="21"/>
        </w:rPr>
        <w:t>（</w:t>
      </w:r>
      <w:r>
        <w:rPr>
          <w:rFonts w:hint="eastAsia" w:ascii="宋体" w:hAnsi="宋体" w:cs="微软雅黑"/>
          <w:color w:val="auto"/>
          <w:spacing w:val="-2"/>
          <w:kern w:val="0"/>
          <w:szCs w:val="21"/>
        </w:rPr>
        <w:t>单</w:t>
      </w:r>
      <w:r>
        <w:rPr>
          <w:rFonts w:hint="eastAsia" w:ascii="宋体" w:hAnsi="宋体" w:cs="微软雅黑"/>
          <w:color w:val="auto"/>
          <w:kern w:val="0"/>
          <w:szCs w:val="21"/>
        </w:rPr>
        <w:t>位</w:t>
      </w:r>
      <w:r>
        <w:rPr>
          <w:rFonts w:hint="eastAsia" w:ascii="宋体" w:hAnsi="宋体" w:cs="微软雅黑"/>
          <w:color w:val="auto"/>
          <w:spacing w:val="-2"/>
          <w:kern w:val="0"/>
          <w:szCs w:val="21"/>
        </w:rPr>
        <w:t>负</w:t>
      </w:r>
      <w:r>
        <w:rPr>
          <w:rFonts w:hint="eastAsia" w:ascii="宋体" w:hAnsi="宋体" w:cs="微软雅黑"/>
          <w:color w:val="auto"/>
          <w:kern w:val="0"/>
          <w:szCs w:val="21"/>
        </w:rPr>
        <w:t>责人</w:t>
      </w:r>
      <w:r>
        <w:rPr>
          <w:rFonts w:hint="eastAsia" w:ascii="宋体" w:hAnsi="宋体" w:cs="微软雅黑"/>
          <w:color w:val="auto"/>
          <w:spacing w:val="-2"/>
          <w:kern w:val="0"/>
          <w:szCs w:val="21"/>
        </w:rPr>
        <w:t>）</w:t>
      </w:r>
      <w:r>
        <w:rPr>
          <w:rFonts w:hint="eastAsia" w:ascii="宋体" w:hAnsi="宋体"/>
          <w:color w:val="auto"/>
          <w:szCs w:val="21"/>
        </w:rPr>
        <w:t>或其委托代理人（签字或印章）：</w:t>
      </w:r>
    </w:p>
    <w:p w14:paraId="071850FC">
      <w:pPr>
        <w:adjustRightInd w:val="0"/>
        <w:snapToGrid w:val="0"/>
        <w:spacing w:line="360" w:lineRule="auto"/>
        <w:rPr>
          <w:rFonts w:ascii="宋体" w:hAnsi="宋体"/>
          <w:color w:val="auto"/>
          <w:szCs w:val="21"/>
        </w:rPr>
      </w:pPr>
    </w:p>
    <w:p w14:paraId="1FE489AF">
      <w:pPr>
        <w:adjustRightInd w:val="0"/>
        <w:snapToGrid w:val="0"/>
        <w:spacing w:line="360" w:lineRule="auto"/>
        <w:rPr>
          <w:rFonts w:ascii="宋体" w:hAnsi="宋体"/>
          <w:color w:val="auto"/>
          <w:szCs w:val="21"/>
        </w:rPr>
      </w:pPr>
      <w:r>
        <w:rPr>
          <w:rFonts w:hint="eastAsia" w:ascii="宋体" w:hAnsi="宋体"/>
          <w:color w:val="auto"/>
          <w:szCs w:val="21"/>
        </w:rPr>
        <w:t>成员1名称（盖单位章）：</w:t>
      </w:r>
    </w:p>
    <w:p w14:paraId="2FF87BCE">
      <w:pPr>
        <w:adjustRightInd w:val="0"/>
        <w:snapToGrid w:val="0"/>
        <w:spacing w:line="360" w:lineRule="auto"/>
        <w:rPr>
          <w:rFonts w:hint="eastAsia" w:ascii="宋体" w:hAnsi="宋体" w:eastAsiaTheme="minorEastAsia"/>
          <w:color w:val="auto"/>
          <w:szCs w:val="21"/>
          <w:lang w:eastAsia="zh-CN"/>
        </w:rPr>
      </w:pPr>
      <w:r>
        <w:rPr>
          <w:rFonts w:hint="eastAsia" w:ascii="宋体" w:hAnsi="宋体" w:cs="微软雅黑"/>
          <w:color w:val="auto"/>
          <w:spacing w:val="-2"/>
          <w:kern w:val="0"/>
          <w:szCs w:val="21"/>
        </w:rPr>
        <w:t>法</w:t>
      </w:r>
      <w:r>
        <w:rPr>
          <w:rFonts w:hint="eastAsia" w:ascii="宋体" w:hAnsi="宋体" w:cs="微软雅黑"/>
          <w:color w:val="auto"/>
          <w:kern w:val="0"/>
          <w:szCs w:val="21"/>
        </w:rPr>
        <w:t>定</w:t>
      </w:r>
      <w:r>
        <w:rPr>
          <w:rFonts w:hint="eastAsia" w:ascii="宋体" w:hAnsi="宋体" w:cs="微软雅黑"/>
          <w:color w:val="auto"/>
          <w:spacing w:val="-2"/>
          <w:kern w:val="0"/>
          <w:szCs w:val="21"/>
        </w:rPr>
        <w:t>代</w:t>
      </w:r>
      <w:r>
        <w:rPr>
          <w:rFonts w:hint="eastAsia" w:ascii="宋体" w:hAnsi="宋体" w:cs="微软雅黑"/>
          <w:color w:val="auto"/>
          <w:kern w:val="0"/>
          <w:szCs w:val="21"/>
        </w:rPr>
        <w:t>表</w:t>
      </w:r>
      <w:r>
        <w:rPr>
          <w:rFonts w:hint="eastAsia" w:ascii="宋体" w:hAnsi="宋体" w:cs="微软雅黑"/>
          <w:color w:val="auto"/>
          <w:spacing w:val="-2"/>
          <w:kern w:val="0"/>
          <w:szCs w:val="21"/>
        </w:rPr>
        <w:t>人</w:t>
      </w:r>
      <w:r>
        <w:rPr>
          <w:rFonts w:hint="eastAsia" w:ascii="宋体" w:hAnsi="宋体" w:cs="微软雅黑"/>
          <w:color w:val="auto"/>
          <w:kern w:val="0"/>
          <w:szCs w:val="21"/>
        </w:rPr>
        <w:t>（</w:t>
      </w:r>
      <w:r>
        <w:rPr>
          <w:rFonts w:hint="eastAsia" w:ascii="宋体" w:hAnsi="宋体" w:cs="微软雅黑"/>
          <w:color w:val="auto"/>
          <w:spacing w:val="-2"/>
          <w:kern w:val="0"/>
          <w:szCs w:val="21"/>
        </w:rPr>
        <w:t>单</w:t>
      </w:r>
      <w:r>
        <w:rPr>
          <w:rFonts w:hint="eastAsia" w:ascii="宋体" w:hAnsi="宋体" w:cs="微软雅黑"/>
          <w:color w:val="auto"/>
          <w:kern w:val="0"/>
          <w:szCs w:val="21"/>
        </w:rPr>
        <w:t>位</w:t>
      </w:r>
      <w:r>
        <w:rPr>
          <w:rFonts w:hint="eastAsia" w:ascii="宋体" w:hAnsi="宋体" w:cs="微软雅黑"/>
          <w:color w:val="auto"/>
          <w:spacing w:val="-2"/>
          <w:kern w:val="0"/>
          <w:szCs w:val="21"/>
        </w:rPr>
        <w:t>负</w:t>
      </w:r>
      <w:r>
        <w:rPr>
          <w:rFonts w:hint="eastAsia" w:ascii="宋体" w:hAnsi="宋体" w:cs="微软雅黑"/>
          <w:color w:val="auto"/>
          <w:kern w:val="0"/>
          <w:szCs w:val="21"/>
        </w:rPr>
        <w:t>责人</w:t>
      </w:r>
      <w:r>
        <w:rPr>
          <w:rFonts w:hint="eastAsia" w:ascii="宋体" w:hAnsi="宋体" w:cs="微软雅黑"/>
          <w:color w:val="auto"/>
          <w:spacing w:val="-2"/>
          <w:kern w:val="0"/>
          <w:szCs w:val="21"/>
        </w:rPr>
        <w:t>）</w:t>
      </w:r>
      <w:r>
        <w:rPr>
          <w:rFonts w:hint="eastAsia" w:ascii="宋体" w:hAnsi="宋体"/>
          <w:color w:val="auto"/>
          <w:szCs w:val="21"/>
        </w:rPr>
        <w:t>或其委托代理人（签字或印章）：</w:t>
      </w:r>
    </w:p>
    <w:p w14:paraId="31A1FDF8">
      <w:pPr>
        <w:adjustRightInd w:val="0"/>
        <w:snapToGrid w:val="0"/>
        <w:spacing w:line="360" w:lineRule="auto"/>
        <w:rPr>
          <w:rFonts w:ascii="宋体" w:hAnsi="宋体"/>
          <w:color w:val="auto"/>
          <w:szCs w:val="21"/>
        </w:rPr>
      </w:pPr>
      <w:r>
        <w:rPr>
          <w:rFonts w:hint="eastAsia" w:ascii="宋体" w:hAnsi="宋体"/>
          <w:color w:val="auto"/>
          <w:szCs w:val="21"/>
        </w:rPr>
        <w:t>成员2名称（盖单位章）：</w:t>
      </w:r>
    </w:p>
    <w:p w14:paraId="1D06D2D3">
      <w:pPr>
        <w:adjustRightInd w:val="0"/>
        <w:snapToGrid w:val="0"/>
        <w:spacing w:line="360" w:lineRule="auto"/>
        <w:rPr>
          <w:rFonts w:hint="eastAsia" w:ascii="宋体" w:hAnsi="宋体" w:eastAsiaTheme="minorEastAsia"/>
          <w:color w:val="auto"/>
          <w:szCs w:val="21"/>
          <w:lang w:eastAsia="zh-CN"/>
        </w:rPr>
      </w:pPr>
      <w:r>
        <w:rPr>
          <w:rFonts w:hint="eastAsia" w:ascii="宋体" w:hAnsi="宋体" w:cs="微软雅黑"/>
          <w:color w:val="auto"/>
          <w:spacing w:val="-2"/>
          <w:kern w:val="0"/>
          <w:szCs w:val="21"/>
        </w:rPr>
        <w:t>法</w:t>
      </w:r>
      <w:r>
        <w:rPr>
          <w:rFonts w:hint="eastAsia" w:ascii="宋体" w:hAnsi="宋体" w:cs="微软雅黑"/>
          <w:color w:val="auto"/>
          <w:kern w:val="0"/>
          <w:szCs w:val="21"/>
        </w:rPr>
        <w:t>定</w:t>
      </w:r>
      <w:r>
        <w:rPr>
          <w:rFonts w:hint="eastAsia" w:ascii="宋体" w:hAnsi="宋体" w:cs="微软雅黑"/>
          <w:color w:val="auto"/>
          <w:spacing w:val="-2"/>
          <w:kern w:val="0"/>
          <w:szCs w:val="21"/>
        </w:rPr>
        <w:t>代</w:t>
      </w:r>
      <w:r>
        <w:rPr>
          <w:rFonts w:hint="eastAsia" w:ascii="宋体" w:hAnsi="宋体" w:cs="微软雅黑"/>
          <w:color w:val="auto"/>
          <w:kern w:val="0"/>
          <w:szCs w:val="21"/>
        </w:rPr>
        <w:t>表</w:t>
      </w:r>
      <w:r>
        <w:rPr>
          <w:rFonts w:hint="eastAsia" w:ascii="宋体" w:hAnsi="宋体" w:cs="微软雅黑"/>
          <w:color w:val="auto"/>
          <w:spacing w:val="-2"/>
          <w:kern w:val="0"/>
          <w:szCs w:val="21"/>
        </w:rPr>
        <w:t>人</w:t>
      </w:r>
      <w:r>
        <w:rPr>
          <w:rFonts w:hint="eastAsia" w:ascii="宋体" w:hAnsi="宋体" w:cs="微软雅黑"/>
          <w:color w:val="auto"/>
          <w:kern w:val="0"/>
          <w:szCs w:val="21"/>
        </w:rPr>
        <w:t>（</w:t>
      </w:r>
      <w:r>
        <w:rPr>
          <w:rFonts w:hint="eastAsia" w:ascii="宋体" w:hAnsi="宋体" w:cs="微软雅黑"/>
          <w:color w:val="auto"/>
          <w:spacing w:val="-2"/>
          <w:kern w:val="0"/>
          <w:szCs w:val="21"/>
        </w:rPr>
        <w:t>单</w:t>
      </w:r>
      <w:r>
        <w:rPr>
          <w:rFonts w:hint="eastAsia" w:ascii="宋体" w:hAnsi="宋体" w:cs="微软雅黑"/>
          <w:color w:val="auto"/>
          <w:kern w:val="0"/>
          <w:szCs w:val="21"/>
        </w:rPr>
        <w:t>位</w:t>
      </w:r>
      <w:r>
        <w:rPr>
          <w:rFonts w:hint="eastAsia" w:ascii="宋体" w:hAnsi="宋体" w:cs="微软雅黑"/>
          <w:color w:val="auto"/>
          <w:spacing w:val="-2"/>
          <w:kern w:val="0"/>
          <w:szCs w:val="21"/>
        </w:rPr>
        <w:t>负</w:t>
      </w:r>
      <w:r>
        <w:rPr>
          <w:rFonts w:hint="eastAsia" w:ascii="宋体" w:hAnsi="宋体" w:cs="微软雅黑"/>
          <w:color w:val="auto"/>
          <w:kern w:val="0"/>
          <w:szCs w:val="21"/>
        </w:rPr>
        <w:t>责人</w:t>
      </w:r>
      <w:r>
        <w:rPr>
          <w:rFonts w:hint="eastAsia" w:ascii="宋体" w:hAnsi="宋体" w:cs="微软雅黑"/>
          <w:color w:val="auto"/>
          <w:spacing w:val="-2"/>
          <w:kern w:val="0"/>
          <w:szCs w:val="21"/>
        </w:rPr>
        <w:t>）</w:t>
      </w:r>
      <w:r>
        <w:rPr>
          <w:rFonts w:hint="eastAsia" w:ascii="宋体" w:hAnsi="宋体"/>
          <w:color w:val="auto"/>
          <w:szCs w:val="21"/>
        </w:rPr>
        <w:t>或其委托代理人（签字或印章）：</w:t>
      </w:r>
    </w:p>
    <w:p w14:paraId="438095E3">
      <w:pPr>
        <w:adjustRightInd w:val="0"/>
        <w:snapToGrid w:val="0"/>
        <w:spacing w:line="360" w:lineRule="auto"/>
        <w:rPr>
          <w:rFonts w:ascii="宋体" w:hAnsi="宋体"/>
          <w:color w:val="auto"/>
          <w:szCs w:val="21"/>
        </w:rPr>
      </w:pPr>
      <w:r>
        <w:rPr>
          <w:rFonts w:ascii="宋体" w:hAnsi="宋体"/>
          <w:color w:val="auto"/>
          <w:szCs w:val="21"/>
        </w:rPr>
        <w:t>…</w:t>
      </w:r>
    </w:p>
    <w:p w14:paraId="2EE2131C">
      <w:pPr>
        <w:adjustRightInd w:val="0"/>
        <w:snapToGrid w:val="0"/>
        <w:spacing w:line="360" w:lineRule="auto"/>
        <w:rPr>
          <w:rFonts w:hint="eastAsia" w:ascii="宋体" w:hAnsi="宋体" w:eastAsiaTheme="minorEastAsia"/>
          <w:color w:val="auto"/>
          <w:szCs w:val="21"/>
          <w:lang w:eastAsia="zh-CN"/>
        </w:rPr>
      </w:pPr>
      <w:r>
        <w:rPr>
          <w:rFonts w:hint="eastAsia" w:ascii="宋体" w:hAnsi="宋体"/>
          <w:color w:val="auto"/>
          <w:szCs w:val="21"/>
        </w:rPr>
        <w:t>日期：年月日</w:t>
      </w:r>
    </w:p>
    <w:p w14:paraId="413C70C8">
      <w:pPr>
        <w:widowControl/>
        <w:adjustRightInd w:val="0"/>
        <w:snapToGrid w:val="0"/>
        <w:spacing w:line="360" w:lineRule="auto"/>
        <w:ind w:firstLine="420" w:firstLineChars="200"/>
        <w:jc w:val="left"/>
        <w:rPr>
          <w:rFonts w:ascii="宋体" w:hAnsi="宋体"/>
          <w:color w:val="auto"/>
          <w:szCs w:val="21"/>
        </w:rPr>
      </w:pPr>
      <w:r>
        <w:rPr>
          <w:rFonts w:hint="eastAsia" w:ascii="宋体" w:hAnsi="宋体"/>
          <w:bCs/>
          <w:color w:val="auto"/>
          <w:szCs w:val="21"/>
        </w:rPr>
        <w:t>注：1.</w:t>
      </w:r>
      <w:r>
        <w:rPr>
          <w:rFonts w:hint="eastAsia" w:ascii="宋体" w:hAnsi="宋体"/>
          <w:color w:val="auto"/>
          <w:szCs w:val="21"/>
        </w:rPr>
        <w:t>本协议书由委托代理人签字的，应附授权委托书。</w:t>
      </w:r>
    </w:p>
    <w:p w14:paraId="33423932">
      <w:pPr>
        <w:widowControl/>
        <w:adjustRightInd w:val="0"/>
        <w:snapToGrid w:val="0"/>
        <w:spacing w:line="360" w:lineRule="auto"/>
        <w:ind w:firstLine="420" w:firstLineChars="200"/>
        <w:jc w:val="left"/>
        <w:rPr>
          <w:rFonts w:ascii="宋体" w:hAnsi="宋体"/>
          <w:color w:val="auto"/>
          <w:szCs w:val="21"/>
        </w:rPr>
      </w:pPr>
      <w:r>
        <w:rPr>
          <w:rFonts w:hint="eastAsia" w:ascii="宋体" w:hAnsi="宋体"/>
          <w:color w:val="auto"/>
          <w:szCs w:val="21"/>
        </w:rPr>
        <w:t>2.投标人在提交投标文件的截止时间前修改“开标一览表”中的投标报价，影响本协议书第五条的，应同时修改本协议书第五条。否则，评审时价格评审优惠不予以考虑。</w:t>
      </w:r>
    </w:p>
    <w:p w14:paraId="524541B2">
      <w:pPr>
        <w:rPr>
          <w:rFonts w:hint="eastAsia" w:ascii="仿宋" w:hAnsi="仿宋" w:eastAsia="仿宋" w:cs="仿宋"/>
          <w:color w:val="auto"/>
          <w:sz w:val="30"/>
          <w:szCs w:val="30"/>
          <w:lang w:val="en-US" w:eastAsia="zh-CN"/>
        </w:rPr>
      </w:pPr>
    </w:p>
    <w:p w14:paraId="4F468F74">
      <w:pPr>
        <w:pStyle w:val="3"/>
        <w:numPr>
          <w:ilvl w:val="0"/>
          <w:numId w:val="0"/>
        </w:numPr>
        <w:spacing w:line="240" w:lineRule="auto"/>
        <w:jc w:val="center"/>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第六章</w:t>
      </w:r>
      <w:r>
        <w:rPr>
          <w:rFonts w:hint="eastAsia" w:ascii="仿宋" w:hAnsi="仿宋" w:eastAsia="仿宋" w:cs="仿宋"/>
          <w:color w:val="auto"/>
          <w:sz w:val="30"/>
          <w:szCs w:val="30"/>
        </w:rPr>
        <w:t>投标文件的格式</w:t>
      </w:r>
    </w:p>
    <w:p w14:paraId="304D0EE7">
      <w:pPr>
        <w:pStyle w:val="3"/>
        <w:numPr>
          <w:ilvl w:val="0"/>
          <w:numId w:val="0"/>
        </w:numPr>
        <w:spacing w:line="240" w:lineRule="auto"/>
        <w:ind w:firstLine="2108" w:firstLineChars="700"/>
        <w:jc w:val="both"/>
        <w:rPr>
          <w:rFonts w:hint="eastAsia" w:ascii="仿宋" w:hAnsi="仿宋" w:eastAsia="仿宋" w:cs="仿宋"/>
          <w:color w:val="auto"/>
          <w:sz w:val="30"/>
          <w:szCs w:val="30"/>
        </w:rPr>
      </w:pPr>
      <w:r>
        <w:rPr>
          <w:rFonts w:hint="eastAsia" w:ascii="仿宋" w:hAnsi="仿宋" w:eastAsia="仿宋" w:cs="仿宋"/>
          <w:color w:val="auto"/>
          <w:sz w:val="30"/>
          <w:szCs w:val="30"/>
        </w:rPr>
        <w:t>（必须按以下标题和顺序进行编制）</w:t>
      </w:r>
    </w:p>
    <w:p w14:paraId="4C5B7AE0">
      <w:pPr>
        <w:rPr>
          <w:rFonts w:hint="eastAsia" w:ascii="仿宋" w:hAnsi="仿宋" w:eastAsia="仿宋" w:cs="仿宋"/>
          <w:color w:val="auto"/>
        </w:rPr>
      </w:pPr>
    </w:p>
    <w:bookmarkEnd w:id="0"/>
    <w:p w14:paraId="6F70260F">
      <w:pPr>
        <w:rPr>
          <w:rFonts w:hint="eastAsia" w:ascii="仿宋" w:hAnsi="仿宋" w:eastAsia="仿宋" w:cs="仿宋"/>
          <w:color w:val="auto"/>
        </w:rPr>
      </w:pPr>
    </w:p>
    <w:p w14:paraId="24EFEF78">
      <w:pPr>
        <w:jc w:val="center"/>
        <w:rPr>
          <w:rFonts w:hint="eastAsia" w:ascii="仿宋" w:hAnsi="仿宋" w:eastAsia="仿宋" w:cs="仿宋"/>
          <w:b/>
          <w:color w:val="auto"/>
          <w:sz w:val="24"/>
        </w:rPr>
      </w:pPr>
      <w:r>
        <w:rPr>
          <w:rFonts w:hint="eastAsia" w:ascii="仿宋" w:hAnsi="仿宋" w:eastAsia="仿宋" w:cs="仿宋"/>
          <w:b/>
          <w:color w:val="auto"/>
          <w:sz w:val="28"/>
          <w:szCs w:val="28"/>
        </w:rPr>
        <w:t>第一部分、开标一览表</w:t>
      </w:r>
    </w:p>
    <w:p w14:paraId="08CE179A">
      <w:pPr>
        <w:jc w:val="center"/>
        <w:rPr>
          <w:rFonts w:hint="eastAsia" w:ascii="仿宋" w:hAnsi="仿宋" w:eastAsia="仿宋" w:cs="仿宋"/>
          <w:b/>
          <w:color w:val="auto"/>
          <w:sz w:val="24"/>
        </w:rPr>
      </w:pPr>
    </w:p>
    <w:p w14:paraId="42E53EEB">
      <w:pPr>
        <w:pStyle w:val="30"/>
        <w:rPr>
          <w:rFonts w:hint="eastAsia" w:ascii="仿宋" w:hAnsi="仿宋" w:eastAsia="仿宋" w:cs="仿宋"/>
          <w:color w:val="auto"/>
        </w:rPr>
      </w:pPr>
    </w:p>
    <w:p w14:paraId="73794838">
      <w:pPr>
        <w:spacing w:line="440" w:lineRule="exact"/>
        <w:rPr>
          <w:rFonts w:hint="eastAsia" w:ascii="楷体" w:hAnsi="楷体" w:eastAsia="楷体"/>
          <w:color w:val="auto"/>
          <w:highlight w:val="none"/>
          <w:lang w:eastAsia="zh-CN"/>
        </w:rPr>
      </w:pPr>
      <w:r>
        <w:rPr>
          <w:rFonts w:hint="eastAsia" w:ascii="楷体" w:hAnsi="楷体" w:eastAsia="楷体"/>
          <w:color w:val="auto"/>
          <w:highlight w:val="none"/>
        </w:rPr>
        <w:t>投标人名称：</w:t>
      </w:r>
    </w:p>
    <w:tbl>
      <w:tblPr>
        <w:tblStyle w:val="20"/>
        <w:tblW w:w="96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071"/>
        <w:gridCol w:w="7568"/>
      </w:tblGrid>
      <w:tr w14:paraId="73004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39" w:hRule="atLeast"/>
          <w:jc w:val="center"/>
        </w:trPr>
        <w:tc>
          <w:tcPr>
            <w:tcW w:w="2071" w:type="dxa"/>
            <w:noWrap w:val="0"/>
            <w:vAlign w:val="center"/>
          </w:tcPr>
          <w:p w14:paraId="3D8A8509">
            <w:pPr>
              <w:spacing w:line="240" w:lineRule="auto"/>
              <w:jc w:val="center"/>
              <w:rPr>
                <w:rFonts w:hint="eastAsia" w:ascii="楷体" w:hAnsi="楷体" w:eastAsia="楷体"/>
                <w:color w:val="auto"/>
                <w:highlight w:val="none"/>
              </w:rPr>
            </w:pPr>
            <w:r>
              <w:rPr>
                <w:rFonts w:hint="eastAsia" w:ascii="楷体" w:hAnsi="楷体" w:eastAsia="楷体"/>
                <w:color w:val="auto"/>
                <w:highlight w:val="none"/>
              </w:rPr>
              <w:t>项目名称</w:t>
            </w:r>
          </w:p>
        </w:tc>
        <w:tc>
          <w:tcPr>
            <w:tcW w:w="7568" w:type="dxa"/>
            <w:noWrap w:val="0"/>
            <w:vAlign w:val="center"/>
          </w:tcPr>
          <w:p w14:paraId="6FE6A2D3">
            <w:pPr>
              <w:spacing w:line="240" w:lineRule="auto"/>
              <w:jc w:val="center"/>
              <w:rPr>
                <w:rFonts w:hint="eastAsia" w:ascii="楷体" w:hAnsi="楷体" w:eastAsia="楷体"/>
                <w:color w:val="auto"/>
                <w:highlight w:val="none"/>
              </w:rPr>
            </w:pPr>
          </w:p>
        </w:tc>
      </w:tr>
      <w:tr w14:paraId="4E401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4" w:hRule="atLeast"/>
          <w:jc w:val="center"/>
        </w:trPr>
        <w:tc>
          <w:tcPr>
            <w:tcW w:w="2071" w:type="dxa"/>
            <w:noWrap w:val="0"/>
            <w:vAlign w:val="center"/>
          </w:tcPr>
          <w:p w14:paraId="3AB0B2A0">
            <w:pPr>
              <w:spacing w:line="360" w:lineRule="atLeast"/>
              <w:jc w:val="center"/>
              <w:rPr>
                <w:rFonts w:hint="eastAsia" w:ascii="楷体" w:hAnsi="楷体" w:eastAsia="楷体"/>
                <w:color w:val="auto"/>
                <w:highlight w:val="none"/>
                <w:lang w:eastAsia="zh-CN"/>
              </w:rPr>
            </w:pPr>
            <w:r>
              <w:rPr>
                <w:rFonts w:hint="eastAsia" w:ascii="楷体" w:hAnsi="楷体" w:eastAsia="楷体" w:cs="Arial"/>
                <w:color w:val="auto"/>
                <w:highlight w:val="none"/>
                <w:lang w:val="sq-AL"/>
              </w:rPr>
              <w:t>投标报价</w:t>
            </w:r>
          </w:p>
        </w:tc>
        <w:tc>
          <w:tcPr>
            <w:tcW w:w="7568" w:type="dxa"/>
            <w:noWrap w:val="0"/>
            <w:vAlign w:val="center"/>
          </w:tcPr>
          <w:p w14:paraId="763F6579">
            <w:pPr>
              <w:spacing w:line="360" w:lineRule="auto"/>
              <w:rPr>
                <w:rFonts w:hint="eastAsia" w:ascii="楷体" w:hAnsi="楷体" w:eastAsia="楷体"/>
                <w:color w:val="auto"/>
                <w:sz w:val="21"/>
                <w:szCs w:val="21"/>
                <w:highlight w:val="none"/>
                <w:u w:val="single"/>
                <w:lang w:eastAsia="zh-CN"/>
              </w:rPr>
            </w:pPr>
            <w:r>
              <w:rPr>
                <w:rFonts w:ascii="楷体" w:hAnsi="楷体" w:eastAsia="楷体"/>
                <w:color w:val="auto"/>
                <w:sz w:val="21"/>
                <w:szCs w:val="21"/>
                <w:highlight w:val="none"/>
              </w:rPr>
              <w:t>（小写）：</w:t>
            </w:r>
          </w:p>
          <w:p w14:paraId="0D67F75C">
            <w:pPr>
              <w:pStyle w:val="10"/>
              <w:spacing w:before="0" w:after="0" w:afterAutospacing="0" w:line="360" w:lineRule="auto"/>
              <w:rPr>
                <w:rFonts w:hint="eastAsia" w:eastAsia="楷体"/>
                <w:color w:val="auto"/>
                <w:highlight w:val="none"/>
                <w:lang w:eastAsia="zh-CN"/>
              </w:rPr>
            </w:pPr>
            <w:r>
              <w:rPr>
                <w:rFonts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rPr>
              <w:t>大</w:t>
            </w:r>
            <w:r>
              <w:rPr>
                <w:rFonts w:ascii="楷体" w:hAnsi="楷体" w:eastAsia="楷体" w:cs="Times New Roman"/>
                <w:color w:val="auto"/>
                <w:sz w:val="21"/>
                <w:szCs w:val="21"/>
                <w:highlight w:val="none"/>
              </w:rPr>
              <w:t>写）：</w:t>
            </w:r>
          </w:p>
        </w:tc>
      </w:tr>
      <w:tr w14:paraId="5BB162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2071" w:type="dxa"/>
            <w:noWrap w:val="0"/>
            <w:vAlign w:val="center"/>
          </w:tcPr>
          <w:p w14:paraId="5515AB2B">
            <w:pPr>
              <w:spacing w:line="360" w:lineRule="atLeast"/>
              <w:jc w:val="center"/>
              <w:rPr>
                <w:rFonts w:ascii="楷体" w:hAnsi="楷体" w:eastAsia="楷体"/>
                <w:color w:val="auto"/>
                <w:highlight w:val="none"/>
              </w:rPr>
            </w:pPr>
            <w:r>
              <w:rPr>
                <w:rFonts w:hint="eastAsia" w:ascii="楷体" w:hAnsi="楷体" w:eastAsia="楷体" w:cs="Arial"/>
                <w:color w:val="auto"/>
                <w:highlight w:val="none"/>
              </w:rPr>
              <w:t>其他备注</w:t>
            </w:r>
          </w:p>
        </w:tc>
        <w:tc>
          <w:tcPr>
            <w:tcW w:w="7568" w:type="dxa"/>
            <w:noWrap w:val="0"/>
            <w:vAlign w:val="center"/>
          </w:tcPr>
          <w:p w14:paraId="64A6F2AB">
            <w:pPr>
              <w:spacing w:line="360" w:lineRule="atLeast"/>
              <w:jc w:val="center"/>
              <w:rPr>
                <w:rFonts w:hint="eastAsia" w:ascii="楷体" w:hAnsi="楷体" w:eastAsia="楷体"/>
                <w:color w:val="auto"/>
                <w:highlight w:val="none"/>
              </w:rPr>
            </w:pPr>
          </w:p>
        </w:tc>
      </w:tr>
    </w:tbl>
    <w:p w14:paraId="269AA5FA">
      <w:pPr>
        <w:spacing w:line="440" w:lineRule="exact"/>
        <w:rPr>
          <w:rFonts w:hint="eastAsia" w:ascii="楷体" w:hAnsi="楷体" w:eastAsia="楷体"/>
          <w:color w:val="auto"/>
          <w:highlight w:val="none"/>
          <w:u w:val="single"/>
          <w:lang w:eastAsia="zh-CN"/>
        </w:rPr>
      </w:pPr>
      <w:r>
        <w:rPr>
          <w:rFonts w:hint="eastAsia" w:ascii="楷体" w:hAnsi="楷体" w:eastAsia="楷体"/>
          <w:color w:val="auto"/>
          <w:highlight w:val="none"/>
        </w:rPr>
        <w:t>投标人代表签字：投标人公章：</w:t>
      </w:r>
    </w:p>
    <w:p w14:paraId="2C9B143F">
      <w:pPr>
        <w:adjustRightInd w:val="0"/>
        <w:snapToGrid w:val="0"/>
        <w:spacing w:line="360" w:lineRule="auto"/>
        <w:jc w:val="center"/>
        <w:rPr>
          <w:rFonts w:hint="eastAsia" w:ascii="仿宋" w:hAnsi="仿宋" w:eastAsia="仿宋" w:cs="仿宋"/>
          <w:b/>
          <w:color w:val="auto"/>
          <w:sz w:val="28"/>
          <w:szCs w:val="28"/>
        </w:rPr>
      </w:pPr>
    </w:p>
    <w:p w14:paraId="61030D35">
      <w:pPr>
        <w:adjustRightInd w:val="0"/>
        <w:snapToGrid w:val="0"/>
        <w:spacing w:line="360" w:lineRule="auto"/>
        <w:jc w:val="right"/>
        <w:rPr>
          <w:rFonts w:hint="eastAsia" w:ascii="仿宋" w:hAnsi="仿宋" w:eastAsia="仿宋" w:cs="仿宋"/>
          <w:b/>
          <w:color w:val="auto"/>
          <w:sz w:val="24"/>
        </w:rPr>
      </w:pPr>
      <w:r>
        <w:rPr>
          <w:rFonts w:hint="eastAsia" w:ascii="仿宋" w:hAnsi="仿宋" w:eastAsia="仿宋" w:cs="仿宋"/>
          <w:color w:val="auto"/>
          <w:sz w:val="21"/>
          <w:szCs w:val="21"/>
        </w:rPr>
        <w:t>日期：年月日</w:t>
      </w:r>
    </w:p>
    <w:p w14:paraId="64A5E179">
      <w:pPr>
        <w:adjustRightInd w:val="0"/>
        <w:snapToGrid w:val="0"/>
        <w:spacing w:line="360" w:lineRule="auto"/>
        <w:jc w:val="center"/>
        <w:rPr>
          <w:rFonts w:hint="eastAsia" w:ascii="仿宋" w:hAnsi="仿宋" w:eastAsia="仿宋" w:cs="仿宋"/>
          <w:b/>
          <w:color w:val="auto"/>
          <w:sz w:val="28"/>
          <w:szCs w:val="28"/>
        </w:rPr>
      </w:pPr>
    </w:p>
    <w:p w14:paraId="49204B1D">
      <w:pPr>
        <w:adjustRightInd w:val="0"/>
        <w:snapToGrid w:val="0"/>
        <w:spacing w:line="360" w:lineRule="auto"/>
        <w:jc w:val="center"/>
        <w:rPr>
          <w:rFonts w:hint="eastAsia" w:ascii="仿宋" w:hAnsi="仿宋" w:eastAsia="仿宋" w:cs="仿宋"/>
          <w:b/>
          <w:color w:val="auto"/>
          <w:sz w:val="28"/>
          <w:szCs w:val="28"/>
        </w:rPr>
      </w:pPr>
    </w:p>
    <w:p w14:paraId="4F340066">
      <w:pPr>
        <w:adjustRightInd w:val="0"/>
        <w:snapToGrid w:val="0"/>
        <w:spacing w:line="360" w:lineRule="auto"/>
        <w:jc w:val="center"/>
        <w:rPr>
          <w:rFonts w:hint="eastAsia" w:ascii="仿宋" w:hAnsi="仿宋" w:eastAsia="仿宋" w:cs="仿宋"/>
          <w:b/>
          <w:color w:val="auto"/>
          <w:sz w:val="28"/>
          <w:szCs w:val="28"/>
        </w:rPr>
      </w:pPr>
    </w:p>
    <w:p w14:paraId="6894DFB9">
      <w:pPr>
        <w:adjustRightInd w:val="0"/>
        <w:snapToGrid w:val="0"/>
        <w:spacing w:line="360" w:lineRule="auto"/>
        <w:jc w:val="center"/>
        <w:rPr>
          <w:rFonts w:hint="eastAsia" w:ascii="仿宋" w:hAnsi="仿宋" w:eastAsia="仿宋" w:cs="仿宋"/>
          <w:b/>
          <w:color w:val="auto"/>
          <w:sz w:val="28"/>
          <w:szCs w:val="28"/>
        </w:rPr>
      </w:pPr>
    </w:p>
    <w:p w14:paraId="7506B90D">
      <w:pPr>
        <w:adjustRightInd w:val="0"/>
        <w:snapToGrid w:val="0"/>
        <w:spacing w:line="360" w:lineRule="auto"/>
        <w:jc w:val="center"/>
        <w:rPr>
          <w:rFonts w:hint="eastAsia" w:ascii="仿宋" w:hAnsi="仿宋" w:eastAsia="仿宋" w:cs="仿宋"/>
          <w:b/>
          <w:color w:val="auto"/>
          <w:sz w:val="28"/>
          <w:szCs w:val="28"/>
        </w:rPr>
      </w:pPr>
    </w:p>
    <w:p w14:paraId="421A8F22">
      <w:pPr>
        <w:adjustRightInd w:val="0"/>
        <w:snapToGrid w:val="0"/>
        <w:spacing w:line="360" w:lineRule="auto"/>
        <w:jc w:val="center"/>
        <w:rPr>
          <w:rFonts w:hint="eastAsia" w:ascii="仿宋" w:hAnsi="仿宋" w:eastAsia="仿宋" w:cs="仿宋"/>
          <w:b/>
          <w:color w:val="auto"/>
          <w:sz w:val="28"/>
          <w:szCs w:val="28"/>
        </w:rPr>
      </w:pPr>
    </w:p>
    <w:p w14:paraId="5B0C7961">
      <w:pPr>
        <w:rPr>
          <w:rFonts w:hint="eastAsia" w:ascii="仿宋" w:hAnsi="仿宋" w:eastAsia="仿宋" w:cs="仿宋"/>
          <w:b/>
          <w:color w:val="auto"/>
          <w:sz w:val="28"/>
          <w:szCs w:val="28"/>
        </w:rPr>
      </w:pPr>
      <w:r>
        <w:rPr>
          <w:rFonts w:hint="eastAsia" w:ascii="仿宋" w:hAnsi="仿宋" w:eastAsia="仿宋" w:cs="仿宋"/>
          <w:b/>
          <w:color w:val="auto"/>
          <w:sz w:val="28"/>
          <w:szCs w:val="28"/>
        </w:rPr>
        <w:br w:type="page"/>
      </w:r>
    </w:p>
    <w:p w14:paraId="571CFC28">
      <w:pPr>
        <w:adjustRightInd w:val="0"/>
        <w:snapToGrid w:val="0"/>
        <w:spacing w:line="360" w:lineRule="auto"/>
        <w:jc w:val="cente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rPr>
        <w:t>第二部分、资格证明文件</w:t>
      </w:r>
    </w:p>
    <w:p w14:paraId="368B05B3">
      <w:pPr>
        <w:pStyle w:val="2"/>
        <w:rPr>
          <w:rFonts w:hint="eastAsia" w:ascii="仿宋" w:hAnsi="仿宋" w:eastAsia="仿宋" w:cs="仿宋"/>
          <w:color w:val="auto"/>
          <w:lang w:eastAsia="zh-CN"/>
        </w:rPr>
      </w:pPr>
    </w:p>
    <w:p w14:paraId="2B4B5EF4">
      <w:pPr>
        <w:adjustRightInd w:val="0"/>
        <w:snapToGrid w:val="0"/>
        <w:spacing w:line="360" w:lineRule="auto"/>
        <w:jc w:val="center"/>
        <w:rPr>
          <w:rFonts w:hint="eastAsia" w:ascii="仿宋" w:hAnsi="仿宋" w:eastAsia="仿宋" w:cs="仿宋"/>
          <w:b/>
          <w:color w:val="auto"/>
          <w:sz w:val="24"/>
          <w:szCs w:val="20"/>
        </w:rPr>
      </w:pPr>
    </w:p>
    <w:p w14:paraId="1C1CF9FE">
      <w:pPr>
        <w:adjustRightInd w:val="0"/>
        <w:snapToGrid w:val="0"/>
        <w:spacing w:line="360" w:lineRule="auto"/>
        <w:jc w:val="center"/>
        <w:rPr>
          <w:rFonts w:hint="eastAsia" w:ascii="仿宋" w:hAnsi="仿宋" w:eastAsia="仿宋" w:cs="仿宋"/>
          <w:b/>
          <w:color w:val="auto"/>
          <w:sz w:val="24"/>
          <w:szCs w:val="20"/>
        </w:rPr>
      </w:pPr>
      <w:r>
        <w:rPr>
          <w:rFonts w:hint="eastAsia" w:ascii="仿宋" w:hAnsi="仿宋" w:eastAsia="仿宋" w:cs="仿宋"/>
          <w:b/>
          <w:color w:val="auto"/>
          <w:sz w:val="24"/>
          <w:szCs w:val="20"/>
        </w:rPr>
        <w:t>一、法定代表人授权委托书</w:t>
      </w:r>
      <w:r>
        <w:rPr>
          <w:rFonts w:hint="eastAsia" w:ascii="仿宋" w:hAnsi="仿宋" w:eastAsia="仿宋" w:cs="仿宋"/>
          <w:b/>
          <w:color w:val="auto"/>
          <w:sz w:val="24"/>
          <w:szCs w:val="24"/>
          <w:highlight w:val="none"/>
          <w:lang w:eastAsia="zh-CN"/>
        </w:rPr>
        <w:t>（如授权代表参与时提供）</w:t>
      </w:r>
    </w:p>
    <w:p w14:paraId="1EB9CC1A">
      <w:pPr>
        <w:adjustRightInd w:val="0"/>
        <w:snapToGrid w:val="0"/>
        <w:spacing w:line="360" w:lineRule="auto"/>
        <w:rPr>
          <w:rFonts w:hint="eastAsia" w:ascii="仿宋" w:hAnsi="仿宋" w:eastAsia="仿宋" w:cs="仿宋"/>
          <w:b/>
          <w:color w:val="auto"/>
          <w:sz w:val="28"/>
          <w:szCs w:val="28"/>
        </w:rPr>
      </w:pPr>
    </w:p>
    <w:p w14:paraId="62A4FC49">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本人</w:t>
      </w:r>
      <w:r>
        <w:rPr>
          <w:rFonts w:hint="eastAsia" w:ascii="仿宋" w:hAnsi="仿宋" w:eastAsia="仿宋" w:cs="仿宋"/>
          <w:color w:val="auto"/>
          <w:kern w:val="0"/>
          <w:sz w:val="24"/>
          <w:u w:val="single"/>
        </w:rPr>
        <w:t>（姓名、职务）</w:t>
      </w:r>
      <w:r>
        <w:rPr>
          <w:rFonts w:hint="eastAsia" w:ascii="仿宋" w:hAnsi="仿宋" w:eastAsia="仿宋" w:cs="仿宋"/>
          <w:color w:val="auto"/>
          <w:kern w:val="0"/>
          <w:sz w:val="24"/>
        </w:rPr>
        <w:t>系</w:t>
      </w:r>
      <w:r>
        <w:rPr>
          <w:rFonts w:hint="eastAsia" w:ascii="仿宋" w:hAnsi="仿宋" w:eastAsia="仿宋" w:cs="仿宋"/>
          <w:color w:val="auto"/>
          <w:kern w:val="0"/>
          <w:sz w:val="24"/>
          <w:u w:val="single"/>
        </w:rPr>
        <w:t>（</w:t>
      </w:r>
      <w:r>
        <w:rPr>
          <w:rFonts w:hint="eastAsia" w:ascii="仿宋" w:hAnsi="仿宋" w:eastAsia="仿宋" w:cs="仿宋"/>
          <w:color w:val="auto"/>
          <w:sz w:val="24"/>
          <w:u w:val="single"/>
        </w:rPr>
        <w:t>投标人</w:t>
      </w:r>
      <w:r>
        <w:rPr>
          <w:rFonts w:hint="eastAsia" w:ascii="仿宋" w:hAnsi="仿宋" w:eastAsia="仿宋" w:cs="仿宋"/>
          <w:color w:val="auto"/>
          <w:kern w:val="0"/>
          <w:sz w:val="24"/>
          <w:u w:val="single"/>
        </w:rPr>
        <w:t>名称）</w:t>
      </w:r>
      <w:r>
        <w:rPr>
          <w:rFonts w:hint="eastAsia" w:ascii="仿宋" w:hAnsi="仿宋" w:eastAsia="仿宋" w:cs="仿宋"/>
          <w:color w:val="auto"/>
          <w:kern w:val="0"/>
          <w:sz w:val="24"/>
        </w:rPr>
        <w:t>的法定代表人，现授权</w:t>
      </w:r>
      <w:r>
        <w:rPr>
          <w:rFonts w:hint="eastAsia" w:ascii="仿宋" w:hAnsi="仿宋" w:eastAsia="仿宋" w:cs="仿宋"/>
          <w:color w:val="auto"/>
          <w:kern w:val="0"/>
          <w:sz w:val="24"/>
          <w:u w:val="single"/>
        </w:rPr>
        <w:t>（姓名、职务）</w:t>
      </w:r>
      <w:r>
        <w:rPr>
          <w:rFonts w:hint="eastAsia" w:ascii="仿宋" w:hAnsi="仿宋" w:eastAsia="仿宋" w:cs="仿宋"/>
          <w:color w:val="auto"/>
          <w:kern w:val="0"/>
          <w:sz w:val="24"/>
        </w:rPr>
        <w:t>为我方代理人。代理人根据授权，以我方名义签署、澄清、说明、补正、递交、撤回、修改</w:t>
      </w:r>
      <w:r>
        <w:rPr>
          <w:rFonts w:hint="eastAsia" w:ascii="仿宋" w:hAnsi="仿宋" w:eastAsia="仿宋" w:cs="仿宋"/>
          <w:color w:val="auto"/>
          <w:kern w:val="0"/>
          <w:sz w:val="24"/>
          <w:u w:val="single"/>
        </w:rPr>
        <w:t>（项目名称）</w:t>
      </w:r>
      <w:r>
        <w:rPr>
          <w:rFonts w:hint="eastAsia" w:ascii="仿宋" w:hAnsi="仿宋" w:eastAsia="仿宋" w:cs="仿宋"/>
          <w:color w:val="auto"/>
          <w:kern w:val="0"/>
          <w:sz w:val="24"/>
        </w:rPr>
        <w:t>（采购编号：）投标文件、签订合同和处理有关事宜，其法律后果由我方承担。</w:t>
      </w:r>
    </w:p>
    <w:p w14:paraId="0115124B">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委托期限：。</w:t>
      </w:r>
    </w:p>
    <w:p w14:paraId="0082F2ED">
      <w:pPr>
        <w:adjustRightInd w:val="0"/>
        <w:snapToGrid w:val="0"/>
        <w:spacing w:line="360" w:lineRule="auto"/>
        <w:ind w:firstLine="435"/>
        <w:rPr>
          <w:rFonts w:hint="eastAsia" w:ascii="仿宋" w:hAnsi="仿宋" w:eastAsia="仿宋" w:cs="仿宋"/>
          <w:color w:val="auto"/>
          <w:kern w:val="0"/>
          <w:sz w:val="24"/>
        </w:rPr>
      </w:pPr>
      <w:r>
        <w:rPr>
          <w:rFonts w:hint="eastAsia" w:ascii="仿宋" w:hAnsi="仿宋" w:eastAsia="仿宋" w:cs="仿宋"/>
          <w:color w:val="auto"/>
          <w:kern w:val="0"/>
          <w:sz w:val="24"/>
        </w:rPr>
        <w:t>代理人无转委托权。</w:t>
      </w:r>
    </w:p>
    <w:p w14:paraId="441C09D3">
      <w:pPr>
        <w:adjustRightInd w:val="0"/>
        <w:snapToGrid w:val="0"/>
        <w:spacing w:line="360" w:lineRule="auto"/>
        <w:ind w:firstLine="435"/>
        <w:rPr>
          <w:rFonts w:hint="eastAsia" w:ascii="仿宋" w:hAnsi="仿宋" w:eastAsia="仿宋" w:cs="仿宋"/>
          <w:color w:val="auto"/>
          <w:sz w:val="24"/>
        </w:rPr>
      </w:pPr>
      <w:r>
        <w:rPr>
          <w:rFonts w:hint="eastAsia" w:ascii="仿宋" w:hAnsi="仿宋" w:eastAsia="仿宋" w:cs="仿宋"/>
          <w:color w:val="auto"/>
          <w:sz w:val="24"/>
        </w:rPr>
        <w:t>本授权书于日期：年月日签字生效，特此声明。</w:t>
      </w:r>
    </w:p>
    <w:p w14:paraId="1D42394E">
      <w:pPr>
        <w:adjustRightInd w:val="0"/>
        <w:snapToGrid w:val="0"/>
        <w:spacing w:line="360" w:lineRule="auto"/>
        <w:ind w:firstLine="480" w:firstLineChars="200"/>
        <w:rPr>
          <w:rFonts w:hint="eastAsia" w:ascii="仿宋" w:hAnsi="仿宋" w:eastAsia="仿宋" w:cs="仿宋"/>
          <w:color w:val="auto"/>
          <w:sz w:val="24"/>
        </w:rPr>
      </w:pPr>
    </w:p>
    <w:tbl>
      <w:tblPr>
        <w:tblStyle w:val="2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BCE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DF4166F">
            <w:pPr>
              <w:adjustRightInd w:val="0"/>
              <w:snapToGrid w:val="0"/>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委托代理人身份证（正面、反面）复印件</w:t>
            </w:r>
          </w:p>
        </w:tc>
      </w:tr>
    </w:tbl>
    <w:p w14:paraId="7A53225E">
      <w:pPr>
        <w:adjustRightInd w:val="0"/>
        <w:snapToGrid w:val="0"/>
        <w:spacing w:line="360" w:lineRule="auto"/>
        <w:rPr>
          <w:rFonts w:hint="eastAsia" w:ascii="仿宋" w:hAnsi="仿宋" w:eastAsia="仿宋" w:cs="仿宋"/>
          <w:color w:val="auto"/>
          <w:sz w:val="24"/>
        </w:rPr>
      </w:pPr>
    </w:p>
    <w:tbl>
      <w:tblPr>
        <w:tblStyle w:val="2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2FD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217F8EE">
            <w:pPr>
              <w:adjustRightInd w:val="0"/>
              <w:snapToGrid w:val="0"/>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法定代表人身份证（正面、反面）复印件</w:t>
            </w:r>
          </w:p>
        </w:tc>
      </w:tr>
    </w:tbl>
    <w:p w14:paraId="295EE9DA">
      <w:pPr>
        <w:adjustRightInd w:val="0"/>
        <w:snapToGrid w:val="0"/>
        <w:spacing w:line="360" w:lineRule="auto"/>
        <w:rPr>
          <w:rFonts w:hint="eastAsia" w:ascii="仿宋" w:hAnsi="仿宋" w:eastAsia="仿宋" w:cs="仿宋"/>
          <w:color w:val="auto"/>
          <w:sz w:val="24"/>
        </w:rPr>
      </w:pPr>
    </w:p>
    <w:p w14:paraId="0B591C2B">
      <w:pPr>
        <w:adjustRightInd w:val="0"/>
        <w:snapToGrid w:val="0"/>
        <w:spacing w:line="360" w:lineRule="auto"/>
        <w:rPr>
          <w:rFonts w:hint="eastAsia" w:ascii="仿宋" w:hAnsi="仿宋" w:eastAsia="仿宋" w:cs="仿宋"/>
          <w:color w:val="auto"/>
          <w:sz w:val="24"/>
        </w:rPr>
      </w:pPr>
    </w:p>
    <w:p w14:paraId="4B324108">
      <w:pPr>
        <w:adjustRightInd w:val="0"/>
        <w:snapToGrid w:val="0"/>
        <w:spacing w:line="360" w:lineRule="auto"/>
        <w:rPr>
          <w:rFonts w:hint="eastAsia" w:ascii="仿宋" w:hAnsi="仿宋" w:eastAsia="仿宋" w:cs="仿宋"/>
          <w:color w:val="auto"/>
          <w:sz w:val="24"/>
        </w:rPr>
      </w:pPr>
      <w:r>
        <w:rPr>
          <w:rFonts w:hint="eastAsia" w:ascii="仿宋" w:hAnsi="仿宋" w:eastAsia="仿宋" w:cs="仿宋"/>
          <w:color w:val="auto"/>
          <w:sz w:val="24"/>
        </w:rPr>
        <w:t>投标人名称（盖单位章）：</w:t>
      </w:r>
    </w:p>
    <w:p w14:paraId="763D9F0F">
      <w:pPr>
        <w:adjustRightInd w:val="0"/>
        <w:snapToGrid w:val="0"/>
        <w:spacing w:line="360" w:lineRule="auto"/>
        <w:ind w:right="420"/>
        <w:rPr>
          <w:rFonts w:hint="eastAsia" w:ascii="仿宋" w:hAnsi="仿宋" w:eastAsia="仿宋" w:cs="仿宋"/>
          <w:color w:val="auto"/>
          <w:sz w:val="24"/>
        </w:rPr>
      </w:pPr>
      <w:r>
        <w:rPr>
          <w:rFonts w:hint="eastAsia" w:ascii="仿宋" w:hAnsi="仿宋" w:eastAsia="仿宋" w:cs="仿宋"/>
          <w:color w:val="auto"/>
          <w:sz w:val="24"/>
        </w:rPr>
        <w:t>法定代表人（签字）：</w:t>
      </w:r>
    </w:p>
    <w:p w14:paraId="50EF7B39">
      <w:pPr>
        <w:adjustRightInd w:val="0"/>
        <w:snapToGrid w:val="0"/>
        <w:spacing w:line="360" w:lineRule="auto"/>
        <w:ind w:right="420"/>
        <w:rPr>
          <w:rFonts w:hint="eastAsia" w:ascii="仿宋" w:hAnsi="仿宋" w:eastAsia="仿宋" w:cs="仿宋"/>
          <w:color w:val="auto"/>
          <w:sz w:val="24"/>
        </w:rPr>
      </w:pPr>
      <w:r>
        <w:rPr>
          <w:rFonts w:hint="eastAsia" w:ascii="仿宋" w:hAnsi="仿宋" w:eastAsia="仿宋" w:cs="仿宋"/>
          <w:color w:val="auto"/>
          <w:sz w:val="24"/>
        </w:rPr>
        <w:t>委托代理人（签字）：</w:t>
      </w:r>
    </w:p>
    <w:p w14:paraId="50D96ECC">
      <w:pPr>
        <w:adjustRightInd w:val="0"/>
        <w:snapToGrid w:val="0"/>
        <w:spacing w:line="360" w:lineRule="auto"/>
        <w:rPr>
          <w:rFonts w:hint="eastAsia" w:ascii="仿宋" w:hAnsi="仿宋" w:eastAsia="仿宋" w:cs="仿宋"/>
          <w:b/>
          <w:color w:val="auto"/>
          <w:sz w:val="24"/>
        </w:rPr>
      </w:pPr>
      <w:r>
        <w:rPr>
          <w:rFonts w:hint="eastAsia" w:ascii="仿宋" w:hAnsi="仿宋" w:eastAsia="仿宋" w:cs="仿宋"/>
          <w:color w:val="auto"/>
          <w:sz w:val="24"/>
        </w:rPr>
        <w:t>日期：年月日</w:t>
      </w:r>
    </w:p>
    <w:p w14:paraId="180828B2">
      <w:pPr>
        <w:adjustRightInd w:val="0"/>
        <w:snapToGrid w:val="0"/>
        <w:spacing w:line="360" w:lineRule="auto"/>
        <w:rPr>
          <w:rFonts w:hint="eastAsia" w:ascii="仿宋" w:hAnsi="仿宋" w:eastAsia="仿宋" w:cs="仿宋"/>
          <w:b/>
          <w:color w:val="auto"/>
          <w:sz w:val="28"/>
          <w:szCs w:val="28"/>
        </w:rPr>
      </w:pPr>
    </w:p>
    <w:p w14:paraId="72D5B7F5">
      <w:pPr>
        <w:rPr>
          <w:rFonts w:hint="eastAsia" w:ascii="楷体" w:hAnsi="楷体" w:eastAsia="楷体"/>
          <w:b/>
          <w:color w:val="auto"/>
          <w:sz w:val="24"/>
          <w:szCs w:val="24"/>
          <w:highlight w:val="none"/>
        </w:rPr>
      </w:pPr>
      <w:r>
        <w:rPr>
          <w:rFonts w:hint="eastAsia" w:ascii="楷体" w:hAnsi="楷体" w:eastAsia="楷体"/>
          <w:b/>
          <w:color w:val="auto"/>
          <w:sz w:val="24"/>
          <w:szCs w:val="24"/>
          <w:highlight w:val="none"/>
        </w:rPr>
        <w:br w:type="page"/>
      </w:r>
    </w:p>
    <w:p w14:paraId="68A622C6">
      <w:pPr>
        <w:spacing w:line="360" w:lineRule="auto"/>
        <w:ind w:left="420"/>
        <w:jc w:val="center"/>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法定代表人身份证明</w:t>
      </w:r>
    </w:p>
    <w:p w14:paraId="0B8DF714">
      <w:pPr>
        <w:snapToGrid w:val="0"/>
        <w:spacing w:line="480" w:lineRule="auto"/>
        <w:jc w:val="center"/>
        <w:rPr>
          <w:rFonts w:hint="eastAsia" w:ascii="仿宋" w:hAnsi="仿宋" w:eastAsia="仿宋" w:cs="仿宋"/>
          <w:color w:val="auto"/>
          <w:sz w:val="24"/>
          <w:szCs w:val="24"/>
          <w:highlight w:val="none"/>
        </w:rPr>
      </w:pPr>
    </w:p>
    <w:p w14:paraId="446BF43E">
      <w:pPr>
        <w:snapToGrid w:val="0"/>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投标人：</w:t>
      </w:r>
    </w:p>
    <w:p w14:paraId="4BEDDAD3">
      <w:pPr>
        <w:snapToGrid w:val="0"/>
        <w:spacing w:line="36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rPr>
        <w:t>单位性质：</w:t>
      </w:r>
    </w:p>
    <w:p w14:paraId="5BA9D91E">
      <w:pPr>
        <w:snapToGrid w:val="0"/>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地，址：</w:t>
      </w:r>
    </w:p>
    <w:p w14:paraId="735E91E0">
      <w:pPr>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成立时间：年月日</w:t>
      </w:r>
    </w:p>
    <w:p w14:paraId="787E97CE">
      <w:pPr>
        <w:snapToGrid w:val="0"/>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经营期限：</w:t>
      </w:r>
    </w:p>
    <w:p w14:paraId="1E9A7718">
      <w:pPr>
        <w:snapToGrid w:val="0"/>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姓名：性别：</w:t>
      </w:r>
    </w:p>
    <w:p w14:paraId="24FACEF5">
      <w:pPr>
        <w:snapToGrid w:val="0"/>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年龄：职务：</w:t>
      </w:r>
    </w:p>
    <w:p w14:paraId="4947C238">
      <w:pPr>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系（投标人名称）的法定代表人</w:t>
      </w:r>
    </w:p>
    <w:p w14:paraId="4C93F89A">
      <w:pPr>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BBFE2BA">
      <w:pPr>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p w14:paraId="7DD5E851">
      <w:pPr>
        <w:snapToGrid w:val="0"/>
        <w:spacing w:line="360" w:lineRule="auto"/>
        <w:rPr>
          <w:rFonts w:hint="eastAsia" w:ascii="仿宋" w:hAnsi="仿宋" w:eastAsia="仿宋" w:cs="仿宋"/>
          <w:color w:val="auto"/>
          <w:sz w:val="24"/>
          <w:szCs w:val="24"/>
          <w:highlight w:val="none"/>
        </w:rPr>
      </w:pPr>
    </w:p>
    <w:p w14:paraId="324DD873">
      <w:pPr>
        <w:snapToGrid w:val="0"/>
        <w:spacing w:line="360" w:lineRule="auto"/>
        <w:rPr>
          <w:rFonts w:hint="eastAsia" w:ascii="仿宋" w:hAnsi="仿宋" w:eastAsia="仿宋" w:cs="仿宋"/>
          <w:color w:val="auto"/>
          <w:sz w:val="24"/>
          <w:szCs w:val="24"/>
          <w:highlight w:val="none"/>
        </w:rPr>
      </w:pPr>
    </w:p>
    <w:p w14:paraId="05425D67">
      <w:pPr>
        <w:snapToGrid w:val="0"/>
        <w:spacing w:line="360" w:lineRule="auto"/>
        <w:rPr>
          <w:rFonts w:hint="eastAsia" w:ascii="仿宋" w:hAnsi="仿宋" w:eastAsia="仿宋" w:cs="仿宋"/>
          <w:color w:val="auto"/>
          <w:sz w:val="24"/>
          <w:szCs w:val="24"/>
          <w:highlight w:val="none"/>
        </w:rPr>
      </w:pPr>
    </w:p>
    <w:p w14:paraId="19B1E620">
      <w:pPr>
        <w:snapToGrid w:val="0"/>
        <w:spacing w:line="360" w:lineRule="auto"/>
        <w:rPr>
          <w:rFonts w:hint="eastAsia" w:ascii="仿宋" w:hAnsi="仿宋" w:eastAsia="仿宋" w:cs="仿宋"/>
          <w:color w:val="auto"/>
          <w:sz w:val="24"/>
          <w:szCs w:val="24"/>
          <w:highlight w:val="none"/>
        </w:rPr>
      </w:pPr>
    </w:p>
    <w:p w14:paraId="48E9C061">
      <w:pPr>
        <w:snapToGrid w:val="0"/>
        <w:spacing w:line="360" w:lineRule="auto"/>
        <w:ind w:right="42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投标人：（公章）</w:t>
      </w:r>
    </w:p>
    <w:p w14:paraId="564A81AF">
      <w:pPr>
        <w:snapToGrid w:val="0"/>
        <w:spacing w:line="360" w:lineRule="auto"/>
        <w:jc w:val="right"/>
        <w:rPr>
          <w:rFonts w:hint="eastAsia" w:ascii="仿宋" w:hAnsi="仿宋" w:eastAsia="仿宋" w:cs="仿宋"/>
          <w:color w:val="auto"/>
          <w:sz w:val="24"/>
          <w:szCs w:val="24"/>
          <w:highlight w:val="none"/>
        </w:rPr>
      </w:pPr>
    </w:p>
    <w:p w14:paraId="33277249">
      <w:pPr>
        <w:wordWrap w:val="0"/>
        <w:snapToGrid w:val="0"/>
        <w:spacing w:line="360" w:lineRule="auto"/>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年月日</w:t>
      </w:r>
    </w:p>
    <w:p w14:paraId="063A168E">
      <w:pPr>
        <w:adjustRightInd w:val="0"/>
        <w:snapToGrid w:val="0"/>
        <w:spacing w:line="360" w:lineRule="auto"/>
        <w:rPr>
          <w:rFonts w:hint="eastAsia" w:ascii="仿宋" w:hAnsi="仿宋" w:eastAsia="仿宋" w:cs="仿宋"/>
          <w:b/>
          <w:color w:val="auto"/>
          <w:sz w:val="28"/>
          <w:szCs w:val="28"/>
        </w:rPr>
      </w:pPr>
    </w:p>
    <w:p w14:paraId="6129A96F">
      <w:pPr>
        <w:adjustRightInd w:val="0"/>
        <w:snapToGrid w:val="0"/>
        <w:spacing w:line="360" w:lineRule="auto"/>
        <w:rPr>
          <w:rFonts w:hint="eastAsia" w:ascii="仿宋" w:hAnsi="仿宋" w:eastAsia="仿宋" w:cs="仿宋"/>
          <w:b/>
          <w:color w:val="auto"/>
          <w:sz w:val="28"/>
          <w:szCs w:val="28"/>
        </w:rPr>
      </w:pPr>
    </w:p>
    <w:p w14:paraId="79FAA392">
      <w:pPr>
        <w:adjustRightInd w:val="0"/>
        <w:snapToGrid w:val="0"/>
        <w:spacing w:line="360" w:lineRule="auto"/>
        <w:rPr>
          <w:rFonts w:hint="eastAsia" w:ascii="仿宋" w:hAnsi="仿宋" w:eastAsia="仿宋" w:cs="仿宋"/>
          <w:b/>
          <w:color w:val="auto"/>
          <w:sz w:val="28"/>
          <w:szCs w:val="28"/>
        </w:rPr>
      </w:pPr>
    </w:p>
    <w:p w14:paraId="3C71A134">
      <w:pPr>
        <w:adjustRightInd w:val="0"/>
        <w:snapToGrid w:val="0"/>
        <w:spacing w:line="360" w:lineRule="auto"/>
        <w:rPr>
          <w:rFonts w:hint="eastAsia" w:ascii="仿宋" w:hAnsi="仿宋" w:eastAsia="仿宋" w:cs="仿宋"/>
          <w:b/>
          <w:color w:val="auto"/>
          <w:sz w:val="28"/>
          <w:szCs w:val="28"/>
        </w:rPr>
      </w:pPr>
    </w:p>
    <w:p w14:paraId="37828543">
      <w:pPr>
        <w:rPr>
          <w:rFonts w:hint="eastAsia" w:ascii="仿宋" w:hAnsi="仿宋" w:eastAsia="仿宋" w:cs="仿宋"/>
          <w:b/>
          <w:color w:val="auto"/>
          <w:sz w:val="24"/>
          <w:szCs w:val="20"/>
        </w:rPr>
      </w:pPr>
      <w:r>
        <w:rPr>
          <w:rFonts w:hint="eastAsia" w:ascii="仿宋" w:hAnsi="仿宋" w:eastAsia="仿宋" w:cs="仿宋"/>
          <w:b/>
          <w:color w:val="auto"/>
          <w:sz w:val="24"/>
          <w:szCs w:val="20"/>
        </w:rPr>
        <w:br w:type="page"/>
      </w:r>
    </w:p>
    <w:p w14:paraId="0CA46D7D">
      <w:pPr>
        <w:adjustRightInd w:val="0"/>
        <w:snapToGrid w:val="0"/>
        <w:spacing w:line="360" w:lineRule="auto"/>
        <w:jc w:val="center"/>
        <w:rPr>
          <w:rFonts w:hint="eastAsia" w:ascii="仿宋" w:hAnsi="仿宋" w:eastAsia="仿宋" w:cs="仿宋"/>
          <w:color w:val="auto"/>
          <w:sz w:val="24"/>
        </w:rPr>
      </w:pPr>
      <w:r>
        <w:rPr>
          <w:rFonts w:hint="eastAsia" w:ascii="仿宋" w:hAnsi="仿宋" w:eastAsia="仿宋" w:cs="仿宋"/>
          <w:b/>
          <w:color w:val="auto"/>
          <w:sz w:val="24"/>
          <w:szCs w:val="20"/>
        </w:rPr>
        <w:t>二、投标人资格声明</w:t>
      </w:r>
    </w:p>
    <w:p w14:paraId="7CE9E2A6">
      <w:pPr>
        <w:widowControl/>
        <w:adjustRightInd w:val="0"/>
        <w:snapToGrid w:val="0"/>
        <w:spacing w:before="120" w:beforeLines="50" w:line="360" w:lineRule="auto"/>
        <w:jc w:val="left"/>
        <w:rPr>
          <w:rFonts w:hint="eastAsia" w:ascii="仿宋" w:hAnsi="仿宋" w:eastAsia="仿宋" w:cs="仿宋"/>
          <w:color w:val="auto"/>
          <w:kern w:val="0"/>
          <w:sz w:val="24"/>
        </w:rPr>
      </w:pPr>
      <w:r>
        <w:rPr>
          <w:rFonts w:hint="eastAsia" w:ascii="仿宋" w:hAnsi="仿宋" w:eastAsia="仿宋" w:cs="仿宋"/>
          <w:color w:val="auto"/>
          <w:sz w:val="24"/>
        </w:rPr>
        <w:t>致()：</w:t>
      </w:r>
    </w:p>
    <w:p w14:paraId="215DFAA4">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sz w:val="24"/>
        </w:rPr>
        <w:t>按照招标文件的规定，我单位郑重声明如下：</w:t>
      </w:r>
    </w:p>
    <w:p w14:paraId="19621D5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sz w:val="24"/>
        </w:rPr>
        <w:t>一、我单位是按照中华人民共和国法律规定登记注册的，注册地点为，全称为，统一社会信用代码为，法定代表人为，具有独立承担民事责任的能力。</w:t>
      </w:r>
    </w:p>
    <w:p w14:paraId="2696E637">
      <w:pPr>
        <w:widowControl/>
        <w:adjustRightInd w:val="0"/>
        <w:snapToGrid w:val="0"/>
        <w:spacing w:before="120" w:beforeLines="50" w:line="360"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二、我单位具有良好的商业信誉和健全的财务会计制度。</w:t>
      </w:r>
    </w:p>
    <w:p w14:paraId="12C3DD9D">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三、</w:t>
      </w:r>
      <w:r>
        <w:rPr>
          <w:rFonts w:hint="eastAsia" w:ascii="仿宋" w:hAnsi="仿宋" w:eastAsia="仿宋" w:cs="仿宋"/>
          <w:color w:val="auto"/>
          <w:sz w:val="24"/>
        </w:rPr>
        <w:t>我单位具有履行本项目采购合同所必需的设备和专业技术能力。</w:t>
      </w:r>
    </w:p>
    <w:p w14:paraId="6964B1E3">
      <w:pPr>
        <w:widowControl/>
        <w:adjustRightInd w:val="0"/>
        <w:snapToGrid w:val="0"/>
        <w:spacing w:before="120" w:beforeLines="50" w:line="360"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79B7F4E">
      <w:pPr>
        <w:widowControl/>
        <w:adjustRightInd w:val="0"/>
        <w:snapToGrid w:val="0"/>
        <w:spacing w:before="120" w:beforeLines="50" w:line="360"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五、我单位具备法律、行政法规规定的其他条件。</w:t>
      </w:r>
    </w:p>
    <w:p w14:paraId="1A3BBEF2">
      <w:pPr>
        <w:widowControl/>
        <w:adjustRightInd w:val="0"/>
        <w:snapToGrid w:val="0"/>
        <w:spacing w:before="120" w:beforeLines="50" w:line="360"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kern w:val="0"/>
          <w:sz w:val="24"/>
        </w:rPr>
        <w:t>六、</w:t>
      </w:r>
      <w:r>
        <w:rPr>
          <w:rFonts w:hint="eastAsia" w:ascii="仿宋" w:hAnsi="仿宋" w:eastAsia="仿宋" w:cs="仿宋"/>
          <w:color w:val="auto"/>
          <w:sz w:val="24"/>
        </w:rPr>
        <w:t>与我单位存在“单位负责人为同一人或者存在直接控股、管理关系”的其他法人单位信息如下（如无，填写“无”）：</w:t>
      </w:r>
    </w:p>
    <w:p w14:paraId="320B2E78">
      <w:pPr>
        <w:adjustRightInd w:val="0"/>
        <w:snapToGrid w:val="0"/>
        <w:spacing w:before="120" w:beforeLines="50"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rPr>
        <w:t>1、与我单位的法定代表人（单位负责人）为同一人的其他法人单位如下：</w:t>
      </w:r>
    </w:p>
    <w:p w14:paraId="64569CE4">
      <w:pPr>
        <w:adjustRightInd w:val="0"/>
        <w:snapToGrid w:val="0"/>
        <w:spacing w:before="120" w:beforeLines="50"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rPr>
        <w:t>2、我单位直接控股的其他法人单位如下：</w:t>
      </w:r>
    </w:p>
    <w:p w14:paraId="65610E67">
      <w:pPr>
        <w:adjustRightInd w:val="0"/>
        <w:snapToGrid w:val="0"/>
        <w:spacing w:before="120" w:beforeLines="50"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rPr>
        <w:t>3、与我单位存在管理关系的其他法人单位如下：</w:t>
      </w:r>
    </w:p>
    <w:p w14:paraId="4524320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sz w:val="24"/>
        </w:rPr>
        <w:t>我单位保证上述声明的事项都是真实的，如有虚假，我单位愿意承担相应的法律责任，并承担因此所造成的一切损失。</w:t>
      </w:r>
    </w:p>
    <w:p w14:paraId="2575C4A0">
      <w:pPr>
        <w:widowControl/>
        <w:adjustRightInd w:val="0"/>
        <w:snapToGrid w:val="0"/>
        <w:spacing w:before="120" w:beforeLines="50" w:line="360"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我单位保证随时按照要求提供能够证明上述声明事项真实性的任何有效文件。</w:t>
      </w:r>
    </w:p>
    <w:p w14:paraId="64DE3A28">
      <w:pPr>
        <w:widowControl/>
        <w:adjustRightInd w:val="0"/>
        <w:snapToGrid w:val="0"/>
        <w:spacing w:before="120" w:beforeLines="50" w:line="360" w:lineRule="auto"/>
        <w:jc w:val="left"/>
        <w:rPr>
          <w:rFonts w:hint="eastAsia" w:ascii="仿宋" w:hAnsi="仿宋" w:eastAsia="仿宋" w:cs="仿宋"/>
          <w:color w:val="auto"/>
          <w:kern w:val="0"/>
          <w:sz w:val="24"/>
        </w:rPr>
      </w:pPr>
      <w:r>
        <w:rPr>
          <w:rFonts w:hint="eastAsia" w:ascii="仿宋" w:hAnsi="仿宋" w:eastAsia="仿宋" w:cs="仿宋"/>
          <w:color w:val="auto"/>
          <w:sz w:val="24"/>
        </w:rPr>
        <w:t>投标人名称（盖单位公章）：</w:t>
      </w:r>
    </w:p>
    <w:p w14:paraId="0674DA56">
      <w:pPr>
        <w:widowControl/>
        <w:adjustRightInd w:val="0"/>
        <w:snapToGrid w:val="0"/>
        <w:spacing w:before="120" w:beforeLines="50" w:line="360" w:lineRule="auto"/>
        <w:jc w:val="left"/>
        <w:rPr>
          <w:rFonts w:hint="eastAsia" w:ascii="仿宋" w:hAnsi="仿宋" w:eastAsia="仿宋" w:cs="仿宋"/>
          <w:b/>
          <w:bCs/>
          <w:color w:val="auto"/>
          <w:kern w:val="0"/>
          <w:sz w:val="24"/>
        </w:rPr>
      </w:pPr>
      <w:r>
        <w:rPr>
          <w:rFonts w:hint="eastAsia" w:ascii="仿宋" w:hAnsi="仿宋" w:eastAsia="仿宋" w:cs="仿宋"/>
          <w:color w:val="auto"/>
          <w:sz w:val="24"/>
        </w:rPr>
        <w:t>法定代表人或委托代理人（签字）：</w:t>
      </w:r>
    </w:p>
    <w:p w14:paraId="24D86152">
      <w:pPr>
        <w:widowControl/>
        <w:adjustRightInd w:val="0"/>
        <w:snapToGrid w:val="0"/>
        <w:spacing w:before="120" w:beforeLines="50" w:line="360" w:lineRule="auto"/>
        <w:jc w:val="left"/>
        <w:rPr>
          <w:rFonts w:hint="eastAsia" w:ascii="仿宋" w:hAnsi="仿宋" w:eastAsia="仿宋" w:cs="仿宋"/>
          <w:color w:val="auto"/>
          <w:sz w:val="24"/>
        </w:rPr>
      </w:pPr>
      <w:r>
        <w:rPr>
          <w:rFonts w:hint="eastAsia" w:ascii="仿宋" w:hAnsi="仿宋" w:eastAsia="仿宋" w:cs="仿宋"/>
          <w:color w:val="auto"/>
          <w:sz w:val="24"/>
        </w:rPr>
        <w:t>日期：年月日</w:t>
      </w:r>
    </w:p>
    <w:p w14:paraId="1D4D2821">
      <w:pPr>
        <w:adjustRightInd w:val="0"/>
        <w:snapToGrid w:val="0"/>
        <w:spacing w:line="360" w:lineRule="auto"/>
        <w:jc w:val="center"/>
        <w:rPr>
          <w:rFonts w:hint="eastAsia" w:ascii="仿宋" w:hAnsi="仿宋" w:eastAsia="仿宋" w:cs="仿宋"/>
          <w:b/>
          <w:color w:val="auto"/>
          <w:sz w:val="24"/>
          <w:szCs w:val="20"/>
        </w:rPr>
      </w:pPr>
    </w:p>
    <w:p w14:paraId="0C3D92D5">
      <w:pPr>
        <w:adjustRightInd w:val="0"/>
        <w:snapToGrid w:val="0"/>
        <w:spacing w:line="360" w:lineRule="auto"/>
        <w:rPr>
          <w:rFonts w:hint="eastAsia" w:ascii="仿宋" w:hAnsi="仿宋" w:eastAsia="仿宋" w:cs="仿宋"/>
          <w:b/>
          <w:color w:val="auto"/>
          <w:sz w:val="24"/>
          <w:szCs w:val="20"/>
        </w:rPr>
      </w:pPr>
    </w:p>
    <w:p w14:paraId="333B4F24">
      <w:pPr>
        <w:adjustRightInd w:val="0"/>
        <w:snapToGrid w:val="0"/>
        <w:spacing w:line="360" w:lineRule="auto"/>
        <w:rPr>
          <w:rFonts w:hint="eastAsia" w:ascii="仿宋" w:hAnsi="仿宋" w:eastAsia="仿宋" w:cs="仿宋"/>
          <w:b/>
          <w:color w:val="auto"/>
          <w:sz w:val="24"/>
          <w:szCs w:val="20"/>
        </w:rPr>
      </w:pPr>
    </w:p>
    <w:p w14:paraId="20A38943">
      <w:pPr>
        <w:adjustRightInd w:val="0"/>
        <w:snapToGrid w:val="0"/>
        <w:spacing w:line="360" w:lineRule="auto"/>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三、符合基本资格条件证明材料复印件或者情况说明</w:t>
      </w:r>
    </w:p>
    <w:p w14:paraId="0C50DDB5">
      <w:pPr>
        <w:adjustRightInd w:val="0"/>
        <w:snapToGrid w:val="0"/>
        <w:spacing w:line="360" w:lineRule="auto"/>
        <w:jc w:val="center"/>
        <w:rPr>
          <w:rFonts w:hint="eastAsia" w:ascii="仿宋" w:hAnsi="仿宋" w:eastAsia="仿宋" w:cs="仿宋"/>
          <w:b/>
          <w:color w:val="auto"/>
          <w:sz w:val="24"/>
          <w:szCs w:val="20"/>
        </w:rPr>
      </w:pPr>
    </w:p>
    <w:p w14:paraId="2E42A1E9">
      <w:pPr>
        <w:pStyle w:val="5"/>
        <w:keepLines w:val="0"/>
        <w:snapToGrid w:val="0"/>
        <w:spacing w:before="0" w:after="0" w:line="520" w:lineRule="exact"/>
        <w:jc w:val="left"/>
        <w:rPr>
          <w:rFonts w:hint="eastAsia" w:ascii="仿宋" w:hAnsi="仿宋" w:eastAsia="仿宋" w:cs="仿宋"/>
          <w:b w:val="0"/>
          <w:bCs/>
          <w:color w:val="auto"/>
          <w:sz w:val="24"/>
          <w:szCs w:val="24"/>
          <w:lang w:bidi="zh-CN"/>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w:t>
      </w:r>
      <w:r>
        <w:rPr>
          <w:rFonts w:hint="eastAsia" w:ascii="仿宋" w:hAnsi="仿宋" w:eastAsia="仿宋" w:cs="仿宋"/>
          <w:b w:val="0"/>
          <w:color w:val="auto"/>
          <w:sz w:val="24"/>
          <w:szCs w:val="24"/>
          <w:lang w:bidi="zh-CN"/>
        </w:rPr>
        <w:t>并加盖单位公章（按顺序装订）。</w:t>
      </w:r>
    </w:p>
    <w:p w14:paraId="71BBFCC2">
      <w:pPr>
        <w:pStyle w:val="4"/>
        <w:jc w:val="center"/>
        <w:rPr>
          <w:rFonts w:hint="eastAsia" w:ascii="仿宋" w:hAnsi="仿宋" w:eastAsia="仿宋" w:cs="仿宋"/>
          <w:color w:val="auto"/>
          <w:kern w:val="0"/>
        </w:rPr>
      </w:pPr>
      <w:r>
        <w:rPr>
          <w:rFonts w:hint="eastAsia" w:ascii="仿宋" w:hAnsi="仿宋" w:eastAsia="仿宋" w:cs="仿宋"/>
          <w:color w:val="auto"/>
          <w:spacing w:val="18"/>
          <w:sz w:val="28"/>
          <w:szCs w:val="28"/>
        </w:rPr>
        <w:t>附件湖</w:t>
      </w:r>
      <w:r>
        <w:rPr>
          <w:rFonts w:hint="eastAsia" w:ascii="仿宋" w:hAnsi="仿宋" w:eastAsia="仿宋" w:cs="仿宋"/>
          <w:color w:val="auto"/>
          <w:spacing w:val="9"/>
          <w:sz w:val="28"/>
          <w:szCs w:val="28"/>
        </w:rPr>
        <w:t>南省政府采购供应商资格承诺函</w:t>
      </w:r>
    </w:p>
    <w:p w14:paraId="5A7B1C5F">
      <w:pPr>
        <w:widowControl/>
        <w:spacing w:after="100" w:afterAutospacing="1" w:line="360" w:lineRule="auto"/>
        <w:ind w:left="227" w:right="113" w:firstLine="482"/>
        <w:jc w:val="left"/>
        <w:rPr>
          <w:rFonts w:hint="eastAsia" w:ascii="仿宋" w:hAnsi="仿宋" w:eastAsia="仿宋" w:cs="仿宋"/>
          <w:color w:val="auto"/>
          <w:szCs w:val="21"/>
        </w:rPr>
      </w:pPr>
      <w:r>
        <w:rPr>
          <w:rFonts w:hint="eastAsia" w:ascii="仿宋" w:hAnsi="仿宋" w:eastAsia="仿宋" w:cs="仿宋"/>
          <w:color w:val="auto"/>
          <w:szCs w:val="21"/>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61B9D1DE">
      <w:pPr>
        <w:widowControl/>
        <w:spacing w:after="100" w:afterAutospacing="1" w:line="360" w:lineRule="auto"/>
        <w:ind w:left="246"/>
        <w:jc w:val="left"/>
        <w:rPr>
          <w:rFonts w:hint="eastAsia" w:ascii="仿宋" w:hAnsi="仿宋" w:eastAsia="仿宋" w:cs="仿宋"/>
          <w:color w:val="auto"/>
          <w:szCs w:val="21"/>
          <w:u w:val="single"/>
          <w:lang w:eastAsia="zh-CN"/>
        </w:rPr>
      </w:pPr>
      <w:r>
        <w:rPr>
          <w:rFonts w:hint="eastAsia" w:ascii="仿宋" w:hAnsi="仿宋" w:eastAsia="仿宋" w:cs="仿宋"/>
          <w:color w:val="auto"/>
          <w:szCs w:val="21"/>
        </w:rPr>
        <w:t>统一社会信用代码：、注册登记机构：、注册日期：、有效期：、注册资本：、地址：、经济行业：、经济性质：</w:t>
      </w:r>
    </w:p>
    <w:p w14:paraId="70A62E4A">
      <w:pPr>
        <w:widowControl/>
        <w:spacing w:after="100" w:afterAutospacing="1" w:line="360" w:lineRule="auto"/>
        <w:ind w:left="246"/>
        <w:jc w:val="left"/>
        <w:rPr>
          <w:rFonts w:hint="eastAsia" w:ascii="仿宋" w:hAnsi="仿宋" w:eastAsia="仿宋" w:cs="仿宋"/>
          <w:color w:val="auto"/>
          <w:szCs w:val="21"/>
        </w:rPr>
      </w:pPr>
      <w:r>
        <w:rPr>
          <w:rFonts w:hint="eastAsia" w:ascii="仿宋" w:hAnsi="仿宋" w:eastAsia="仿宋" w:cs="仿宋"/>
          <w:color w:val="auto"/>
          <w:szCs w:val="21"/>
        </w:rPr>
        <w:t>法定代表人姓名(签字)：、身份证号：、</w:t>
      </w:r>
    </w:p>
    <w:p w14:paraId="3E6A4DE0">
      <w:pPr>
        <w:widowControl/>
        <w:spacing w:after="100" w:afterAutospacing="1" w:line="360" w:lineRule="auto"/>
        <w:ind w:left="246"/>
        <w:jc w:val="left"/>
        <w:rPr>
          <w:rFonts w:hint="eastAsia" w:ascii="仿宋" w:hAnsi="仿宋" w:eastAsia="仿宋" w:cs="仿宋"/>
          <w:color w:val="auto"/>
          <w:szCs w:val="21"/>
          <w:u w:val="single"/>
        </w:rPr>
      </w:pPr>
      <w:r>
        <w:rPr>
          <w:rFonts w:hint="eastAsia" w:ascii="仿宋" w:hAnsi="仿宋" w:eastAsia="仿宋" w:cs="仿宋"/>
          <w:color w:val="auto"/>
          <w:szCs w:val="21"/>
        </w:rPr>
        <w:t>手机号：；</w:t>
      </w:r>
    </w:p>
    <w:p w14:paraId="0CCBD7EE">
      <w:pPr>
        <w:widowControl/>
        <w:spacing w:after="100" w:afterAutospacing="1" w:line="360" w:lineRule="auto"/>
        <w:ind w:left="246" w:hanging="16"/>
        <w:jc w:val="left"/>
        <w:rPr>
          <w:rFonts w:hint="eastAsia" w:ascii="仿宋" w:hAnsi="仿宋" w:eastAsia="仿宋" w:cs="仿宋"/>
          <w:color w:val="auto"/>
          <w:szCs w:val="21"/>
          <w:u w:val="single"/>
          <w:lang w:eastAsia="zh-CN"/>
        </w:rPr>
      </w:pPr>
      <w:r>
        <w:rPr>
          <w:rFonts w:hint="eastAsia" w:ascii="仿宋" w:hAnsi="仿宋" w:eastAsia="仿宋" w:cs="仿宋"/>
          <w:color w:val="auto"/>
          <w:szCs w:val="21"/>
        </w:rPr>
        <w:t>授权代表人姓名(签字)：、身份证号：</w:t>
      </w:r>
    </w:p>
    <w:p w14:paraId="6A137A16">
      <w:pPr>
        <w:widowControl/>
        <w:spacing w:after="100" w:afterAutospacing="1" w:line="360" w:lineRule="auto"/>
        <w:ind w:left="246" w:hanging="16"/>
        <w:jc w:val="left"/>
        <w:rPr>
          <w:rFonts w:hint="eastAsia" w:ascii="仿宋" w:hAnsi="仿宋" w:eastAsia="仿宋" w:cs="仿宋"/>
          <w:color w:val="auto"/>
          <w:szCs w:val="21"/>
          <w:lang w:eastAsia="zh-CN"/>
        </w:rPr>
      </w:pPr>
      <w:r>
        <w:rPr>
          <w:rFonts w:hint="eastAsia" w:ascii="仿宋" w:hAnsi="仿宋" w:eastAsia="仿宋" w:cs="仿宋"/>
          <w:color w:val="auto"/>
          <w:szCs w:val="21"/>
        </w:rPr>
        <w:t>手机号：</w:t>
      </w:r>
      <w:r>
        <w:rPr>
          <w:rFonts w:hint="eastAsia" w:ascii="仿宋" w:hAnsi="仿宋" w:eastAsia="仿宋" w:cs="仿宋"/>
          <w:color w:val="auto"/>
          <w:szCs w:val="21"/>
          <w:u w:val="single"/>
        </w:rPr>
        <w:t>。</w:t>
      </w:r>
    </w:p>
    <w:p w14:paraId="7ECDD202">
      <w:pPr>
        <w:adjustRightInd w:val="0"/>
        <w:snapToGrid w:val="0"/>
        <w:spacing w:line="360" w:lineRule="auto"/>
        <w:rPr>
          <w:rFonts w:hint="eastAsia" w:ascii="仿宋" w:hAnsi="仿宋" w:eastAsia="仿宋" w:cs="仿宋"/>
          <w:color w:val="auto"/>
          <w:szCs w:val="21"/>
        </w:rPr>
      </w:pPr>
    </w:p>
    <w:p w14:paraId="23A74371">
      <w:pPr>
        <w:adjustRightInd w:val="0"/>
        <w:snapToGrid w:val="0"/>
        <w:spacing w:line="360" w:lineRule="auto"/>
        <w:ind w:left="3776" w:leftChars="-302" w:hanging="4410" w:hangingChars="2100"/>
        <w:jc w:val="left"/>
        <w:rPr>
          <w:rFonts w:hint="eastAsia" w:ascii="仿宋" w:hAnsi="仿宋" w:eastAsia="仿宋" w:cs="仿宋"/>
          <w:color w:val="auto"/>
          <w:szCs w:val="21"/>
          <w:u w:val="single"/>
          <w:lang w:eastAsia="zh-CN"/>
        </w:rPr>
      </w:pPr>
      <w:r>
        <w:rPr>
          <w:rFonts w:hint="eastAsia" w:ascii="仿宋" w:hAnsi="仿宋" w:eastAsia="仿宋" w:cs="仿宋"/>
          <w:color w:val="auto"/>
          <w:szCs w:val="21"/>
          <w:lang w:eastAsia="zh-CN"/>
        </w:rPr>
        <w:t>投标人</w:t>
      </w:r>
      <w:r>
        <w:rPr>
          <w:rFonts w:hint="eastAsia" w:ascii="仿宋" w:hAnsi="仿宋" w:eastAsia="仿宋" w:cs="仿宋"/>
          <w:color w:val="auto"/>
          <w:szCs w:val="21"/>
        </w:rPr>
        <w:t>名称（盖公章）：</w:t>
      </w:r>
    </w:p>
    <w:p w14:paraId="3792C2AD">
      <w:pPr>
        <w:adjustRightInd w:val="0"/>
        <w:snapToGrid w:val="0"/>
        <w:spacing w:line="360" w:lineRule="auto"/>
        <w:ind w:left="3776" w:leftChars="-302" w:hanging="4410" w:hangingChars="2100"/>
        <w:jc w:val="right"/>
        <w:rPr>
          <w:rFonts w:hint="eastAsia" w:ascii="仿宋" w:hAnsi="仿宋" w:eastAsia="仿宋" w:cs="仿宋"/>
          <w:color w:val="auto"/>
          <w:szCs w:val="21"/>
        </w:rPr>
      </w:pPr>
      <w:r>
        <w:rPr>
          <w:rFonts w:hint="eastAsia" w:ascii="仿宋" w:hAnsi="仿宋" w:eastAsia="仿宋" w:cs="仿宋"/>
          <w:color w:val="auto"/>
          <w:szCs w:val="21"/>
        </w:rPr>
        <w:t>202</w:t>
      </w:r>
      <w:r>
        <w:rPr>
          <w:rFonts w:hint="eastAsia" w:ascii="仿宋" w:hAnsi="仿宋" w:eastAsia="仿宋" w:cs="仿宋"/>
          <w:color w:val="auto"/>
          <w:szCs w:val="21"/>
          <w:lang w:val="en-US" w:eastAsia="zh-CN"/>
        </w:rPr>
        <w:t>6</w:t>
      </w:r>
      <w:r>
        <w:rPr>
          <w:rFonts w:hint="eastAsia" w:ascii="仿宋" w:hAnsi="仿宋" w:eastAsia="仿宋" w:cs="仿宋"/>
          <w:color w:val="auto"/>
          <w:szCs w:val="21"/>
        </w:rPr>
        <w:t>年月日</w:t>
      </w:r>
    </w:p>
    <w:p w14:paraId="0D833CDD">
      <w:pPr>
        <w:jc w:val="left"/>
        <w:rPr>
          <w:rFonts w:hint="eastAsia" w:ascii="仿宋" w:hAnsi="仿宋" w:eastAsia="仿宋" w:cs="仿宋"/>
          <w:color w:val="auto"/>
          <w:szCs w:val="21"/>
        </w:rPr>
      </w:pPr>
    </w:p>
    <w:p w14:paraId="721B6DD5">
      <w:pPr>
        <w:adjustRightInd w:val="0"/>
        <w:snapToGrid w:val="0"/>
        <w:spacing w:line="520" w:lineRule="exact"/>
        <w:ind w:firstLine="562" w:firstLineChars="200"/>
        <w:jc w:val="left"/>
        <w:rPr>
          <w:rFonts w:hint="eastAsia" w:ascii="仿宋" w:hAnsi="仿宋" w:eastAsia="仿宋" w:cs="仿宋"/>
          <w:b/>
          <w:bCs/>
          <w:color w:val="auto"/>
          <w:sz w:val="28"/>
          <w:szCs w:val="28"/>
        </w:rPr>
      </w:pPr>
    </w:p>
    <w:p w14:paraId="75F74BAF">
      <w:pPr>
        <w:adjustRightInd w:val="0"/>
        <w:snapToGrid w:val="0"/>
        <w:spacing w:line="360" w:lineRule="auto"/>
        <w:jc w:val="center"/>
        <w:rPr>
          <w:rFonts w:hint="eastAsia" w:ascii="仿宋" w:hAnsi="仿宋" w:eastAsia="仿宋" w:cs="仿宋"/>
          <w:b/>
          <w:color w:val="auto"/>
          <w:sz w:val="24"/>
        </w:rPr>
      </w:pPr>
    </w:p>
    <w:p w14:paraId="185C79BA">
      <w:pPr>
        <w:jc w:val="center"/>
        <w:rPr>
          <w:rFonts w:hint="eastAsia" w:ascii="仿宋" w:hAnsi="仿宋" w:eastAsia="仿宋" w:cs="仿宋"/>
          <w:b/>
          <w:color w:val="auto"/>
          <w:sz w:val="24"/>
        </w:rPr>
      </w:pPr>
    </w:p>
    <w:p w14:paraId="2010DD13">
      <w:pPr>
        <w:jc w:val="center"/>
        <w:rPr>
          <w:rFonts w:hint="eastAsia" w:ascii="仿宋" w:hAnsi="仿宋" w:eastAsia="仿宋" w:cs="仿宋"/>
          <w:b/>
          <w:color w:val="auto"/>
          <w:sz w:val="24"/>
        </w:rPr>
        <w:sectPr>
          <w:footerReference r:id="rId6" w:type="default"/>
          <w:pgSz w:w="11906" w:h="16838"/>
          <w:pgMar w:top="1191" w:right="1474" w:bottom="1020" w:left="1474" w:header="567" w:footer="283" w:gutter="0"/>
          <w:pgBorders>
            <w:top w:val="none" w:sz="0" w:space="0"/>
            <w:left w:val="none" w:sz="0" w:space="0"/>
            <w:bottom w:val="none" w:sz="0" w:space="0"/>
            <w:right w:val="none" w:sz="0" w:space="0"/>
          </w:pgBorders>
          <w:cols w:space="720" w:num="1"/>
          <w:docGrid w:linePitch="312" w:charSpace="0"/>
        </w:sectPr>
      </w:pPr>
    </w:p>
    <w:p w14:paraId="63D2ED93">
      <w:pPr>
        <w:spacing w:before="120" w:beforeLines="50" w:after="120" w:afterLines="50" w:line="276" w:lineRule="auto"/>
        <w:jc w:val="cente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rPr>
        <w:t>第三部分、采购需求响应程度</w:t>
      </w:r>
      <w:bookmarkStart w:id="2" w:name="_Toc476514128"/>
      <w:bookmarkStart w:id="3" w:name="_Toc486424819"/>
    </w:p>
    <w:p w14:paraId="642AC7E7">
      <w:pPr>
        <w:pStyle w:val="2"/>
        <w:rPr>
          <w:rFonts w:hint="eastAsia" w:ascii="仿宋" w:hAnsi="仿宋" w:eastAsia="仿宋" w:cs="仿宋"/>
          <w:color w:val="auto"/>
          <w:lang w:eastAsia="zh-CN"/>
        </w:rPr>
      </w:pPr>
    </w:p>
    <w:p w14:paraId="0B2421DB">
      <w:pPr>
        <w:spacing w:before="120" w:beforeLines="50" w:after="120" w:afterLines="50" w:line="276" w:lineRule="auto"/>
        <w:jc w:val="center"/>
        <w:rPr>
          <w:rFonts w:hint="eastAsia" w:ascii="仿宋" w:hAnsi="仿宋" w:eastAsia="仿宋" w:cs="仿宋"/>
          <w:b/>
          <w:color w:val="auto"/>
          <w:sz w:val="24"/>
        </w:rPr>
      </w:pPr>
      <w:r>
        <w:rPr>
          <w:rFonts w:hint="eastAsia" w:ascii="仿宋" w:hAnsi="仿宋" w:eastAsia="仿宋" w:cs="仿宋"/>
          <w:b/>
          <w:color w:val="auto"/>
          <w:sz w:val="24"/>
        </w:rPr>
        <w:t>采购需求响应/偏离表</w:t>
      </w:r>
    </w:p>
    <w:p w14:paraId="3150C125">
      <w:pPr>
        <w:adjustRightInd w:val="0"/>
        <w:snapToGrid w:val="0"/>
        <w:spacing w:line="360" w:lineRule="auto"/>
        <w:rPr>
          <w:rFonts w:hint="eastAsia" w:ascii="仿宋" w:hAnsi="仿宋" w:eastAsia="仿宋" w:cs="仿宋"/>
          <w:color w:val="auto"/>
          <w:szCs w:val="21"/>
        </w:rPr>
      </w:pPr>
      <w:r>
        <w:rPr>
          <w:rFonts w:hint="eastAsia" w:ascii="仿宋" w:hAnsi="仿宋" w:eastAsia="仿宋" w:cs="仿宋"/>
          <w:color w:val="auto"/>
          <w:sz w:val="24"/>
        </w:rPr>
        <w:t>项目编号：项目名称：包号：</w:t>
      </w:r>
    </w:p>
    <w:tbl>
      <w:tblPr>
        <w:tblStyle w:val="2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3573D1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1F24C0B0">
            <w:pPr>
              <w:adjustRightInd w:val="0"/>
              <w:snapToGrid w:val="0"/>
              <w:spacing w:before="50" w:line="360" w:lineRule="auto"/>
              <w:ind w:left="-88" w:leftChars="-42"/>
              <w:jc w:val="center"/>
              <w:rPr>
                <w:rFonts w:hint="eastAsia" w:ascii="仿宋" w:hAnsi="仿宋" w:eastAsia="仿宋" w:cs="仿宋"/>
                <w:color w:val="auto"/>
                <w:szCs w:val="21"/>
              </w:rPr>
            </w:pPr>
            <w:r>
              <w:rPr>
                <w:rFonts w:hint="eastAsia" w:ascii="仿宋" w:hAnsi="仿宋" w:eastAsia="仿宋" w:cs="仿宋"/>
                <w:bCs/>
                <w:color w:val="auto"/>
                <w:szCs w:val="21"/>
              </w:rPr>
              <w:t>序</w:t>
            </w:r>
            <w:r>
              <w:rPr>
                <w:rFonts w:hint="eastAsia" w:ascii="仿宋" w:hAnsi="仿宋" w:eastAsia="仿宋" w:cs="仿宋"/>
                <w:color w:val="auto"/>
                <w:szCs w:val="21"/>
              </w:rPr>
              <w:t>号</w:t>
            </w:r>
          </w:p>
        </w:tc>
        <w:tc>
          <w:tcPr>
            <w:tcW w:w="1123" w:type="pct"/>
            <w:noWrap w:val="0"/>
            <w:vAlign w:val="center"/>
          </w:tcPr>
          <w:p w14:paraId="286EEC22">
            <w:pPr>
              <w:adjustRightInd w:val="0"/>
              <w:snapToGrid w:val="0"/>
              <w:spacing w:before="50" w:line="360" w:lineRule="auto"/>
              <w:ind w:left="-88" w:leftChars="-42"/>
              <w:jc w:val="center"/>
              <w:rPr>
                <w:rFonts w:hint="eastAsia" w:ascii="仿宋" w:hAnsi="仿宋" w:eastAsia="仿宋" w:cs="仿宋"/>
                <w:color w:val="auto"/>
                <w:szCs w:val="21"/>
              </w:rPr>
            </w:pPr>
            <w:r>
              <w:rPr>
                <w:rFonts w:hint="eastAsia" w:ascii="仿宋" w:hAnsi="仿宋" w:eastAsia="仿宋" w:cs="仿宋"/>
                <w:color w:val="auto"/>
                <w:szCs w:val="21"/>
              </w:rPr>
              <w:t>招标文件章节</w:t>
            </w:r>
            <w:r>
              <w:rPr>
                <w:rFonts w:hint="eastAsia" w:ascii="仿宋" w:hAnsi="仿宋" w:eastAsia="仿宋" w:cs="仿宋"/>
                <w:bCs/>
                <w:color w:val="auto"/>
                <w:szCs w:val="21"/>
              </w:rPr>
              <w:t>条</w:t>
            </w:r>
            <w:r>
              <w:rPr>
                <w:rFonts w:hint="eastAsia" w:ascii="仿宋" w:hAnsi="仿宋" w:eastAsia="仿宋" w:cs="仿宋"/>
                <w:color w:val="auto"/>
                <w:szCs w:val="21"/>
              </w:rPr>
              <w:t>款号</w:t>
            </w:r>
          </w:p>
        </w:tc>
        <w:tc>
          <w:tcPr>
            <w:tcW w:w="1000" w:type="pct"/>
            <w:noWrap w:val="0"/>
            <w:vAlign w:val="top"/>
          </w:tcPr>
          <w:p w14:paraId="3CBA7800">
            <w:pPr>
              <w:adjustRightInd w:val="0"/>
              <w:snapToGrid w:val="0"/>
              <w:spacing w:before="50" w:line="360" w:lineRule="auto"/>
              <w:jc w:val="center"/>
              <w:rPr>
                <w:rFonts w:hint="eastAsia" w:ascii="仿宋" w:hAnsi="仿宋" w:eastAsia="仿宋" w:cs="仿宋"/>
                <w:color w:val="auto"/>
              </w:rPr>
            </w:pPr>
            <w:r>
              <w:rPr>
                <w:rFonts w:hint="eastAsia" w:ascii="仿宋" w:hAnsi="仿宋" w:eastAsia="仿宋" w:cs="仿宋"/>
                <w:color w:val="auto"/>
              </w:rPr>
              <w:t>招标文件要求</w:t>
            </w:r>
          </w:p>
        </w:tc>
        <w:tc>
          <w:tcPr>
            <w:tcW w:w="962" w:type="pct"/>
            <w:noWrap w:val="0"/>
            <w:vAlign w:val="top"/>
          </w:tcPr>
          <w:p w14:paraId="1EC0AB32">
            <w:pPr>
              <w:adjustRightInd w:val="0"/>
              <w:snapToGrid w:val="0"/>
              <w:spacing w:before="50" w:line="360" w:lineRule="auto"/>
              <w:jc w:val="center"/>
              <w:rPr>
                <w:rFonts w:hint="eastAsia" w:ascii="仿宋" w:hAnsi="仿宋" w:eastAsia="仿宋" w:cs="仿宋"/>
                <w:color w:val="auto"/>
              </w:rPr>
            </w:pPr>
            <w:r>
              <w:rPr>
                <w:rFonts w:hint="eastAsia" w:ascii="仿宋" w:hAnsi="仿宋" w:eastAsia="仿宋" w:cs="仿宋"/>
                <w:color w:val="auto"/>
              </w:rPr>
              <w:t>投标文件应答</w:t>
            </w:r>
          </w:p>
        </w:tc>
        <w:tc>
          <w:tcPr>
            <w:tcW w:w="905" w:type="pct"/>
            <w:noWrap w:val="0"/>
            <w:vAlign w:val="center"/>
          </w:tcPr>
          <w:p w14:paraId="7FE9C5A1">
            <w:pPr>
              <w:adjustRightInd w:val="0"/>
              <w:snapToGrid w:val="0"/>
              <w:spacing w:before="50" w:line="360" w:lineRule="auto"/>
              <w:ind w:left="-88" w:leftChars="-42"/>
              <w:jc w:val="center"/>
              <w:rPr>
                <w:rFonts w:hint="eastAsia" w:ascii="仿宋" w:hAnsi="仿宋" w:eastAsia="仿宋" w:cs="仿宋"/>
                <w:color w:val="auto"/>
                <w:szCs w:val="21"/>
              </w:rPr>
            </w:pPr>
            <w:r>
              <w:rPr>
                <w:rFonts w:hint="eastAsia" w:ascii="仿宋" w:hAnsi="仿宋" w:eastAsia="仿宋" w:cs="仿宋"/>
                <w:color w:val="auto"/>
                <w:szCs w:val="21"/>
              </w:rPr>
              <w:t>响应/偏离</w:t>
            </w:r>
          </w:p>
        </w:tc>
        <w:tc>
          <w:tcPr>
            <w:tcW w:w="634" w:type="pct"/>
            <w:noWrap w:val="0"/>
            <w:vAlign w:val="center"/>
          </w:tcPr>
          <w:p w14:paraId="425F0DFC">
            <w:pPr>
              <w:adjustRightInd w:val="0"/>
              <w:snapToGrid w:val="0"/>
              <w:spacing w:before="50" w:line="360" w:lineRule="auto"/>
              <w:ind w:left="-88" w:leftChars="-42"/>
              <w:jc w:val="center"/>
              <w:rPr>
                <w:rFonts w:hint="eastAsia" w:ascii="仿宋" w:hAnsi="仿宋" w:eastAsia="仿宋" w:cs="仿宋"/>
                <w:color w:val="auto"/>
                <w:szCs w:val="21"/>
              </w:rPr>
            </w:pPr>
            <w:r>
              <w:rPr>
                <w:rFonts w:hint="eastAsia" w:ascii="仿宋" w:hAnsi="仿宋" w:eastAsia="仿宋" w:cs="仿宋"/>
                <w:color w:val="auto"/>
                <w:szCs w:val="21"/>
              </w:rPr>
              <w:t>偏离说明</w:t>
            </w:r>
          </w:p>
        </w:tc>
      </w:tr>
      <w:tr w14:paraId="608AB3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37C9D25">
            <w:pPr>
              <w:adjustRightInd w:val="0"/>
              <w:snapToGrid w:val="0"/>
              <w:spacing w:before="50" w:line="360" w:lineRule="auto"/>
              <w:ind w:left="-88" w:leftChars="-42"/>
              <w:jc w:val="center"/>
              <w:rPr>
                <w:rFonts w:hint="eastAsia" w:ascii="仿宋" w:hAnsi="仿宋" w:eastAsia="仿宋" w:cs="仿宋"/>
                <w:color w:val="auto"/>
                <w:szCs w:val="21"/>
              </w:rPr>
            </w:pPr>
          </w:p>
        </w:tc>
        <w:tc>
          <w:tcPr>
            <w:tcW w:w="1123" w:type="pct"/>
            <w:noWrap w:val="0"/>
            <w:vAlign w:val="center"/>
          </w:tcPr>
          <w:p w14:paraId="0FF7E878">
            <w:pPr>
              <w:adjustRightInd w:val="0"/>
              <w:snapToGrid w:val="0"/>
              <w:spacing w:before="50" w:line="360" w:lineRule="auto"/>
              <w:ind w:left="-88" w:leftChars="-42"/>
              <w:jc w:val="center"/>
              <w:rPr>
                <w:rFonts w:hint="eastAsia" w:ascii="仿宋" w:hAnsi="仿宋" w:eastAsia="仿宋" w:cs="仿宋"/>
                <w:color w:val="auto"/>
                <w:szCs w:val="21"/>
              </w:rPr>
            </w:pPr>
          </w:p>
        </w:tc>
        <w:tc>
          <w:tcPr>
            <w:tcW w:w="1000" w:type="pct"/>
            <w:noWrap w:val="0"/>
            <w:vAlign w:val="center"/>
          </w:tcPr>
          <w:p w14:paraId="72456CA2">
            <w:pPr>
              <w:adjustRightInd w:val="0"/>
              <w:snapToGrid w:val="0"/>
              <w:spacing w:before="50" w:line="360" w:lineRule="auto"/>
              <w:ind w:left="-88" w:leftChars="-42"/>
              <w:jc w:val="center"/>
              <w:rPr>
                <w:rFonts w:hint="eastAsia" w:ascii="仿宋" w:hAnsi="仿宋" w:eastAsia="仿宋" w:cs="仿宋"/>
                <w:color w:val="auto"/>
                <w:szCs w:val="21"/>
              </w:rPr>
            </w:pPr>
          </w:p>
        </w:tc>
        <w:tc>
          <w:tcPr>
            <w:tcW w:w="962" w:type="pct"/>
            <w:noWrap w:val="0"/>
            <w:vAlign w:val="center"/>
          </w:tcPr>
          <w:p w14:paraId="50DB2EE1">
            <w:pPr>
              <w:adjustRightInd w:val="0"/>
              <w:snapToGrid w:val="0"/>
              <w:spacing w:before="50" w:line="360" w:lineRule="auto"/>
              <w:ind w:left="-88" w:leftChars="-42"/>
              <w:jc w:val="center"/>
              <w:rPr>
                <w:rFonts w:hint="eastAsia" w:ascii="仿宋" w:hAnsi="仿宋" w:eastAsia="仿宋" w:cs="仿宋"/>
                <w:color w:val="auto"/>
                <w:szCs w:val="21"/>
              </w:rPr>
            </w:pPr>
          </w:p>
        </w:tc>
        <w:tc>
          <w:tcPr>
            <w:tcW w:w="905" w:type="pct"/>
            <w:noWrap w:val="0"/>
            <w:vAlign w:val="center"/>
          </w:tcPr>
          <w:p w14:paraId="67E89591">
            <w:pPr>
              <w:adjustRightInd w:val="0"/>
              <w:snapToGrid w:val="0"/>
              <w:spacing w:before="50" w:line="360" w:lineRule="auto"/>
              <w:ind w:left="-88" w:leftChars="-42"/>
              <w:jc w:val="center"/>
              <w:rPr>
                <w:rFonts w:hint="eastAsia" w:ascii="仿宋" w:hAnsi="仿宋" w:eastAsia="仿宋" w:cs="仿宋"/>
                <w:color w:val="auto"/>
                <w:szCs w:val="21"/>
              </w:rPr>
            </w:pPr>
          </w:p>
        </w:tc>
        <w:tc>
          <w:tcPr>
            <w:tcW w:w="634" w:type="pct"/>
            <w:noWrap w:val="0"/>
            <w:vAlign w:val="center"/>
          </w:tcPr>
          <w:p w14:paraId="4DBBA201">
            <w:pPr>
              <w:adjustRightInd w:val="0"/>
              <w:snapToGrid w:val="0"/>
              <w:spacing w:before="50" w:line="360" w:lineRule="auto"/>
              <w:ind w:left="-88" w:leftChars="-42"/>
              <w:jc w:val="center"/>
              <w:rPr>
                <w:rFonts w:hint="eastAsia" w:ascii="仿宋" w:hAnsi="仿宋" w:eastAsia="仿宋" w:cs="仿宋"/>
                <w:color w:val="auto"/>
                <w:szCs w:val="21"/>
              </w:rPr>
            </w:pPr>
          </w:p>
        </w:tc>
      </w:tr>
      <w:tr w14:paraId="350FBF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284AEC48">
            <w:pPr>
              <w:adjustRightInd w:val="0"/>
              <w:snapToGrid w:val="0"/>
              <w:spacing w:before="50" w:line="360" w:lineRule="auto"/>
              <w:ind w:left="-88" w:leftChars="-42"/>
              <w:jc w:val="center"/>
              <w:rPr>
                <w:rFonts w:hint="eastAsia" w:ascii="仿宋" w:hAnsi="仿宋" w:eastAsia="仿宋" w:cs="仿宋"/>
                <w:color w:val="auto"/>
                <w:szCs w:val="21"/>
              </w:rPr>
            </w:pPr>
          </w:p>
        </w:tc>
        <w:tc>
          <w:tcPr>
            <w:tcW w:w="1123" w:type="pct"/>
            <w:noWrap w:val="0"/>
            <w:vAlign w:val="center"/>
          </w:tcPr>
          <w:p w14:paraId="05F10263">
            <w:pPr>
              <w:adjustRightInd w:val="0"/>
              <w:snapToGrid w:val="0"/>
              <w:spacing w:before="50" w:line="360" w:lineRule="auto"/>
              <w:ind w:left="-88" w:leftChars="-42"/>
              <w:jc w:val="center"/>
              <w:rPr>
                <w:rFonts w:hint="eastAsia" w:ascii="仿宋" w:hAnsi="仿宋" w:eastAsia="仿宋" w:cs="仿宋"/>
                <w:color w:val="auto"/>
                <w:szCs w:val="21"/>
              </w:rPr>
            </w:pPr>
          </w:p>
        </w:tc>
        <w:tc>
          <w:tcPr>
            <w:tcW w:w="1000" w:type="pct"/>
            <w:noWrap w:val="0"/>
            <w:vAlign w:val="center"/>
          </w:tcPr>
          <w:p w14:paraId="5A970449">
            <w:pPr>
              <w:adjustRightInd w:val="0"/>
              <w:snapToGrid w:val="0"/>
              <w:spacing w:before="50" w:line="360" w:lineRule="auto"/>
              <w:ind w:left="-88" w:leftChars="-42"/>
              <w:jc w:val="center"/>
              <w:rPr>
                <w:rFonts w:hint="eastAsia" w:ascii="仿宋" w:hAnsi="仿宋" w:eastAsia="仿宋" w:cs="仿宋"/>
                <w:color w:val="auto"/>
                <w:szCs w:val="21"/>
              </w:rPr>
            </w:pPr>
          </w:p>
        </w:tc>
        <w:tc>
          <w:tcPr>
            <w:tcW w:w="962" w:type="pct"/>
            <w:noWrap w:val="0"/>
            <w:vAlign w:val="center"/>
          </w:tcPr>
          <w:p w14:paraId="6280CB75">
            <w:pPr>
              <w:adjustRightInd w:val="0"/>
              <w:snapToGrid w:val="0"/>
              <w:spacing w:before="50" w:line="360" w:lineRule="auto"/>
              <w:ind w:left="-88" w:leftChars="-42"/>
              <w:jc w:val="center"/>
              <w:rPr>
                <w:rFonts w:hint="eastAsia" w:ascii="仿宋" w:hAnsi="仿宋" w:eastAsia="仿宋" w:cs="仿宋"/>
                <w:color w:val="auto"/>
                <w:szCs w:val="21"/>
              </w:rPr>
            </w:pPr>
          </w:p>
        </w:tc>
        <w:tc>
          <w:tcPr>
            <w:tcW w:w="905" w:type="pct"/>
            <w:noWrap w:val="0"/>
            <w:vAlign w:val="center"/>
          </w:tcPr>
          <w:p w14:paraId="75824274">
            <w:pPr>
              <w:adjustRightInd w:val="0"/>
              <w:snapToGrid w:val="0"/>
              <w:spacing w:before="50" w:line="360" w:lineRule="auto"/>
              <w:ind w:left="-88" w:leftChars="-42"/>
              <w:jc w:val="center"/>
              <w:rPr>
                <w:rFonts w:hint="eastAsia" w:ascii="仿宋" w:hAnsi="仿宋" w:eastAsia="仿宋" w:cs="仿宋"/>
                <w:color w:val="auto"/>
                <w:szCs w:val="21"/>
              </w:rPr>
            </w:pPr>
          </w:p>
        </w:tc>
        <w:tc>
          <w:tcPr>
            <w:tcW w:w="634" w:type="pct"/>
            <w:noWrap w:val="0"/>
            <w:vAlign w:val="center"/>
          </w:tcPr>
          <w:p w14:paraId="0515E004">
            <w:pPr>
              <w:adjustRightInd w:val="0"/>
              <w:snapToGrid w:val="0"/>
              <w:spacing w:before="50" w:line="360" w:lineRule="auto"/>
              <w:ind w:left="-88" w:leftChars="-42"/>
              <w:jc w:val="center"/>
              <w:rPr>
                <w:rFonts w:hint="eastAsia" w:ascii="仿宋" w:hAnsi="仿宋" w:eastAsia="仿宋" w:cs="仿宋"/>
                <w:color w:val="auto"/>
                <w:szCs w:val="21"/>
              </w:rPr>
            </w:pPr>
          </w:p>
        </w:tc>
      </w:tr>
      <w:tr w14:paraId="625BA5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710F293">
            <w:pPr>
              <w:adjustRightInd w:val="0"/>
              <w:snapToGrid w:val="0"/>
              <w:spacing w:before="50" w:line="360" w:lineRule="auto"/>
              <w:ind w:left="-88" w:leftChars="-42"/>
              <w:jc w:val="center"/>
              <w:rPr>
                <w:rFonts w:hint="eastAsia" w:ascii="仿宋" w:hAnsi="仿宋" w:eastAsia="仿宋" w:cs="仿宋"/>
                <w:color w:val="auto"/>
                <w:szCs w:val="21"/>
              </w:rPr>
            </w:pPr>
          </w:p>
        </w:tc>
        <w:tc>
          <w:tcPr>
            <w:tcW w:w="1123" w:type="pct"/>
            <w:noWrap w:val="0"/>
            <w:vAlign w:val="center"/>
          </w:tcPr>
          <w:p w14:paraId="43DF5D16">
            <w:pPr>
              <w:adjustRightInd w:val="0"/>
              <w:snapToGrid w:val="0"/>
              <w:spacing w:before="50" w:line="360" w:lineRule="auto"/>
              <w:ind w:left="-88" w:leftChars="-42"/>
              <w:jc w:val="center"/>
              <w:rPr>
                <w:rFonts w:hint="eastAsia" w:ascii="仿宋" w:hAnsi="仿宋" w:eastAsia="仿宋" w:cs="仿宋"/>
                <w:color w:val="auto"/>
                <w:szCs w:val="21"/>
              </w:rPr>
            </w:pPr>
          </w:p>
        </w:tc>
        <w:tc>
          <w:tcPr>
            <w:tcW w:w="1000" w:type="pct"/>
            <w:noWrap w:val="0"/>
            <w:vAlign w:val="center"/>
          </w:tcPr>
          <w:p w14:paraId="458FD11F">
            <w:pPr>
              <w:adjustRightInd w:val="0"/>
              <w:snapToGrid w:val="0"/>
              <w:spacing w:before="50" w:line="360" w:lineRule="auto"/>
              <w:ind w:left="-88" w:leftChars="-42"/>
              <w:jc w:val="center"/>
              <w:rPr>
                <w:rFonts w:hint="eastAsia" w:ascii="仿宋" w:hAnsi="仿宋" w:eastAsia="仿宋" w:cs="仿宋"/>
                <w:color w:val="auto"/>
                <w:szCs w:val="21"/>
              </w:rPr>
            </w:pPr>
          </w:p>
        </w:tc>
        <w:tc>
          <w:tcPr>
            <w:tcW w:w="962" w:type="pct"/>
            <w:noWrap w:val="0"/>
            <w:vAlign w:val="center"/>
          </w:tcPr>
          <w:p w14:paraId="0E311E4F">
            <w:pPr>
              <w:adjustRightInd w:val="0"/>
              <w:snapToGrid w:val="0"/>
              <w:spacing w:before="50" w:line="360" w:lineRule="auto"/>
              <w:ind w:left="-88" w:leftChars="-42"/>
              <w:jc w:val="center"/>
              <w:rPr>
                <w:rFonts w:hint="eastAsia" w:ascii="仿宋" w:hAnsi="仿宋" w:eastAsia="仿宋" w:cs="仿宋"/>
                <w:color w:val="auto"/>
                <w:szCs w:val="21"/>
              </w:rPr>
            </w:pPr>
          </w:p>
        </w:tc>
        <w:tc>
          <w:tcPr>
            <w:tcW w:w="905" w:type="pct"/>
            <w:noWrap w:val="0"/>
            <w:vAlign w:val="center"/>
          </w:tcPr>
          <w:p w14:paraId="32E31D02">
            <w:pPr>
              <w:adjustRightInd w:val="0"/>
              <w:snapToGrid w:val="0"/>
              <w:spacing w:before="50" w:line="360" w:lineRule="auto"/>
              <w:ind w:left="-88" w:leftChars="-42"/>
              <w:jc w:val="center"/>
              <w:rPr>
                <w:rFonts w:hint="eastAsia" w:ascii="仿宋" w:hAnsi="仿宋" w:eastAsia="仿宋" w:cs="仿宋"/>
                <w:color w:val="auto"/>
                <w:szCs w:val="21"/>
              </w:rPr>
            </w:pPr>
          </w:p>
        </w:tc>
        <w:tc>
          <w:tcPr>
            <w:tcW w:w="634" w:type="pct"/>
            <w:noWrap w:val="0"/>
            <w:vAlign w:val="center"/>
          </w:tcPr>
          <w:p w14:paraId="7057EBD7">
            <w:pPr>
              <w:adjustRightInd w:val="0"/>
              <w:snapToGrid w:val="0"/>
              <w:spacing w:before="50" w:line="360" w:lineRule="auto"/>
              <w:ind w:left="-88" w:leftChars="-42"/>
              <w:jc w:val="center"/>
              <w:rPr>
                <w:rFonts w:hint="eastAsia" w:ascii="仿宋" w:hAnsi="仿宋" w:eastAsia="仿宋" w:cs="仿宋"/>
                <w:color w:val="auto"/>
                <w:szCs w:val="21"/>
              </w:rPr>
            </w:pPr>
          </w:p>
        </w:tc>
      </w:tr>
      <w:tr w14:paraId="0D4AB6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207B0885">
            <w:pPr>
              <w:rPr>
                <w:rFonts w:hint="eastAsia" w:ascii="仿宋" w:hAnsi="仿宋" w:eastAsia="仿宋" w:cs="仿宋"/>
                <w:b/>
                <w:color w:val="auto"/>
              </w:rPr>
            </w:pPr>
            <w:r>
              <w:rPr>
                <w:rFonts w:hint="eastAsia" w:ascii="仿宋" w:hAnsi="仿宋" w:eastAsia="仿宋" w:cs="仿宋"/>
                <w:b/>
                <w:color w:val="auto"/>
              </w:rPr>
              <w:t>投标人保证：我单位对招标文件的其他采购需求条款完全响应，无偏离。</w:t>
            </w:r>
          </w:p>
        </w:tc>
      </w:tr>
    </w:tbl>
    <w:p w14:paraId="0B3568DA">
      <w:pPr>
        <w:adjustRightInd w:val="0"/>
        <w:snapToGrid w:val="0"/>
        <w:spacing w:before="50" w:line="360" w:lineRule="auto"/>
        <w:ind w:left="-88" w:leftChars="-42"/>
        <w:rPr>
          <w:rFonts w:hint="eastAsia" w:ascii="仿宋" w:hAnsi="仿宋" w:eastAsia="仿宋" w:cs="仿宋"/>
          <w:color w:val="auto"/>
          <w:sz w:val="24"/>
        </w:rPr>
      </w:pPr>
      <w:r>
        <w:rPr>
          <w:rFonts w:hint="eastAsia" w:ascii="仿宋" w:hAnsi="仿宋" w:eastAsia="仿宋" w:cs="仿宋"/>
          <w:b/>
          <w:color w:val="auto"/>
          <w:sz w:val="24"/>
        </w:rPr>
        <w:t>备注</w:t>
      </w:r>
      <w:r>
        <w:rPr>
          <w:rFonts w:hint="eastAsia" w:ascii="仿宋" w:hAnsi="仿宋" w:eastAsia="仿宋" w:cs="仿宋"/>
          <w:color w:val="auto"/>
          <w:sz w:val="24"/>
        </w:rPr>
        <w:t>：</w:t>
      </w:r>
    </w:p>
    <w:bookmarkEnd w:id="2"/>
    <w:bookmarkEnd w:id="3"/>
    <w:p w14:paraId="129BF001">
      <w:pPr>
        <w:adjustRightInd w:val="0"/>
        <w:snapToGrid w:val="0"/>
        <w:spacing w:before="50" w:line="360" w:lineRule="auto"/>
        <w:ind w:left="-88" w:leftChars="-42"/>
        <w:rPr>
          <w:rFonts w:hint="eastAsia" w:ascii="仿宋" w:hAnsi="仿宋" w:eastAsia="仿宋" w:cs="仿宋"/>
          <w:color w:val="auto"/>
          <w:sz w:val="24"/>
        </w:rPr>
      </w:pPr>
      <w:r>
        <w:rPr>
          <w:rFonts w:hint="eastAsia" w:ascii="仿宋" w:hAnsi="仿宋" w:eastAsia="仿宋" w:cs="仿宋"/>
          <w:color w:val="auto"/>
          <w:sz w:val="24"/>
        </w:rPr>
        <w:t>（1）投标人应根据招标文件第</w:t>
      </w:r>
      <w:r>
        <w:rPr>
          <w:rFonts w:hint="eastAsia" w:ascii="仿宋" w:hAnsi="仿宋" w:eastAsia="仿宋" w:cs="仿宋"/>
          <w:color w:val="auto"/>
          <w:sz w:val="24"/>
          <w:lang w:val="en-US" w:eastAsia="zh-CN"/>
        </w:rPr>
        <w:t>三</w:t>
      </w:r>
      <w:r>
        <w:rPr>
          <w:rFonts w:hint="eastAsia" w:ascii="仿宋" w:hAnsi="仿宋" w:eastAsia="仿宋" w:cs="仿宋"/>
          <w:color w:val="auto"/>
          <w:sz w:val="24"/>
        </w:rPr>
        <w:t>章采购需求</w:t>
      </w:r>
      <w:r>
        <w:rPr>
          <w:rFonts w:hint="eastAsia" w:ascii="仿宋" w:hAnsi="仿宋" w:eastAsia="仿宋" w:cs="仿宋"/>
          <w:color w:val="auto"/>
          <w:sz w:val="24"/>
          <w:lang w:eastAsia="zh-CN"/>
        </w:rPr>
        <w:t>和第四章</w:t>
      </w:r>
      <w:r>
        <w:rPr>
          <w:rFonts w:hint="eastAsia" w:ascii="仿宋" w:hAnsi="仿宋" w:eastAsia="仿宋" w:cs="仿宋"/>
          <w:color w:val="auto"/>
          <w:sz w:val="24"/>
          <w:lang w:val="en-US" w:eastAsia="zh-CN"/>
        </w:rPr>
        <w:t>合同主要条款</w:t>
      </w:r>
      <w:r>
        <w:rPr>
          <w:rFonts w:hint="eastAsia" w:ascii="仿宋" w:hAnsi="仿宋" w:eastAsia="仿宋" w:cs="仿宋"/>
          <w:color w:val="auto"/>
          <w:sz w:val="24"/>
        </w:rPr>
        <w:t>填写本表，逐条应答；</w:t>
      </w:r>
    </w:p>
    <w:p w14:paraId="2D87CAE4">
      <w:pPr>
        <w:adjustRightInd w:val="0"/>
        <w:snapToGrid w:val="0"/>
        <w:spacing w:before="50" w:line="360" w:lineRule="auto"/>
        <w:ind w:left="-88" w:leftChars="-42"/>
        <w:rPr>
          <w:rFonts w:hint="eastAsia" w:ascii="仿宋" w:hAnsi="仿宋" w:eastAsia="仿宋" w:cs="仿宋"/>
          <w:color w:val="auto"/>
          <w:sz w:val="24"/>
        </w:rPr>
      </w:pPr>
      <w:r>
        <w:rPr>
          <w:rFonts w:hint="eastAsia" w:ascii="仿宋" w:hAnsi="仿宋" w:eastAsia="仿宋" w:cs="仿宋"/>
          <w:color w:val="auto"/>
          <w:sz w:val="24"/>
        </w:rPr>
        <w:t>（2）如不提供此表，则视为投标人不满足招标文件第</w:t>
      </w:r>
      <w:r>
        <w:rPr>
          <w:rFonts w:hint="eastAsia" w:ascii="仿宋" w:hAnsi="仿宋" w:eastAsia="仿宋" w:cs="仿宋"/>
          <w:color w:val="auto"/>
          <w:sz w:val="24"/>
          <w:lang w:val="en-US" w:eastAsia="zh-CN"/>
        </w:rPr>
        <w:t>三</w:t>
      </w:r>
      <w:r>
        <w:rPr>
          <w:rFonts w:hint="eastAsia" w:ascii="仿宋" w:hAnsi="仿宋" w:eastAsia="仿宋" w:cs="仿宋"/>
          <w:color w:val="auto"/>
          <w:sz w:val="24"/>
        </w:rPr>
        <w:t>章采购需求</w:t>
      </w:r>
      <w:r>
        <w:rPr>
          <w:rFonts w:hint="eastAsia" w:ascii="仿宋" w:hAnsi="仿宋" w:eastAsia="仿宋" w:cs="仿宋"/>
          <w:color w:val="auto"/>
          <w:sz w:val="24"/>
          <w:lang w:eastAsia="zh-CN"/>
        </w:rPr>
        <w:t>和第四章</w:t>
      </w:r>
      <w:r>
        <w:rPr>
          <w:rFonts w:hint="eastAsia" w:ascii="仿宋" w:hAnsi="仿宋" w:eastAsia="仿宋" w:cs="仿宋"/>
          <w:color w:val="auto"/>
          <w:sz w:val="24"/>
          <w:lang w:val="en-US" w:eastAsia="zh-CN"/>
        </w:rPr>
        <w:t>合同主要条款</w:t>
      </w:r>
      <w:r>
        <w:rPr>
          <w:rFonts w:hint="eastAsia" w:ascii="仿宋" w:hAnsi="仿宋" w:eastAsia="仿宋" w:cs="仿宋"/>
          <w:color w:val="auto"/>
          <w:sz w:val="24"/>
        </w:rPr>
        <w:t>的所有条款要求，其投标无效；</w:t>
      </w:r>
    </w:p>
    <w:p w14:paraId="2F1DDC1A">
      <w:pPr>
        <w:adjustRightInd w:val="0"/>
        <w:snapToGrid w:val="0"/>
        <w:spacing w:before="50" w:line="360" w:lineRule="auto"/>
        <w:ind w:left="-88" w:leftChars="-42"/>
        <w:rPr>
          <w:rFonts w:hint="eastAsia" w:ascii="仿宋" w:hAnsi="仿宋" w:eastAsia="仿宋" w:cs="仿宋"/>
          <w:color w:val="auto"/>
          <w:sz w:val="24"/>
        </w:rPr>
      </w:pPr>
      <w:r>
        <w:rPr>
          <w:rFonts w:hint="eastAsia" w:ascii="仿宋" w:hAnsi="仿宋" w:eastAsia="仿宋" w:cs="仿宋"/>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14:paraId="7A7A5ED9">
      <w:pPr>
        <w:adjustRightInd w:val="0"/>
        <w:snapToGrid w:val="0"/>
        <w:spacing w:before="120" w:beforeLines="50" w:line="360" w:lineRule="auto"/>
        <w:rPr>
          <w:rFonts w:hint="eastAsia" w:ascii="仿宋" w:hAnsi="仿宋" w:eastAsia="仿宋" w:cs="仿宋"/>
          <w:color w:val="auto"/>
          <w:sz w:val="24"/>
        </w:rPr>
      </w:pPr>
    </w:p>
    <w:p w14:paraId="5AEAB38A">
      <w:pPr>
        <w:spacing w:before="120" w:beforeLines="50" w:after="120" w:afterLines="50" w:line="276" w:lineRule="auto"/>
        <w:rPr>
          <w:rFonts w:hint="eastAsia" w:ascii="仿宋" w:hAnsi="仿宋" w:eastAsia="仿宋" w:cs="仿宋"/>
          <w:b/>
          <w:bCs/>
          <w:color w:val="auto"/>
          <w:sz w:val="28"/>
          <w:szCs w:val="28"/>
          <w:lang w:eastAsia="zh-CN"/>
        </w:rPr>
      </w:pPr>
    </w:p>
    <w:p w14:paraId="1BCC1D75">
      <w:pPr>
        <w:pStyle w:val="2"/>
        <w:rPr>
          <w:rFonts w:hint="eastAsia" w:ascii="仿宋" w:hAnsi="仿宋" w:eastAsia="仿宋" w:cs="仿宋"/>
          <w:color w:val="auto"/>
          <w:lang w:eastAsia="zh-CN"/>
        </w:rPr>
      </w:pPr>
    </w:p>
    <w:p w14:paraId="07543A46">
      <w:pPr>
        <w:spacing w:before="120" w:beforeLines="50" w:after="120" w:afterLines="50" w:line="276" w:lineRule="auto"/>
        <w:jc w:val="center"/>
        <w:rPr>
          <w:rFonts w:hint="eastAsia" w:ascii="仿宋" w:hAnsi="仿宋" w:eastAsia="仿宋" w:cs="仿宋"/>
          <w:color w:val="auto"/>
          <w:sz w:val="24"/>
        </w:rPr>
      </w:pPr>
    </w:p>
    <w:p w14:paraId="6980BB82">
      <w:pPr>
        <w:adjustRightInd w:val="0"/>
        <w:snapToGrid w:val="0"/>
        <w:spacing w:before="120" w:beforeLines="50" w:line="360" w:lineRule="auto"/>
        <w:rPr>
          <w:rFonts w:hint="eastAsia" w:ascii="仿宋" w:hAnsi="仿宋" w:eastAsia="仿宋" w:cs="仿宋"/>
          <w:b/>
          <w:color w:val="auto"/>
          <w:sz w:val="24"/>
        </w:rPr>
      </w:pPr>
    </w:p>
    <w:p w14:paraId="2566C1A7">
      <w:pPr>
        <w:pStyle w:val="30"/>
        <w:rPr>
          <w:rFonts w:hint="eastAsia" w:ascii="仿宋" w:hAnsi="仿宋" w:eastAsia="仿宋" w:cs="仿宋"/>
          <w:color w:val="auto"/>
        </w:rPr>
      </w:pPr>
    </w:p>
    <w:p w14:paraId="5E3D34A5">
      <w:pPr>
        <w:pStyle w:val="30"/>
        <w:rPr>
          <w:rFonts w:hint="eastAsia" w:ascii="仿宋" w:hAnsi="仿宋" w:eastAsia="仿宋" w:cs="仿宋"/>
          <w:color w:val="auto"/>
        </w:rPr>
      </w:pPr>
    </w:p>
    <w:p w14:paraId="415C1EA6">
      <w:pPr>
        <w:pStyle w:val="30"/>
        <w:rPr>
          <w:rFonts w:hint="eastAsia" w:ascii="仿宋" w:hAnsi="仿宋" w:eastAsia="仿宋" w:cs="仿宋"/>
          <w:color w:val="auto"/>
        </w:rPr>
      </w:pPr>
    </w:p>
    <w:p w14:paraId="3338A12E">
      <w:pPr>
        <w:pStyle w:val="30"/>
        <w:rPr>
          <w:rFonts w:hint="eastAsia" w:ascii="仿宋" w:hAnsi="仿宋" w:eastAsia="仿宋" w:cs="仿宋"/>
          <w:color w:val="auto"/>
        </w:rPr>
      </w:pPr>
    </w:p>
    <w:p w14:paraId="5248C52D">
      <w:pPr>
        <w:pStyle w:val="30"/>
        <w:rPr>
          <w:rFonts w:hint="eastAsia" w:ascii="仿宋" w:hAnsi="仿宋" w:eastAsia="仿宋" w:cs="仿宋"/>
          <w:color w:val="auto"/>
        </w:rPr>
      </w:pPr>
    </w:p>
    <w:p w14:paraId="44CAB903">
      <w:pPr>
        <w:pStyle w:val="31"/>
        <w:tabs>
          <w:tab w:val="left" w:pos="2312"/>
          <w:tab w:val="left" w:pos="2313"/>
        </w:tabs>
        <w:autoSpaceDE w:val="0"/>
        <w:autoSpaceDN w:val="0"/>
        <w:spacing w:before="43"/>
        <w:ind w:left="2312" w:firstLine="562"/>
        <w:rPr>
          <w:rFonts w:hint="eastAsia" w:ascii="仿宋" w:hAnsi="仿宋" w:eastAsia="仿宋" w:cs="仿宋"/>
          <w:b/>
          <w:color w:val="auto"/>
          <w:sz w:val="28"/>
          <w:szCs w:val="28"/>
        </w:rPr>
      </w:pPr>
      <w:r>
        <w:rPr>
          <w:rFonts w:hint="eastAsia" w:ascii="仿宋" w:hAnsi="仿宋" w:eastAsia="仿宋" w:cs="仿宋"/>
          <w:b/>
          <w:bCs/>
          <w:color w:val="auto"/>
          <w:sz w:val="28"/>
          <w:szCs w:val="28"/>
        </w:rPr>
        <w:t>第四部分、</w:t>
      </w:r>
      <w:r>
        <w:rPr>
          <w:rFonts w:hint="eastAsia" w:ascii="仿宋" w:hAnsi="仿宋" w:eastAsia="仿宋" w:cs="仿宋"/>
          <w:b/>
          <w:color w:val="auto"/>
          <w:sz w:val="28"/>
          <w:szCs w:val="28"/>
        </w:rPr>
        <w:t>同类项目业绩</w:t>
      </w:r>
    </w:p>
    <w:p w14:paraId="15F040C8">
      <w:pPr>
        <w:adjustRightInd w:val="0"/>
        <w:snapToGrid w:val="0"/>
        <w:spacing w:before="120" w:beforeLines="50" w:line="360" w:lineRule="auto"/>
        <w:jc w:val="center"/>
        <w:rPr>
          <w:rFonts w:hint="eastAsia" w:ascii="仿宋" w:hAnsi="仿宋" w:eastAsia="仿宋" w:cs="仿宋"/>
          <w:color w:val="auto"/>
          <w:sz w:val="24"/>
          <w:lang w:eastAsia="zh-CN"/>
        </w:rPr>
      </w:pPr>
      <w:r>
        <w:rPr>
          <w:rFonts w:hint="eastAsia" w:ascii="仿宋" w:hAnsi="仿宋" w:eastAsia="仿宋" w:cs="仿宋"/>
          <w:color w:val="auto"/>
          <w:sz w:val="24"/>
        </w:rPr>
        <w:t>备注：根据第</w:t>
      </w:r>
      <w:r>
        <w:rPr>
          <w:rFonts w:hint="eastAsia" w:ascii="仿宋" w:hAnsi="仿宋" w:eastAsia="仿宋" w:cs="仿宋"/>
          <w:color w:val="auto"/>
          <w:sz w:val="24"/>
          <w:lang w:val="en-US" w:eastAsia="zh-CN"/>
        </w:rPr>
        <w:t>五</w:t>
      </w:r>
      <w:r>
        <w:rPr>
          <w:rFonts w:hint="eastAsia" w:ascii="仿宋" w:hAnsi="仿宋" w:eastAsia="仿宋" w:cs="仿宋"/>
          <w:color w:val="auto"/>
          <w:sz w:val="24"/>
        </w:rPr>
        <w:t>章《</w:t>
      </w:r>
      <w:r>
        <w:rPr>
          <w:rFonts w:hint="eastAsia" w:ascii="仿宋" w:hAnsi="仿宋" w:eastAsia="仿宋" w:cs="仿宋"/>
          <w:color w:val="auto"/>
          <w:sz w:val="24"/>
          <w:lang w:eastAsia="zh-CN"/>
        </w:rPr>
        <w:t>评标办法</w:t>
      </w:r>
      <w:r>
        <w:rPr>
          <w:rFonts w:hint="eastAsia" w:ascii="仿宋" w:hAnsi="仿宋" w:eastAsia="仿宋" w:cs="仿宋"/>
          <w:color w:val="auto"/>
          <w:sz w:val="24"/>
        </w:rPr>
        <w:t>》—</w:t>
      </w:r>
      <w:r>
        <w:rPr>
          <w:rFonts w:hint="eastAsia" w:ascii="仿宋" w:hAnsi="仿宋" w:eastAsia="仿宋" w:cs="仿宋"/>
          <w:color w:val="auto"/>
          <w:sz w:val="24"/>
          <w:lang w:eastAsia="zh-CN"/>
        </w:rPr>
        <w:t>评审因素和标准</w:t>
      </w:r>
      <w:r>
        <w:rPr>
          <w:rFonts w:hint="eastAsia" w:ascii="仿宋" w:hAnsi="仿宋" w:eastAsia="仿宋" w:cs="仿宋"/>
          <w:color w:val="auto"/>
          <w:sz w:val="24"/>
        </w:rPr>
        <w:t>—记分因素要求，提供材料</w:t>
      </w:r>
      <w:r>
        <w:rPr>
          <w:rFonts w:hint="eastAsia" w:ascii="仿宋" w:hAnsi="仿宋" w:eastAsia="仿宋" w:cs="仿宋"/>
          <w:color w:val="auto"/>
          <w:sz w:val="24"/>
          <w:lang w:eastAsia="zh-CN"/>
        </w:rPr>
        <w:t>。</w:t>
      </w:r>
    </w:p>
    <w:p w14:paraId="4A2D0C16">
      <w:pPr>
        <w:pStyle w:val="30"/>
        <w:rPr>
          <w:rFonts w:hint="eastAsia" w:ascii="仿宋" w:hAnsi="仿宋" w:eastAsia="仿宋" w:cs="仿宋"/>
          <w:color w:val="auto"/>
        </w:rPr>
      </w:pPr>
    </w:p>
    <w:p w14:paraId="2E05A27B">
      <w:pPr>
        <w:pStyle w:val="30"/>
        <w:rPr>
          <w:rFonts w:hint="eastAsia" w:ascii="仿宋" w:hAnsi="仿宋" w:eastAsia="仿宋" w:cs="仿宋"/>
          <w:color w:val="auto"/>
        </w:rPr>
      </w:pPr>
    </w:p>
    <w:p w14:paraId="7D0C4E66">
      <w:pPr>
        <w:pStyle w:val="30"/>
        <w:rPr>
          <w:rFonts w:hint="eastAsia" w:ascii="仿宋" w:hAnsi="仿宋" w:eastAsia="仿宋" w:cs="仿宋"/>
          <w:color w:val="auto"/>
        </w:rPr>
      </w:pPr>
    </w:p>
    <w:p w14:paraId="339CEEE2">
      <w:pPr>
        <w:pStyle w:val="30"/>
        <w:rPr>
          <w:rFonts w:hint="eastAsia" w:ascii="仿宋" w:hAnsi="仿宋" w:eastAsia="仿宋" w:cs="仿宋"/>
          <w:color w:val="auto"/>
        </w:rPr>
      </w:pPr>
    </w:p>
    <w:p w14:paraId="1A616282">
      <w:pPr>
        <w:pStyle w:val="30"/>
        <w:rPr>
          <w:rFonts w:hint="eastAsia" w:ascii="仿宋" w:hAnsi="仿宋" w:eastAsia="仿宋" w:cs="仿宋"/>
          <w:color w:val="auto"/>
        </w:rPr>
      </w:pPr>
    </w:p>
    <w:p w14:paraId="152EA243">
      <w:pPr>
        <w:pStyle w:val="30"/>
        <w:rPr>
          <w:rFonts w:hint="eastAsia" w:ascii="仿宋" w:hAnsi="仿宋" w:eastAsia="仿宋" w:cs="仿宋"/>
          <w:color w:val="auto"/>
        </w:rPr>
      </w:pPr>
    </w:p>
    <w:p w14:paraId="02AF5AB0">
      <w:pPr>
        <w:pStyle w:val="30"/>
        <w:rPr>
          <w:rFonts w:hint="eastAsia" w:ascii="仿宋" w:hAnsi="仿宋" w:eastAsia="仿宋" w:cs="仿宋"/>
          <w:color w:val="auto"/>
        </w:rPr>
      </w:pPr>
    </w:p>
    <w:p w14:paraId="54BD19D0">
      <w:pPr>
        <w:pStyle w:val="31"/>
        <w:tabs>
          <w:tab w:val="left" w:pos="2312"/>
          <w:tab w:val="left" w:pos="2313"/>
        </w:tabs>
        <w:autoSpaceDE w:val="0"/>
        <w:autoSpaceDN w:val="0"/>
        <w:spacing w:before="43"/>
        <w:ind w:left="2312" w:firstLine="562"/>
        <w:rPr>
          <w:rFonts w:hint="eastAsia" w:ascii="仿宋" w:hAnsi="仿宋" w:eastAsia="仿宋" w:cs="仿宋"/>
          <w:b/>
          <w:color w:val="auto"/>
          <w:sz w:val="28"/>
          <w:szCs w:val="28"/>
        </w:rPr>
      </w:pPr>
      <w:r>
        <w:rPr>
          <w:rFonts w:hint="eastAsia" w:ascii="仿宋" w:hAnsi="仿宋" w:eastAsia="仿宋" w:cs="仿宋"/>
          <w:b/>
          <w:color w:val="auto"/>
          <w:sz w:val="28"/>
          <w:szCs w:val="28"/>
        </w:rPr>
        <w:t>第</w:t>
      </w:r>
      <w:r>
        <w:rPr>
          <w:rFonts w:hint="eastAsia" w:ascii="仿宋" w:hAnsi="仿宋" w:eastAsia="仿宋" w:cs="仿宋"/>
          <w:b/>
          <w:color w:val="auto"/>
          <w:sz w:val="28"/>
          <w:szCs w:val="28"/>
          <w:lang w:eastAsia="zh-CN"/>
        </w:rPr>
        <w:t>五</w:t>
      </w:r>
      <w:r>
        <w:rPr>
          <w:rFonts w:hint="eastAsia" w:ascii="仿宋" w:hAnsi="仿宋" w:eastAsia="仿宋" w:cs="仿宋"/>
          <w:b/>
          <w:color w:val="auto"/>
          <w:sz w:val="28"/>
          <w:szCs w:val="28"/>
        </w:rPr>
        <w:t>部分、</w:t>
      </w:r>
      <w:r>
        <w:rPr>
          <w:rFonts w:hint="eastAsia" w:ascii="仿宋" w:hAnsi="仿宋" w:eastAsia="仿宋" w:cs="仿宋"/>
          <w:b/>
          <w:color w:val="auto"/>
          <w:sz w:val="28"/>
          <w:szCs w:val="28"/>
          <w:lang w:val="en-US" w:eastAsia="zh-CN"/>
        </w:rPr>
        <w:t>公司实力</w:t>
      </w:r>
    </w:p>
    <w:p w14:paraId="6A468AA3">
      <w:pPr>
        <w:adjustRightInd w:val="0"/>
        <w:snapToGrid w:val="0"/>
        <w:spacing w:before="120" w:beforeLines="50" w:line="360" w:lineRule="auto"/>
        <w:jc w:val="center"/>
        <w:rPr>
          <w:rFonts w:hint="eastAsia" w:ascii="仿宋" w:hAnsi="仿宋" w:eastAsia="仿宋" w:cs="仿宋"/>
          <w:color w:val="auto"/>
          <w:sz w:val="24"/>
          <w:lang w:eastAsia="zh-CN"/>
        </w:rPr>
      </w:pPr>
      <w:r>
        <w:rPr>
          <w:rFonts w:hint="eastAsia" w:ascii="仿宋" w:hAnsi="仿宋" w:eastAsia="仿宋" w:cs="仿宋"/>
          <w:color w:val="auto"/>
          <w:sz w:val="24"/>
        </w:rPr>
        <w:t>备注：根据第</w:t>
      </w:r>
      <w:r>
        <w:rPr>
          <w:rFonts w:hint="eastAsia" w:ascii="仿宋" w:hAnsi="仿宋" w:eastAsia="仿宋" w:cs="仿宋"/>
          <w:color w:val="auto"/>
          <w:sz w:val="24"/>
          <w:lang w:val="en-US" w:eastAsia="zh-CN"/>
        </w:rPr>
        <w:t>五</w:t>
      </w:r>
      <w:r>
        <w:rPr>
          <w:rFonts w:hint="eastAsia" w:ascii="仿宋" w:hAnsi="仿宋" w:eastAsia="仿宋" w:cs="仿宋"/>
          <w:color w:val="auto"/>
          <w:sz w:val="24"/>
        </w:rPr>
        <w:t>章《</w:t>
      </w:r>
      <w:r>
        <w:rPr>
          <w:rFonts w:hint="eastAsia" w:ascii="仿宋" w:hAnsi="仿宋" w:eastAsia="仿宋" w:cs="仿宋"/>
          <w:color w:val="auto"/>
          <w:sz w:val="24"/>
          <w:lang w:eastAsia="zh-CN"/>
        </w:rPr>
        <w:t>评标办法</w:t>
      </w:r>
      <w:r>
        <w:rPr>
          <w:rFonts w:hint="eastAsia" w:ascii="仿宋" w:hAnsi="仿宋" w:eastAsia="仿宋" w:cs="仿宋"/>
          <w:color w:val="auto"/>
          <w:sz w:val="24"/>
        </w:rPr>
        <w:t>》—</w:t>
      </w:r>
      <w:r>
        <w:rPr>
          <w:rFonts w:hint="eastAsia" w:ascii="仿宋" w:hAnsi="仿宋" w:eastAsia="仿宋" w:cs="仿宋"/>
          <w:color w:val="auto"/>
          <w:sz w:val="24"/>
          <w:lang w:eastAsia="zh-CN"/>
        </w:rPr>
        <w:t>评审因素和标准</w:t>
      </w:r>
      <w:r>
        <w:rPr>
          <w:rFonts w:hint="eastAsia" w:ascii="仿宋" w:hAnsi="仿宋" w:eastAsia="仿宋" w:cs="仿宋"/>
          <w:color w:val="auto"/>
          <w:sz w:val="24"/>
        </w:rPr>
        <w:t>—记分因素要求，提供材料</w:t>
      </w:r>
      <w:r>
        <w:rPr>
          <w:rFonts w:hint="eastAsia" w:ascii="仿宋" w:hAnsi="仿宋" w:eastAsia="仿宋" w:cs="仿宋"/>
          <w:color w:val="auto"/>
          <w:sz w:val="24"/>
          <w:lang w:eastAsia="zh-CN"/>
        </w:rPr>
        <w:t>。</w:t>
      </w:r>
    </w:p>
    <w:p w14:paraId="62DDDB6B">
      <w:pPr>
        <w:pStyle w:val="30"/>
        <w:rPr>
          <w:rFonts w:hint="eastAsia" w:ascii="仿宋" w:hAnsi="仿宋" w:eastAsia="仿宋" w:cs="仿宋"/>
          <w:color w:val="auto"/>
        </w:rPr>
      </w:pPr>
    </w:p>
    <w:p w14:paraId="5795C93A">
      <w:pPr>
        <w:pStyle w:val="31"/>
        <w:tabs>
          <w:tab w:val="left" w:pos="2312"/>
          <w:tab w:val="left" w:pos="2313"/>
        </w:tabs>
        <w:autoSpaceDE w:val="0"/>
        <w:autoSpaceDN w:val="0"/>
        <w:spacing w:before="43"/>
        <w:ind w:left="2312" w:firstLine="0" w:firstLineChars="0"/>
        <w:rPr>
          <w:rFonts w:hint="eastAsia" w:ascii="仿宋" w:hAnsi="仿宋" w:eastAsia="仿宋" w:cs="仿宋"/>
          <w:color w:val="auto"/>
          <w:sz w:val="24"/>
          <w:lang w:eastAsia="zh-CN"/>
        </w:rPr>
      </w:pPr>
    </w:p>
    <w:p w14:paraId="7DD76560">
      <w:pPr>
        <w:pStyle w:val="31"/>
        <w:tabs>
          <w:tab w:val="left" w:pos="2312"/>
          <w:tab w:val="left" w:pos="2313"/>
        </w:tabs>
        <w:autoSpaceDE w:val="0"/>
        <w:autoSpaceDN w:val="0"/>
        <w:spacing w:before="43"/>
        <w:ind w:left="2312" w:firstLine="0" w:firstLineChars="0"/>
        <w:rPr>
          <w:rFonts w:hint="eastAsia" w:ascii="仿宋" w:hAnsi="仿宋" w:eastAsia="仿宋" w:cs="仿宋"/>
          <w:color w:val="auto"/>
          <w:sz w:val="24"/>
          <w:lang w:eastAsia="zh-CN"/>
        </w:rPr>
      </w:pPr>
    </w:p>
    <w:p w14:paraId="4660C49D">
      <w:pPr>
        <w:pStyle w:val="31"/>
        <w:tabs>
          <w:tab w:val="left" w:pos="2312"/>
          <w:tab w:val="left" w:pos="2313"/>
        </w:tabs>
        <w:autoSpaceDE w:val="0"/>
        <w:autoSpaceDN w:val="0"/>
        <w:spacing w:before="43"/>
        <w:ind w:left="2312" w:firstLine="0" w:firstLineChars="0"/>
        <w:rPr>
          <w:rFonts w:hint="eastAsia" w:ascii="仿宋" w:hAnsi="仿宋" w:eastAsia="仿宋" w:cs="仿宋"/>
          <w:b/>
          <w:bCs/>
          <w:color w:val="auto"/>
          <w:sz w:val="28"/>
          <w:szCs w:val="28"/>
          <w:lang w:eastAsia="zh-CN"/>
        </w:rPr>
      </w:pPr>
    </w:p>
    <w:p w14:paraId="7963C433">
      <w:pPr>
        <w:pStyle w:val="31"/>
        <w:tabs>
          <w:tab w:val="left" w:pos="2312"/>
          <w:tab w:val="left" w:pos="2313"/>
        </w:tabs>
        <w:autoSpaceDE w:val="0"/>
        <w:autoSpaceDN w:val="0"/>
        <w:spacing w:before="43"/>
        <w:ind w:left="2312" w:firstLine="0" w:firstLineChars="0"/>
        <w:rPr>
          <w:rFonts w:hint="eastAsia" w:ascii="仿宋" w:hAnsi="仿宋" w:eastAsia="仿宋" w:cs="仿宋"/>
          <w:b/>
          <w:bCs/>
          <w:color w:val="auto"/>
          <w:sz w:val="28"/>
          <w:szCs w:val="28"/>
        </w:rPr>
      </w:pPr>
    </w:p>
    <w:p w14:paraId="413B49ED">
      <w:pPr>
        <w:pStyle w:val="31"/>
        <w:tabs>
          <w:tab w:val="left" w:pos="2312"/>
          <w:tab w:val="left" w:pos="2313"/>
        </w:tabs>
        <w:autoSpaceDE w:val="0"/>
        <w:autoSpaceDN w:val="0"/>
        <w:spacing w:before="43"/>
        <w:ind w:left="2312" w:firstLine="0" w:firstLineChars="0"/>
        <w:rPr>
          <w:rFonts w:hint="eastAsia" w:ascii="仿宋" w:hAnsi="仿宋" w:eastAsia="仿宋" w:cs="仿宋"/>
          <w:b/>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eastAsia="zh-CN"/>
        </w:rPr>
        <w:t>六</w:t>
      </w:r>
      <w:r>
        <w:rPr>
          <w:rFonts w:hint="eastAsia" w:ascii="仿宋" w:hAnsi="仿宋" w:eastAsia="仿宋" w:cs="仿宋"/>
          <w:b/>
          <w:bCs/>
          <w:color w:val="auto"/>
          <w:sz w:val="28"/>
          <w:szCs w:val="28"/>
        </w:rPr>
        <w:t>部分、</w:t>
      </w:r>
      <w:r>
        <w:rPr>
          <w:rFonts w:hint="eastAsia" w:ascii="仿宋" w:hAnsi="仿宋" w:eastAsia="仿宋" w:cs="仿宋"/>
          <w:b/>
          <w:bCs/>
          <w:color w:val="auto"/>
          <w:sz w:val="28"/>
          <w:szCs w:val="28"/>
          <w:lang w:val="en-US" w:eastAsia="zh-CN"/>
        </w:rPr>
        <w:t>技术及</w:t>
      </w:r>
      <w:r>
        <w:rPr>
          <w:rFonts w:hint="eastAsia" w:ascii="仿宋" w:hAnsi="仿宋" w:eastAsia="仿宋" w:cs="仿宋"/>
          <w:b/>
          <w:color w:val="auto"/>
          <w:sz w:val="28"/>
          <w:szCs w:val="28"/>
        </w:rPr>
        <w:t>服务方案</w:t>
      </w:r>
    </w:p>
    <w:p w14:paraId="1DBA66AC">
      <w:pPr>
        <w:adjustRightInd w:val="0"/>
        <w:snapToGrid w:val="0"/>
        <w:spacing w:before="120" w:beforeLines="50" w:line="360" w:lineRule="auto"/>
        <w:jc w:val="center"/>
        <w:rPr>
          <w:rFonts w:hint="eastAsia" w:ascii="仿宋" w:hAnsi="仿宋" w:eastAsia="仿宋" w:cs="仿宋"/>
          <w:color w:val="auto"/>
          <w:sz w:val="24"/>
          <w:lang w:eastAsia="zh-CN"/>
        </w:rPr>
      </w:pPr>
      <w:r>
        <w:rPr>
          <w:rFonts w:hint="eastAsia" w:ascii="仿宋" w:hAnsi="仿宋" w:eastAsia="仿宋" w:cs="仿宋"/>
          <w:color w:val="auto"/>
          <w:sz w:val="24"/>
        </w:rPr>
        <w:t>备注：根据第</w:t>
      </w:r>
      <w:r>
        <w:rPr>
          <w:rFonts w:hint="eastAsia" w:ascii="仿宋" w:hAnsi="仿宋" w:eastAsia="仿宋" w:cs="仿宋"/>
          <w:color w:val="auto"/>
          <w:sz w:val="24"/>
          <w:lang w:val="en-US" w:eastAsia="zh-CN"/>
        </w:rPr>
        <w:t>五</w:t>
      </w:r>
      <w:r>
        <w:rPr>
          <w:rFonts w:hint="eastAsia" w:ascii="仿宋" w:hAnsi="仿宋" w:eastAsia="仿宋" w:cs="仿宋"/>
          <w:color w:val="auto"/>
          <w:sz w:val="24"/>
        </w:rPr>
        <w:t>章《</w:t>
      </w:r>
      <w:r>
        <w:rPr>
          <w:rFonts w:hint="eastAsia" w:ascii="仿宋" w:hAnsi="仿宋" w:eastAsia="仿宋" w:cs="仿宋"/>
          <w:color w:val="auto"/>
          <w:sz w:val="24"/>
          <w:lang w:eastAsia="zh-CN"/>
        </w:rPr>
        <w:t>评标办法</w:t>
      </w:r>
      <w:r>
        <w:rPr>
          <w:rFonts w:hint="eastAsia" w:ascii="仿宋" w:hAnsi="仿宋" w:eastAsia="仿宋" w:cs="仿宋"/>
          <w:color w:val="auto"/>
          <w:sz w:val="24"/>
        </w:rPr>
        <w:t>》—</w:t>
      </w:r>
      <w:r>
        <w:rPr>
          <w:rFonts w:hint="eastAsia" w:ascii="仿宋" w:hAnsi="仿宋" w:eastAsia="仿宋" w:cs="仿宋"/>
          <w:color w:val="auto"/>
          <w:sz w:val="24"/>
          <w:lang w:eastAsia="zh-CN"/>
        </w:rPr>
        <w:t>评审因素和标准</w:t>
      </w:r>
      <w:r>
        <w:rPr>
          <w:rFonts w:hint="eastAsia" w:ascii="仿宋" w:hAnsi="仿宋" w:eastAsia="仿宋" w:cs="仿宋"/>
          <w:color w:val="auto"/>
          <w:sz w:val="24"/>
        </w:rPr>
        <w:t>—记分因素要求，提供材料</w:t>
      </w:r>
      <w:r>
        <w:rPr>
          <w:rFonts w:hint="eastAsia" w:ascii="仿宋" w:hAnsi="仿宋" w:eastAsia="仿宋" w:cs="仿宋"/>
          <w:color w:val="auto"/>
          <w:sz w:val="24"/>
          <w:lang w:eastAsia="zh-CN"/>
        </w:rPr>
        <w:t>。</w:t>
      </w:r>
    </w:p>
    <w:p w14:paraId="773B5304">
      <w:pPr>
        <w:pStyle w:val="2"/>
        <w:rPr>
          <w:rFonts w:hint="eastAsia" w:ascii="仿宋" w:hAnsi="仿宋" w:eastAsia="仿宋" w:cs="仿宋"/>
          <w:color w:val="auto"/>
          <w:lang w:eastAsia="zh-CN"/>
        </w:rPr>
      </w:pPr>
    </w:p>
    <w:p w14:paraId="3C892CD2">
      <w:pPr>
        <w:pStyle w:val="31"/>
        <w:tabs>
          <w:tab w:val="left" w:pos="2312"/>
          <w:tab w:val="left" w:pos="2313"/>
        </w:tabs>
        <w:autoSpaceDE w:val="0"/>
        <w:autoSpaceDN w:val="0"/>
        <w:spacing w:before="43"/>
        <w:ind w:left="2312" w:firstLine="0" w:firstLineChars="0"/>
        <w:rPr>
          <w:rFonts w:hint="eastAsia" w:ascii="仿宋" w:hAnsi="仿宋" w:eastAsia="仿宋" w:cs="仿宋"/>
          <w:color w:val="auto"/>
          <w:sz w:val="24"/>
          <w:lang w:eastAsia="zh-CN"/>
        </w:rPr>
      </w:pPr>
    </w:p>
    <w:p w14:paraId="4BEA08ED">
      <w:pPr>
        <w:pStyle w:val="31"/>
        <w:tabs>
          <w:tab w:val="left" w:pos="2312"/>
          <w:tab w:val="left" w:pos="2313"/>
        </w:tabs>
        <w:autoSpaceDE w:val="0"/>
        <w:autoSpaceDN w:val="0"/>
        <w:spacing w:before="43"/>
        <w:ind w:left="2312" w:firstLine="0" w:firstLineChars="0"/>
        <w:rPr>
          <w:rFonts w:hint="eastAsia" w:ascii="仿宋" w:hAnsi="仿宋" w:eastAsia="仿宋" w:cs="仿宋"/>
          <w:b/>
          <w:bCs/>
          <w:color w:val="auto"/>
          <w:sz w:val="28"/>
          <w:szCs w:val="28"/>
          <w:lang w:eastAsia="zh-CN"/>
        </w:rPr>
      </w:pPr>
    </w:p>
    <w:p w14:paraId="6D6FB3BB">
      <w:pPr>
        <w:rPr>
          <w:rFonts w:hint="eastAsia" w:ascii="仿宋" w:hAnsi="仿宋" w:eastAsia="仿宋" w:cs="仿宋"/>
          <w:color w:val="auto"/>
        </w:rPr>
      </w:pPr>
    </w:p>
    <w:p w14:paraId="45AF409A">
      <w:pPr>
        <w:jc w:val="center"/>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eastAsia="zh-CN"/>
        </w:rPr>
        <w:t>七</w:t>
      </w:r>
      <w:r>
        <w:rPr>
          <w:rFonts w:hint="eastAsia" w:ascii="仿宋" w:hAnsi="仿宋" w:eastAsia="仿宋" w:cs="仿宋"/>
          <w:b/>
          <w:bCs/>
          <w:color w:val="auto"/>
          <w:sz w:val="28"/>
          <w:szCs w:val="28"/>
        </w:rPr>
        <w:t>部分、</w:t>
      </w:r>
      <w:r>
        <w:rPr>
          <w:rFonts w:hint="eastAsia" w:ascii="仿宋" w:hAnsi="仿宋" w:eastAsia="仿宋" w:cs="仿宋"/>
          <w:b/>
          <w:bCs/>
          <w:color w:val="auto"/>
          <w:sz w:val="28"/>
          <w:szCs w:val="28"/>
          <w:lang w:eastAsia="zh-CN"/>
        </w:rPr>
        <w:t>其他</w:t>
      </w:r>
    </w:p>
    <w:p w14:paraId="344E658E">
      <w:pPr>
        <w:adjustRightInd w:val="0"/>
        <w:snapToGrid w:val="0"/>
        <w:spacing w:before="120" w:beforeLines="50" w:line="360" w:lineRule="auto"/>
        <w:jc w:val="both"/>
        <w:rPr>
          <w:rFonts w:hint="eastAsia" w:ascii="仿宋" w:hAnsi="仿宋" w:eastAsia="仿宋" w:cs="仿宋"/>
          <w:color w:val="auto"/>
          <w:sz w:val="24"/>
          <w:lang w:eastAsia="zh-CN"/>
        </w:rPr>
      </w:pPr>
      <w:r>
        <w:rPr>
          <w:rFonts w:hint="eastAsia" w:ascii="仿宋" w:hAnsi="仿宋" w:eastAsia="仿宋" w:cs="仿宋"/>
          <w:color w:val="auto"/>
          <w:sz w:val="24"/>
        </w:rPr>
        <w:t>备注：</w:t>
      </w:r>
      <w:r>
        <w:rPr>
          <w:rFonts w:hint="eastAsia" w:ascii="仿宋" w:hAnsi="仿宋" w:eastAsia="仿宋" w:cs="仿宋"/>
          <w:color w:val="auto"/>
          <w:sz w:val="24"/>
          <w:lang w:eastAsia="zh-CN"/>
        </w:rPr>
        <w:t>根据招标文件规定或投标人认为需要提供的其他材料。</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B1"/>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楷体">
    <w:altName w:val="方正楷体_GBK"/>
    <w:panose1 w:val="02010609060101010101"/>
    <w:charset w:val="86"/>
    <w:family w:val="auto"/>
    <w:pitch w:val="default"/>
    <w:sig w:usb0="00000000" w:usb1="00000000" w:usb2="00000016" w:usb3="00000000" w:csb0="00040001" w:csb1="00000000"/>
  </w:font>
  <w:font w:name="Droid Sans Fallback">
    <w:panose1 w:val="020B0502000000000001"/>
    <w:charset w:val="86"/>
    <w:family w:val="auto"/>
    <w:pitch w:val="default"/>
    <w:sig w:usb0="910002FF" w:usb1="2BDFFCFB" w:usb2="00000036" w:usb3="00000000" w:csb0="203F01FF" w:csb1="D7FF0000"/>
  </w:font>
  <w:font w:name="Noto Sans Symbols2">
    <w:panose1 w:val="020B0502040504020204"/>
    <w:charset w:val="00"/>
    <w:family w:val="auto"/>
    <w:pitch w:val="default"/>
    <w:sig w:usb0="80000003" w:usb1="0200E3E4" w:usb2="00040020" w:usb3="0580A048" w:csb0="00000001"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15CB2">
    <w:pPr>
      <w:pStyle w:val="1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86F36">
                          <w:pPr>
                            <w:pStyle w:val="16"/>
                          </w:pPr>
                          <w:r>
                            <w:t>第</w:t>
                          </w:r>
                          <w:r>
                            <w:fldChar w:fldCharType="begin"/>
                          </w:r>
                          <w:r>
                            <w:instrText xml:space="preserve"> PAGE  \* MERGEFORMAT </w:instrText>
                          </w:r>
                          <w:r>
                            <w:fldChar w:fldCharType="separate"/>
                          </w:r>
                          <w:r>
                            <w:t>0</w:t>
                          </w:r>
                          <w:r>
                            <w:fldChar w:fldCharType="end"/>
                          </w:r>
                          <w:r>
                            <w:t>页共</w:t>
                          </w:r>
                          <w:r>
                            <w:fldChar w:fldCharType="begin"/>
                          </w:r>
                          <w:r>
                            <w:instrText xml:space="preserve"> NUMPAGES  \* MERGEFORMAT </w:instrText>
                          </w:r>
                          <w:r>
                            <w:fldChar w:fldCharType="separate"/>
                          </w:r>
                          <w:r>
                            <w:t>7</w:t>
                          </w:r>
                          <w:r>
                            <w:fldChar w:fldCharType="end"/>
                          </w:r>
                          <w:r>
                            <w:t>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34186F36">
                    <w:pPr>
                      <w:pStyle w:val="16"/>
                    </w:pPr>
                    <w:r>
                      <w:t>第</w:t>
                    </w:r>
                    <w:r>
                      <w:fldChar w:fldCharType="begin"/>
                    </w:r>
                    <w:r>
                      <w:instrText xml:space="preserve"> PAGE  \* MERGEFORMAT </w:instrText>
                    </w:r>
                    <w:r>
                      <w:fldChar w:fldCharType="separate"/>
                    </w:r>
                    <w:r>
                      <w:t>0</w:t>
                    </w:r>
                    <w:r>
                      <w:fldChar w:fldCharType="end"/>
                    </w:r>
                    <w:r>
                      <w:t>页共</w:t>
                    </w:r>
                    <w:r>
                      <w:fldChar w:fldCharType="begin"/>
                    </w:r>
                    <w:r>
                      <w:instrText xml:space="preserve"> NUMPAGES  \* MERGEFORMAT </w:instrText>
                    </w:r>
                    <w:r>
                      <w:fldChar w:fldCharType="separate"/>
                    </w:r>
                    <w:r>
                      <w:t>7</w:t>
                    </w:r>
                    <w:r>
                      <w:fldChar w:fldCharType="end"/>
                    </w:r>
                    <w:r>
                      <w:t>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5EE50">
    <w:pPr>
      <w:pStyle w:val="1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2EC37B">
                          <w:pPr>
                            <w:pStyle w:val="16"/>
                          </w:pPr>
                          <w:r>
                            <w:t>第</w:t>
                          </w:r>
                          <w:r>
                            <w:fldChar w:fldCharType="begin"/>
                          </w:r>
                          <w:r>
                            <w:instrText xml:space="preserve"> PAGE  \* MERGEFORMAT </w:instrText>
                          </w:r>
                          <w:r>
                            <w:fldChar w:fldCharType="separate"/>
                          </w:r>
                          <w:r>
                            <w:t>2</w:t>
                          </w:r>
                          <w:r>
                            <w:fldChar w:fldCharType="end"/>
                          </w:r>
                          <w:r>
                            <w:t>页共</w:t>
                          </w:r>
                          <w:r>
                            <w:fldChar w:fldCharType="begin"/>
                          </w:r>
                          <w:r>
                            <w:instrText xml:space="preserve"> NUMPAGES  \* MERGEFORMAT </w:instrText>
                          </w:r>
                          <w:r>
                            <w:fldChar w:fldCharType="separate"/>
                          </w:r>
                          <w:r>
                            <w:t>7</w:t>
                          </w:r>
                          <w:r>
                            <w:fldChar w:fldCharType="end"/>
                          </w:r>
                          <w:r>
                            <w:t>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742EC37B">
                    <w:pPr>
                      <w:pStyle w:val="16"/>
                    </w:pPr>
                    <w:r>
                      <w:t>第</w:t>
                    </w:r>
                    <w:r>
                      <w:fldChar w:fldCharType="begin"/>
                    </w:r>
                    <w:r>
                      <w:instrText xml:space="preserve"> PAGE  \* MERGEFORMAT </w:instrText>
                    </w:r>
                    <w:r>
                      <w:fldChar w:fldCharType="separate"/>
                    </w:r>
                    <w:r>
                      <w:t>2</w:t>
                    </w:r>
                    <w:r>
                      <w:fldChar w:fldCharType="end"/>
                    </w:r>
                    <w:r>
                      <w:t>页共</w:t>
                    </w:r>
                    <w:r>
                      <w:fldChar w:fldCharType="begin"/>
                    </w:r>
                    <w:r>
                      <w:instrText xml:space="preserve"> NUMPAGES  \* MERGEFORMAT </w:instrText>
                    </w:r>
                    <w:r>
                      <w:fldChar w:fldCharType="separate"/>
                    </w:r>
                    <w:r>
                      <w:t>7</w:t>
                    </w:r>
                    <w:r>
                      <w:fldChar w:fldCharType="end"/>
                    </w:r>
                    <w: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67908">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ADDF13">
                          <w:pPr>
                            <w:pStyle w:val="16"/>
                          </w:pPr>
                          <w:r>
                            <w:t>第</w:t>
                          </w:r>
                          <w:r>
                            <w:fldChar w:fldCharType="begin"/>
                          </w:r>
                          <w:r>
                            <w:instrText xml:space="preserve"> PAGE  \* MERGEFORMAT </w:instrText>
                          </w:r>
                          <w:r>
                            <w:fldChar w:fldCharType="separate"/>
                          </w:r>
                          <w:r>
                            <w:t>0</w:t>
                          </w:r>
                          <w:r>
                            <w:fldChar w:fldCharType="end"/>
                          </w:r>
                          <w:r>
                            <w:t>页共</w:t>
                          </w:r>
                          <w:r>
                            <w:fldChar w:fldCharType="begin"/>
                          </w:r>
                          <w:r>
                            <w:instrText xml:space="preserve"> NUMPAGES  \* MERGEFORMAT </w:instrText>
                          </w:r>
                          <w:r>
                            <w:fldChar w:fldCharType="separate"/>
                          </w:r>
                          <w:r>
                            <w:t>7</w:t>
                          </w:r>
                          <w:r>
                            <w:fldChar w:fldCharType="end"/>
                          </w:r>
                          <w:r>
                            <w:t>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0BADDF13">
                    <w:pPr>
                      <w:pStyle w:val="16"/>
                    </w:pPr>
                    <w:r>
                      <w:t>第</w:t>
                    </w:r>
                    <w:r>
                      <w:fldChar w:fldCharType="begin"/>
                    </w:r>
                    <w:r>
                      <w:instrText xml:space="preserve"> PAGE  \* MERGEFORMAT </w:instrText>
                    </w:r>
                    <w:r>
                      <w:fldChar w:fldCharType="separate"/>
                    </w:r>
                    <w:r>
                      <w:t>0</w:t>
                    </w:r>
                    <w:r>
                      <w:fldChar w:fldCharType="end"/>
                    </w:r>
                    <w:r>
                      <w:t>页共</w:t>
                    </w:r>
                    <w:r>
                      <w:fldChar w:fldCharType="begin"/>
                    </w:r>
                    <w:r>
                      <w:instrText xml:space="preserve"> NUMPAGES  \* MERGEFORMAT </w:instrText>
                    </w:r>
                    <w:r>
                      <w:fldChar w:fldCharType="separate"/>
                    </w:r>
                    <w:r>
                      <w:t>7</w:t>
                    </w:r>
                    <w:r>
                      <w:fldChar w:fldCharType="end"/>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FFD7E">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F8307F"/>
    <w:multiLevelType w:val="multilevel"/>
    <w:tmpl w:val="17F8307F"/>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EF3F60"/>
    <w:rsid w:val="003532FE"/>
    <w:rsid w:val="004277C9"/>
    <w:rsid w:val="019D55FE"/>
    <w:rsid w:val="01F571E8"/>
    <w:rsid w:val="06E4782C"/>
    <w:rsid w:val="08470072"/>
    <w:rsid w:val="089540D0"/>
    <w:rsid w:val="0B5847B0"/>
    <w:rsid w:val="0DBB6653"/>
    <w:rsid w:val="0FAD31A7"/>
    <w:rsid w:val="10A342B4"/>
    <w:rsid w:val="12BF2408"/>
    <w:rsid w:val="13AA7AEA"/>
    <w:rsid w:val="17946704"/>
    <w:rsid w:val="18736C61"/>
    <w:rsid w:val="19D94077"/>
    <w:rsid w:val="1AE56265"/>
    <w:rsid w:val="241E2B0D"/>
    <w:rsid w:val="26AB75C6"/>
    <w:rsid w:val="27E22DFD"/>
    <w:rsid w:val="29763EBB"/>
    <w:rsid w:val="2D3C71CA"/>
    <w:rsid w:val="2FC31147"/>
    <w:rsid w:val="2FF95846"/>
    <w:rsid w:val="307C0E3F"/>
    <w:rsid w:val="310821E5"/>
    <w:rsid w:val="31FC517A"/>
    <w:rsid w:val="3333106F"/>
    <w:rsid w:val="33527747"/>
    <w:rsid w:val="34FD7B87"/>
    <w:rsid w:val="35064C8D"/>
    <w:rsid w:val="351F5A26"/>
    <w:rsid w:val="357339A5"/>
    <w:rsid w:val="3706080E"/>
    <w:rsid w:val="371D1E1A"/>
    <w:rsid w:val="38593326"/>
    <w:rsid w:val="393940C3"/>
    <w:rsid w:val="3AAC243B"/>
    <w:rsid w:val="3B251BE5"/>
    <w:rsid w:val="3E5618EA"/>
    <w:rsid w:val="3F2D9F8D"/>
    <w:rsid w:val="40CD1BED"/>
    <w:rsid w:val="415A5E53"/>
    <w:rsid w:val="42496E92"/>
    <w:rsid w:val="42C41CE4"/>
    <w:rsid w:val="46B64FDA"/>
    <w:rsid w:val="4B1A06F3"/>
    <w:rsid w:val="4CA46E0E"/>
    <w:rsid w:val="4D8E560A"/>
    <w:rsid w:val="4F6374DE"/>
    <w:rsid w:val="50281C0C"/>
    <w:rsid w:val="50324731"/>
    <w:rsid w:val="50FB0FC7"/>
    <w:rsid w:val="51100A1F"/>
    <w:rsid w:val="51976F41"/>
    <w:rsid w:val="53265F99"/>
    <w:rsid w:val="532C190B"/>
    <w:rsid w:val="538C5F06"/>
    <w:rsid w:val="54624EB9"/>
    <w:rsid w:val="54D82638"/>
    <w:rsid w:val="56553E33"/>
    <w:rsid w:val="56955A19"/>
    <w:rsid w:val="56C7175E"/>
    <w:rsid w:val="58A87E4D"/>
    <w:rsid w:val="5AD76600"/>
    <w:rsid w:val="5BE70AC5"/>
    <w:rsid w:val="5BEF21C4"/>
    <w:rsid w:val="5C1B251D"/>
    <w:rsid w:val="5CA2679A"/>
    <w:rsid w:val="5CC76201"/>
    <w:rsid w:val="5FE305AE"/>
    <w:rsid w:val="604F256C"/>
    <w:rsid w:val="62856425"/>
    <w:rsid w:val="62922E0D"/>
    <w:rsid w:val="645E744B"/>
    <w:rsid w:val="64A84B6A"/>
    <w:rsid w:val="65090DBA"/>
    <w:rsid w:val="668138C4"/>
    <w:rsid w:val="66EDC31E"/>
    <w:rsid w:val="68A65864"/>
    <w:rsid w:val="6A10061B"/>
    <w:rsid w:val="6A164324"/>
    <w:rsid w:val="6ACB15B2"/>
    <w:rsid w:val="6CC52426"/>
    <w:rsid w:val="6D8343C6"/>
    <w:rsid w:val="6E276AFF"/>
    <w:rsid w:val="72E2393D"/>
    <w:rsid w:val="73273674"/>
    <w:rsid w:val="745F563D"/>
    <w:rsid w:val="76724BEE"/>
    <w:rsid w:val="77FB140E"/>
    <w:rsid w:val="78BB4A14"/>
    <w:rsid w:val="792263CB"/>
    <w:rsid w:val="79C478F8"/>
    <w:rsid w:val="7C09018C"/>
    <w:rsid w:val="7CB315B9"/>
    <w:rsid w:val="7DD64D18"/>
    <w:rsid w:val="7DF3C85D"/>
    <w:rsid w:val="7E7A338B"/>
    <w:rsid w:val="7E941F8F"/>
    <w:rsid w:val="7FEFAD28"/>
    <w:rsid w:val="BFBC95E9"/>
    <w:rsid w:val="C9D71D6A"/>
    <w:rsid w:val="CBBF30FB"/>
    <w:rsid w:val="CF37B10E"/>
    <w:rsid w:val="E77D0435"/>
    <w:rsid w:val="EDFEB8E7"/>
    <w:rsid w:val="EFDEFE97"/>
    <w:rsid w:val="F6FAE63C"/>
    <w:rsid w:val="F8FF5B3E"/>
    <w:rsid w:val="F9DB86E0"/>
    <w:rsid w:val="FDAFABA1"/>
    <w:rsid w:val="FFEF3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7">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0"/>
    <w:pPr>
      <w:spacing w:line="360" w:lineRule="auto"/>
      <w:ind w:firstLine="420" w:firstLineChars="200"/>
    </w:pPr>
    <w:rPr>
      <w:rFonts w:ascii="Times New Roman" w:hAnsi="Times New Roman"/>
    </w:rPr>
  </w:style>
  <w:style w:type="paragraph" w:styleId="8">
    <w:name w:val="Normal Indent"/>
    <w:basedOn w:val="1"/>
    <w:next w:val="9"/>
    <w:qFormat/>
    <w:uiPriority w:val="0"/>
    <w:pPr>
      <w:widowControl/>
      <w:ind w:firstLine="420"/>
      <w:jc w:val="left"/>
    </w:pPr>
    <w:rPr>
      <w:kern w:val="0"/>
      <w:sz w:val="20"/>
      <w:szCs w:val="20"/>
    </w:rPr>
  </w:style>
  <w:style w:type="paragraph" w:customStyle="1" w:styleId="9">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10">
    <w:name w:val="toa heading"/>
    <w:basedOn w:val="1"/>
    <w:next w:val="1"/>
    <w:qFormat/>
    <w:uiPriority w:val="0"/>
    <w:pPr>
      <w:spacing w:before="120" w:after="100" w:afterAutospacing="1"/>
    </w:pPr>
    <w:rPr>
      <w:rFonts w:ascii="Arial" w:hAnsi="Arial" w:cs="Arial"/>
      <w:sz w:val="24"/>
      <w:szCs w:val="24"/>
    </w:rPr>
  </w:style>
  <w:style w:type="paragraph" w:styleId="11">
    <w:name w:val="annotation text"/>
    <w:basedOn w:val="1"/>
    <w:qFormat/>
    <w:uiPriority w:val="0"/>
    <w:pPr>
      <w:jc w:val="left"/>
    </w:pPr>
  </w:style>
  <w:style w:type="paragraph" w:styleId="12">
    <w:name w:val="Body Text"/>
    <w:basedOn w:val="1"/>
    <w:next w:val="1"/>
    <w:unhideWhenUsed/>
    <w:qFormat/>
    <w:uiPriority w:val="99"/>
    <w:pPr>
      <w:spacing w:after="120"/>
    </w:pPr>
  </w:style>
  <w:style w:type="paragraph" w:styleId="13">
    <w:name w:val="Body Text Indent"/>
    <w:basedOn w:val="1"/>
    <w:next w:val="1"/>
    <w:qFormat/>
    <w:uiPriority w:val="99"/>
    <w:pPr>
      <w:spacing w:line="400" w:lineRule="exact"/>
      <w:ind w:left="630"/>
    </w:pPr>
    <w:rPr>
      <w:rFonts w:ascii="楷体_GB2312"/>
      <w:sz w:val="30"/>
      <w:szCs w:val="30"/>
    </w:rPr>
  </w:style>
  <w:style w:type="paragraph" w:styleId="14">
    <w:name w:val="Plain Text"/>
    <w:basedOn w:val="1"/>
    <w:qFormat/>
    <w:uiPriority w:val="0"/>
    <w:rPr>
      <w:rFonts w:ascii="宋体" w:hAnsi="Courier New" w:cs="Courier New"/>
      <w:szCs w:val="21"/>
    </w:rPr>
  </w:style>
  <w:style w:type="paragraph" w:styleId="15">
    <w:name w:val="Body Text Indent 2"/>
    <w:qFormat/>
    <w:uiPriority w:val="0"/>
    <w:pPr>
      <w:widowControl w:val="0"/>
      <w:autoSpaceDE w:val="0"/>
      <w:autoSpaceDN w:val="0"/>
      <w:adjustRightInd w:val="0"/>
      <w:snapToGrid w:val="0"/>
      <w:spacing w:line="410" w:lineRule="atLeast"/>
      <w:ind w:left="480" w:firstLine="200" w:firstLineChars="200"/>
      <w:jc w:val="left"/>
    </w:pPr>
    <w:rPr>
      <w:rFonts w:ascii="宋体" w:hAnsi="Calibri" w:eastAsia="宋体" w:cs="Times New Roman"/>
      <w:color w:val="000000"/>
      <w:kern w:val="32"/>
      <w:sz w:val="32"/>
      <w:szCs w:val="24"/>
      <w:lang w:val="en-US" w:eastAsia="zh-CN" w:bidi="ar-SA"/>
    </w:rPr>
  </w:style>
  <w:style w:type="paragraph" w:styleId="16">
    <w:name w:val="footer"/>
    <w:basedOn w:val="1"/>
    <w:qFormat/>
    <w:uiPriority w:val="99"/>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Body Text First Indent"/>
    <w:basedOn w:val="12"/>
    <w:qFormat/>
    <w:uiPriority w:val="0"/>
    <w:pPr>
      <w:ind w:firstLine="420" w:firstLineChars="100"/>
    </w:pPr>
  </w:style>
  <w:style w:type="paragraph" w:styleId="19">
    <w:name w:val="Body Text First Indent 2"/>
    <w:basedOn w:val="13"/>
    <w:next w:val="8"/>
    <w:qFormat/>
    <w:uiPriority w:val="0"/>
    <w:pPr>
      <w:overflowPunct w:val="0"/>
      <w:adjustRightInd w:val="0"/>
      <w:spacing w:line="500" w:lineRule="exact"/>
      <w:ind w:firstLine="420" w:firstLineChars="200"/>
      <w:textAlignment w:val="baseline"/>
    </w:pPr>
    <w:rPr>
      <w:rFonts w:eastAsia="仿宋_GB2312"/>
      <w:kern w:val="28"/>
      <w:sz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rPr>
  </w:style>
  <w:style w:type="character" w:styleId="24">
    <w:name w:val="page number"/>
    <w:qFormat/>
    <w:uiPriority w:val="0"/>
  </w:style>
  <w:style w:type="paragraph" w:customStyle="1" w:styleId="25">
    <w:name w:val="大标题"/>
    <w:basedOn w:val="1"/>
    <w:next w:val="19"/>
    <w:qFormat/>
    <w:uiPriority w:val="0"/>
    <w:pPr>
      <w:jc w:val="center"/>
    </w:pPr>
    <w:rPr>
      <w:rFonts w:ascii="Arial" w:hAnsi="Arial" w:eastAsia="宋体"/>
      <w:b/>
      <w:sz w:val="28"/>
      <w:szCs w:val="24"/>
    </w:rPr>
  </w:style>
  <w:style w:type="character" w:customStyle="1" w:styleId="26">
    <w:name w:val="font51"/>
    <w:basedOn w:val="22"/>
    <w:qFormat/>
    <w:uiPriority w:val="0"/>
    <w:rPr>
      <w:rFonts w:hint="eastAsia" w:ascii="宋体" w:hAnsi="宋体" w:eastAsia="宋体" w:cs="宋体"/>
      <w:color w:val="000000"/>
      <w:sz w:val="28"/>
      <w:szCs w:val="28"/>
      <w:u w:val="none"/>
      <w:vertAlign w:val="superscript"/>
    </w:rPr>
  </w:style>
  <w:style w:type="character" w:customStyle="1" w:styleId="27">
    <w:name w:val="font41"/>
    <w:basedOn w:val="22"/>
    <w:qFormat/>
    <w:uiPriority w:val="0"/>
    <w:rPr>
      <w:rFonts w:hint="eastAsia" w:ascii="宋体" w:hAnsi="宋体" w:eastAsia="宋体" w:cs="宋体"/>
      <w:color w:val="000000"/>
      <w:sz w:val="28"/>
      <w:szCs w:val="28"/>
      <w:u w:val="none"/>
    </w:rPr>
  </w:style>
  <w:style w:type="character" w:customStyle="1" w:styleId="28">
    <w:name w:val="font61"/>
    <w:basedOn w:val="22"/>
    <w:qFormat/>
    <w:uiPriority w:val="0"/>
    <w:rPr>
      <w:rFonts w:hint="eastAsia" w:ascii="宋体" w:hAnsi="宋体" w:eastAsia="宋体" w:cs="宋体"/>
      <w:color w:val="1F2329"/>
      <w:sz w:val="28"/>
      <w:szCs w:val="28"/>
      <w:u w:val="none"/>
      <w:vertAlign w:val="superscript"/>
    </w:rPr>
  </w:style>
  <w:style w:type="character" w:customStyle="1" w:styleId="29">
    <w:name w:val="font31"/>
    <w:basedOn w:val="22"/>
    <w:qFormat/>
    <w:uiPriority w:val="0"/>
    <w:rPr>
      <w:rFonts w:hint="eastAsia" w:ascii="宋体" w:hAnsi="宋体" w:eastAsia="宋体" w:cs="宋体"/>
      <w:color w:val="1F2329"/>
      <w:sz w:val="28"/>
      <w:szCs w:val="28"/>
      <w:u w:val="none"/>
    </w:rPr>
  </w:style>
  <w:style w:type="paragraph" w:customStyle="1" w:styleId="30">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1">
    <w:name w:val="List Paragraph"/>
    <w:basedOn w:val="1"/>
    <w:qFormat/>
    <w:uiPriority w:val="34"/>
    <w:pPr>
      <w:ind w:firstLine="420" w:firstLineChars="200"/>
    </w:pPr>
    <w:rPr>
      <w:rFonts w:ascii="Calibri" w:hAnsi="Calibri"/>
      <w:szCs w:val="22"/>
    </w:rPr>
  </w:style>
  <w:style w:type="paragraph" w:customStyle="1" w:styleId="32">
    <w:name w:val="Table Style"/>
    <w:qFormat/>
    <w:uiPriority w:val="0"/>
    <w:pPr>
      <w:spacing w:after="200" w:line="276" w:lineRule="auto"/>
      <w:ind w:firstLine="0"/>
      <w:jc w:val="center"/>
    </w:pPr>
    <w:rPr>
      <w:rFonts w:ascii="宋体" w:hAnsi="宋体" w:eastAsia="宋体" w:cstheme="minorBidi"/>
      <w:sz w:val="22"/>
      <w:szCs w:val="22"/>
      <w:lang w:val="en-US" w:eastAsia="en-US" w:bidi="ar-SA"/>
    </w:rPr>
  </w:style>
  <w:style w:type="paragraph" w:customStyle="1" w:styleId="33">
    <w:name w:val="Heading 1 Style"/>
    <w:qFormat/>
    <w:uiPriority w:val="0"/>
    <w:pPr>
      <w:spacing w:before="360" w:after="240" w:line="276" w:lineRule="auto"/>
      <w:ind w:firstLine="0"/>
    </w:pPr>
    <w:rPr>
      <w:rFonts w:ascii="宋体" w:hAnsi="宋体" w:eastAsia="宋体" w:cstheme="minorBidi"/>
      <w:b/>
      <w:sz w:val="32"/>
      <w:szCs w:val="22"/>
      <w:lang w:val="en-US" w:eastAsia="en-US" w:bidi="ar-SA"/>
    </w:rPr>
  </w:style>
  <w:style w:type="paragraph" w:customStyle="1" w:styleId="34">
    <w:name w:val="Clause Style"/>
    <w:qFormat/>
    <w:uiPriority w:val="0"/>
    <w:pPr>
      <w:spacing w:after="200" w:line="360" w:lineRule="auto"/>
      <w:ind w:firstLine="0"/>
    </w:pPr>
    <w:rPr>
      <w:rFonts w:ascii="宋体" w:hAnsi="宋体" w:eastAsia="宋体" w:cstheme="minorBidi"/>
      <w:sz w:val="24"/>
      <w:szCs w:val="22"/>
      <w:lang w:val="en-US" w:eastAsia="en-US" w:bidi="ar-SA"/>
    </w:rPr>
  </w:style>
  <w:style w:type="paragraph" w:customStyle="1" w:styleId="35">
    <w:name w:val="Heading 2 Style"/>
    <w:qFormat/>
    <w:uiPriority w:val="0"/>
    <w:pPr>
      <w:spacing w:before="240" w:after="120" w:line="276" w:lineRule="auto"/>
      <w:ind w:firstLine="0"/>
    </w:pPr>
    <w:rPr>
      <w:rFonts w:ascii="宋体" w:hAnsi="宋体" w:eastAsia="宋体" w:cstheme="minorBidi"/>
      <w:b/>
      <w:sz w:val="28"/>
      <w:szCs w:val="22"/>
      <w:lang w:val="en-US" w:eastAsia="en-US" w:bidi="ar-SA"/>
    </w:rPr>
  </w:style>
  <w:style w:type="paragraph" w:customStyle="1" w:styleId="36">
    <w:name w:val="Signature Style"/>
    <w:qFormat/>
    <w:uiPriority w:val="0"/>
    <w:pPr>
      <w:spacing w:after="200" w:line="276" w:lineRule="auto"/>
      <w:ind w:firstLine="0"/>
      <w:jc w:val="right"/>
    </w:pPr>
    <w:rPr>
      <w:rFonts w:ascii="宋体" w:hAnsi="宋体" w:eastAsia="宋体" w:cstheme="minorBidi"/>
      <w:sz w:val="24"/>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4425</Words>
  <Characters>4836</Characters>
  <Lines>0</Lines>
  <Paragraphs>0</Paragraphs>
  <TotalTime>0</TotalTime>
  <ScaleCrop>false</ScaleCrop>
  <LinksUpToDate>false</LinksUpToDate>
  <CharactersWithSpaces>4917</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2026-04-28T13:02:00Z</dcterms:created>
  <dc:creator>是小豹子</dc:creator>
  <cp:lastModifiedBy>沁sqr</cp:lastModifiedBy>
  <cp:lastPrinted>2026-05-21T15:36:00Z</cp:lastPrinted>
  <dcterms:modified xsi:type="dcterms:W3CDTF">2026-06-05T15:12:03Z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335F30CCE64A4E3B8E693550D332DA33_13</vt:lpwstr>
  </property>
  <property fmtid="{D5CDD505-2E9C-101B-9397-08002B2CF9AE}" pid="4" name="KSOTemplateDocerSaveRecord">
    <vt:lpwstr>eyJoZGlkIjoiMjI0YzkyZjA4NDE5ZWViZGEyZTVjOTNhYTg4ZmYzYTciLCJ1c2VySWQiOiIzMDQ3NTQ4MDUifQ==</vt:lpwstr>
  </property>
</Properties>
</file>