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21B76">
      <w:pPr>
        <w:pStyle w:val="20"/>
        <w:snapToGrid w:val="0"/>
        <w:jc w:val="center"/>
        <w:rPr>
          <w:rFonts w:hint="eastAsia" w:ascii="Arial" w:hAnsi="Arial" w:eastAsia="方正小标宋简体" w:cs="Arial"/>
          <w:color w:val="auto"/>
          <w:sz w:val="72"/>
          <w:szCs w:val="72"/>
        </w:rPr>
      </w:pPr>
      <w:bookmarkStart w:id="0" w:name="_Toc16523570"/>
    </w:p>
    <w:p w14:paraId="36822329">
      <w:pPr>
        <w:pStyle w:val="20"/>
        <w:snapToGrid w:val="0"/>
        <w:jc w:val="center"/>
        <w:rPr>
          <w:rFonts w:hint="eastAsia" w:ascii="Arial" w:hAnsi="Arial" w:eastAsia="方正小标宋简体" w:cs="Arial"/>
          <w:color w:val="auto"/>
          <w:sz w:val="72"/>
          <w:szCs w:val="72"/>
        </w:rPr>
      </w:pPr>
      <w:r>
        <w:rPr>
          <w:rFonts w:hint="eastAsia" w:ascii="Arial" w:hAnsi="Arial" w:eastAsia="方正小标宋简体" w:cs="Arial"/>
          <w:color w:val="auto"/>
          <w:sz w:val="72"/>
          <w:szCs w:val="72"/>
        </w:rPr>
        <w:t>娄底市中心医院</w:t>
      </w:r>
    </w:p>
    <w:p w14:paraId="735A3AC2">
      <w:pPr>
        <w:pStyle w:val="20"/>
        <w:snapToGrid w:val="0"/>
        <w:jc w:val="center"/>
        <w:rPr>
          <w:rFonts w:hint="eastAsia" w:ascii="Arial" w:hAnsi="Arial" w:eastAsia="方正小标宋简体" w:cs="Arial"/>
          <w:color w:val="auto"/>
          <w:sz w:val="72"/>
          <w:szCs w:val="72"/>
        </w:rPr>
      </w:pPr>
    </w:p>
    <w:p w14:paraId="3A869CB6">
      <w:pPr>
        <w:pStyle w:val="20"/>
        <w:snapToGrid w:val="0"/>
        <w:jc w:val="center"/>
        <w:rPr>
          <w:rFonts w:hint="eastAsia" w:ascii="Arial" w:hAnsi="Arial" w:eastAsia="方正小标宋简体" w:cs="Arial"/>
          <w:color w:val="auto"/>
          <w:sz w:val="72"/>
          <w:szCs w:val="72"/>
        </w:rPr>
      </w:pPr>
    </w:p>
    <w:p w14:paraId="6308C621">
      <w:pPr>
        <w:pStyle w:val="20"/>
        <w:snapToGrid w:val="0"/>
        <w:jc w:val="center"/>
        <w:rPr>
          <w:rFonts w:hint="eastAsia" w:ascii="Arial" w:hAnsi="Arial" w:eastAsia="方正小标宋简体" w:cs="Arial"/>
          <w:color w:val="auto"/>
          <w:sz w:val="72"/>
          <w:szCs w:val="72"/>
        </w:rPr>
      </w:pPr>
    </w:p>
    <w:p w14:paraId="77BAE459">
      <w:pPr>
        <w:pStyle w:val="20"/>
        <w:snapToGrid w:val="0"/>
        <w:jc w:val="center"/>
        <w:rPr>
          <w:rFonts w:ascii="Arial" w:hAnsi="Arial" w:eastAsia="方正小标宋简体" w:cs="Arial"/>
          <w:color w:val="auto"/>
          <w:sz w:val="36"/>
          <w:szCs w:val="36"/>
        </w:rPr>
      </w:pPr>
      <w:r>
        <w:rPr>
          <w:rFonts w:hint="eastAsia" w:ascii="Arial" w:hAnsi="Arial" w:eastAsia="方正小标宋简体" w:cs="Arial"/>
          <w:color w:val="auto"/>
          <w:sz w:val="72"/>
          <w:szCs w:val="72"/>
          <w:lang w:val="en-US" w:eastAsia="zh-CN"/>
        </w:rPr>
        <w:t>采购</w:t>
      </w:r>
      <w:r>
        <w:rPr>
          <w:rFonts w:ascii="Arial" w:hAnsi="Arial" w:eastAsia="方正小标宋简体" w:cs="Arial"/>
          <w:color w:val="auto"/>
          <w:sz w:val="72"/>
          <w:szCs w:val="72"/>
        </w:rPr>
        <w:t>文件</w:t>
      </w:r>
    </w:p>
    <w:p w14:paraId="347B5448">
      <w:pPr>
        <w:pStyle w:val="20"/>
        <w:snapToGrid w:val="0"/>
        <w:jc w:val="center"/>
        <w:rPr>
          <w:rFonts w:ascii="Arial" w:hAnsi="Arial" w:cs="Arial"/>
          <w:color w:val="auto"/>
          <w:sz w:val="32"/>
          <w:szCs w:val="32"/>
        </w:rPr>
      </w:pPr>
    </w:p>
    <w:p w14:paraId="2131F55F">
      <w:pPr>
        <w:pStyle w:val="21"/>
        <w:rPr>
          <w:rFonts w:ascii="Arial" w:hAnsi="Arial" w:cs="Arial"/>
          <w:color w:val="auto"/>
          <w:sz w:val="32"/>
          <w:szCs w:val="32"/>
        </w:rPr>
      </w:pPr>
    </w:p>
    <w:p w14:paraId="172E63A8">
      <w:pPr>
        <w:pStyle w:val="13"/>
        <w:rPr>
          <w:rFonts w:ascii="Arial" w:hAnsi="Arial" w:cs="Arial"/>
          <w:color w:val="auto"/>
          <w:sz w:val="32"/>
          <w:szCs w:val="32"/>
        </w:rPr>
      </w:pPr>
    </w:p>
    <w:p w14:paraId="36F01534">
      <w:pPr>
        <w:pStyle w:val="13"/>
        <w:rPr>
          <w:rFonts w:ascii="Arial" w:hAnsi="Arial" w:cs="Arial"/>
          <w:color w:val="auto"/>
          <w:sz w:val="32"/>
          <w:szCs w:val="32"/>
        </w:rPr>
      </w:pPr>
    </w:p>
    <w:p w14:paraId="4BCE7A98">
      <w:pPr>
        <w:pStyle w:val="13"/>
        <w:rPr>
          <w:rFonts w:ascii="Arial" w:hAnsi="Arial" w:cs="Arial"/>
          <w:color w:val="auto"/>
          <w:sz w:val="32"/>
          <w:szCs w:val="32"/>
        </w:rPr>
      </w:pPr>
    </w:p>
    <w:p w14:paraId="6C8100B0">
      <w:pPr>
        <w:pStyle w:val="13"/>
        <w:rPr>
          <w:rFonts w:ascii="Arial" w:hAnsi="Arial" w:cs="Arial"/>
          <w:color w:val="auto"/>
          <w:sz w:val="32"/>
          <w:szCs w:val="32"/>
        </w:rPr>
      </w:pPr>
    </w:p>
    <w:p w14:paraId="37C2D5A4">
      <w:pPr>
        <w:pStyle w:val="13"/>
        <w:rPr>
          <w:rFonts w:ascii="Arial" w:hAnsi="Arial" w:cs="Arial"/>
          <w:color w:val="auto"/>
          <w:sz w:val="32"/>
          <w:szCs w:val="32"/>
        </w:rPr>
      </w:pPr>
    </w:p>
    <w:p w14:paraId="7E1F68C4">
      <w:pPr>
        <w:pStyle w:val="13"/>
        <w:rPr>
          <w:rFonts w:ascii="Arial" w:hAnsi="Arial" w:cs="Arial"/>
          <w:color w:val="auto"/>
          <w:sz w:val="32"/>
          <w:szCs w:val="32"/>
        </w:rPr>
      </w:pPr>
    </w:p>
    <w:p w14:paraId="666BCD9A">
      <w:pPr>
        <w:pStyle w:val="13"/>
        <w:rPr>
          <w:rFonts w:ascii="Arial" w:hAnsi="Arial" w:cs="Arial"/>
          <w:color w:val="auto"/>
          <w:sz w:val="32"/>
          <w:szCs w:val="32"/>
        </w:rPr>
      </w:pPr>
    </w:p>
    <w:p w14:paraId="6CB66431">
      <w:pPr>
        <w:pStyle w:val="20"/>
        <w:snapToGrid w:val="0"/>
        <w:jc w:val="center"/>
        <w:rPr>
          <w:rFonts w:ascii="Arial" w:hAnsi="Arial" w:cs="Arial"/>
          <w:color w:val="auto"/>
          <w:sz w:val="32"/>
          <w:szCs w:val="32"/>
        </w:rPr>
      </w:pPr>
    </w:p>
    <w:p w14:paraId="2E420D01">
      <w:pPr>
        <w:pStyle w:val="20"/>
        <w:snapToGrid w:val="0"/>
        <w:jc w:val="center"/>
        <w:rPr>
          <w:rFonts w:ascii="Arial" w:hAnsi="Arial" w:cs="Arial"/>
          <w:color w:val="auto"/>
          <w:sz w:val="32"/>
          <w:szCs w:val="32"/>
        </w:rPr>
      </w:pPr>
    </w:p>
    <w:p w14:paraId="331534E3">
      <w:pPr>
        <w:spacing w:line="360" w:lineRule="auto"/>
        <w:rPr>
          <w:rFonts w:hint="eastAsia"/>
          <w:bCs/>
          <w:color w:val="auto"/>
          <w:sz w:val="32"/>
          <w:szCs w:val="32"/>
        </w:rPr>
      </w:pPr>
    </w:p>
    <w:p w14:paraId="77CDE0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娄底市中心医院设备科采购项目</w:t>
      </w:r>
    </w:p>
    <w:p w14:paraId="414399B7">
      <w:pPr>
        <w:pStyle w:val="12"/>
        <w:keepNext w:val="0"/>
        <w:keepLines w:val="0"/>
        <w:widowControl/>
        <w:suppressLineNumbers w:val="0"/>
        <w:spacing w:before="0" w:beforeAutospacing="0" w:after="0" w:afterAutospacing="0"/>
        <w:ind w:left="0" w:right="0" w:firstLine="643" w:firstLineChars="200"/>
        <w:rPr>
          <w:rFonts w:hint="default"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（放射卫生检测与评价</w:t>
      </w:r>
      <w:r>
        <w:rPr>
          <w:rFonts w:hint="eastAsia" w:eastAsia="宋体" w:cs="Times New Roman"/>
          <w:b/>
          <w:bCs/>
          <w:color w:val="auto"/>
          <w:kern w:val="44"/>
          <w:sz w:val="32"/>
          <w:szCs w:val="32"/>
          <w:lang w:val="en-US" w:eastAsia="zh-CN" w:bidi="ar-SA"/>
        </w:rPr>
        <w:t>、</w:t>
      </w:r>
      <w:r>
        <w:rPr>
          <w:rFonts w:hint="eastAsia" w:ascii="Times New Roman" w:hAnsi="Times New Roman" w:eastAsia="宋体" w:cs="Times New Roman"/>
          <w:b/>
          <w:bCs/>
          <w:color w:val="auto"/>
          <w:kern w:val="44"/>
          <w:sz w:val="32"/>
          <w:szCs w:val="32"/>
          <w:lang w:val="en-US" w:eastAsia="zh-CN" w:bidi="ar-SA"/>
        </w:rPr>
        <w:t>环境影响评价项目医院公开挂网）</w:t>
      </w:r>
    </w:p>
    <w:p w14:paraId="01899626">
      <w:pPr>
        <w:spacing w:line="320" w:lineRule="exact"/>
        <w:jc w:val="left"/>
        <w:rPr>
          <w:color w:val="auto"/>
          <w:sz w:val="24"/>
        </w:rPr>
      </w:pPr>
    </w:p>
    <w:p w14:paraId="4C8F14D9">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月</w:t>
      </w:r>
    </w:p>
    <w:p w14:paraId="78D850E4">
      <w:pPr>
        <w:pStyle w:val="3"/>
        <w:numPr>
          <w:ilvl w:val="0"/>
          <w:numId w:val="0"/>
        </w:numPr>
        <w:spacing w:line="240" w:lineRule="auto"/>
        <w:ind w:leftChars="0"/>
        <w:jc w:val="center"/>
        <w:rPr>
          <w:rFonts w:hint="eastAsia" w:ascii="宋体" w:hAnsi="宋体" w:cs="宋体"/>
          <w:color w:val="auto"/>
          <w:sz w:val="44"/>
          <w:szCs w:val="44"/>
          <w:lang w:val="en-US" w:eastAsia="zh-CN"/>
        </w:rPr>
      </w:pPr>
    </w:p>
    <w:p w14:paraId="4A66A5A5">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7CDE226E">
      <w:pPr>
        <w:pStyle w:val="12"/>
        <w:keepNext w:val="0"/>
        <w:keepLines w:val="0"/>
        <w:widowControl/>
        <w:suppressLineNumbers w:val="0"/>
        <w:spacing w:before="0" w:beforeAutospacing="0" w:after="0" w:afterAutospacing="0"/>
        <w:ind w:left="0" w:right="0" w:firstLine="960" w:firstLineChars="400"/>
        <w:rPr>
          <w:rFonts w:hint="eastAsia" w:asciiTheme="minorEastAsia" w:hAnsiTheme="minorEastAsia" w:eastAsiaTheme="minorEastAsia" w:cstheme="minorEastAsia"/>
          <w:bCs/>
          <w:color w:val="auto"/>
          <w:sz w:val="24"/>
          <w:szCs w:val="24"/>
          <w:lang w:val="en-US" w:eastAsia="zh-CN"/>
        </w:rPr>
      </w:pPr>
      <w:r>
        <w:rPr>
          <w:u w:val="single"/>
        </w:rPr>
        <w:t>放射卫生检测与评价</w:t>
      </w:r>
      <w:r>
        <w:rPr>
          <w:rFonts w:hint="eastAsia"/>
          <w:u w:val="single"/>
          <w:lang w:eastAsia="zh-CN"/>
        </w:rPr>
        <w:t>、</w:t>
      </w:r>
      <w:r>
        <w:rPr>
          <w:u w:val="single"/>
        </w:rPr>
        <w:t>环境影响评价</w:t>
      </w:r>
      <w:r>
        <w:rPr>
          <w:rFonts w:hint="eastAsia" w:asciiTheme="minorEastAsia" w:hAnsiTheme="minorEastAsia" w:eastAsiaTheme="minorEastAsia" w:cstheme="minorEastAsia"/>
          <w:bCs/>
          <w:color w:val="auto"/>
          <w:sz w:val="24"/>
          <w:szCs w:val="24"/>
          <w:u w:val="single"/>
          <w:lang w:val="en-US" w:eastAsia="zh-CN"/>
        </w:rPr>
        <w:t>项目</w:t>
      </w:r>
      <w:r>
        <w:rPr>
          <w:rFonts w:hint="eastAsia" w:asciiTheme="minorEastAsia" w:hAnsiTheme="minorEastAsia" w:eastAsiaTheme="minorEastAsia" w:cstheme="minorEastAsia"/>
          <w:bCs/>
          <w:color w:val="auto"/>
          <w:sz w:val="24"/>
          <w:szCs w:val="24"/>
          <w:lang w:val="en-US" w:eastAsia="zh-CN"/>
        </w:rPr>
        <w:t>进行医院公开挂网，将事项公告如下：</w:t>
      </w:r>
    </w:p>
    <w:p w14:paraId="2D313CFA">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1EF248A0">
      <w:pPr>
        <w:pStyle w:val="12"/>
        <w:keepNext w:val="0"/>
        <w:keepLines w:val="0"/>
        <w:widowControl/>
        <w:suppressLineNumbers w:val="0"/>
        <w:spacing w:before="0" w:beforeAutospacing="0" w:after="0" w:afterAutospacing="0"/>
        <w:ind w:left="0" w:right="0" w:firstLine="480" w:firstLineChars="200"/>
        <w:rPr>
          <w:u w:val="single"/>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imes New Roman" w:hAnsi="Times New Roman" w:eastAsia="宋体" w:cs="Times New Roman"/>
          <w:color w:val="auto"/>
          <w:kern w:val="0"/>
          <w:sz w:val="24"/>
          <w:szCs w:val="24"/>
          <w:u w:val="single"/>
          <w:lang w:val="en-US" w:eastAsia="zh-CN" w:bidi="ar"/>
        </w:rPr>
        <w:t>：</w:t>
      </w:r>
      <w:r>
        <w:rPr>
          <w:u w:val="single"/>
        </w:rPr>
        <w:t>放射卫生检测与评价</w:t>
      </w:r>
      <w:r>
        <w:rPr>
          <w:rFonts w:hint="eastAsia"/>
          <w:u w:val="single"/>
          <w:lang w:eastAsia="zh-CN"/>
        </w:rPr>
        <w:t>、</w:t>
      </w:r>
      <w:r>
        <w:rPr>
          <w:u w:val="single"/>
        </w:rPr>
        <w:t>环境影响评价项目</w:t>
      </w:r>
    </w:p>
    <w:p w14:paraId="2C9F3A4C">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u w:val="single"/>
          <w:lang w:val="en-US" w:eastAsia="zh-CN"/>
        </w:rPr>
      </w:pPr>
    </w:p>
    <w:p w14:paraId="6554C114">
      <w:pPr>
        <w:pStyle w:val="20"/>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6DBA799">
      <w:pPr>
        <w:pStyle w:val="20"/>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医院公开挂网</w:t>
      </w:r>
      <w:r>
        <w:rPr>
          <w:rFonts w:hint="eastAsia" w:asciiTheme="minorEastAsia" w:hAnsiTheme="minorEastAsia" w:eastAsiaTheme="minorEastAsia" w:cstheme="minorEastAsia"/>
          <w:bCs/>
          <w:color w:val="auto"/>
          <w:sz w:val="24"/>
          <w:szCs w:val="24"/>
          <w:lang w:val="en-US" w:eastAsia="zh-CN"/>
        </w:rPr>
        <w:t>，</w:t>
      </w:r>
      <w:bookmarkEnd w:id="0"/>
      <w:r>
        <w:rPr>
          <w:rFonts w:hint="eastAsia" w:asciiTheme="minorEastAsia" w:hAnsiTheme="minorEastAsia" w:eastAsiaTheme="minorEastAsia" w:cstheme="minorEastAsia"/>
          <w:bCs/>
          <w:color w:val="auto"/>
          <w:sz w:val="24"/>
          <w:szCs w:val="24"/>
          <w:lang w:val="en-US" w:eastAsia="zh-CN"/>
        </w:rPr>
        <w:t>按招标文件评分规则进行评审，以评审结果排序，综合评分得分相同的，按投标报价由低到高顺序排列，得分且投标报价相同的，按技术指标优劣顺序排列。</w:t>
      </w:r>
    </w:p>
    <w:p w14:paraId="531BA1C2">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0C8C153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1、投标人的基本资格条件：投标人必须是在中华人民共和国境内注册登记的法人、其他组织或者自然人，且应当符合《政府采购法》第二十二条的规定；</w:t>
      </w:r>
    </w:p>
    <w:p w14:paraId="07BECD47">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407CE77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3E7ECD3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3D81FDE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6C1AACE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2F49D93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0000FF"/>
          <w:sz w:val="24"/>
          <w:szCs w:val="24"/>
          <w:lang w:val="en-US" w:eastAsia="zh-CN"/>
        </w:rPr>
      </w:pPr>
      <w:r>
        <w:rPr>
          <w:rFonts w:hint="eastAsia" w:asciiTheme="minorEastAsia" w:hAnsiTheme="minorEastAsia" w:eastAsiaTheme="minorEastAsia" w:cstheme="minorEastAsia"/>
          <w:bCs/>
          <w:color w:val="0000FF"/>
          <w:sz w:val="24"/>
          <w:szCs w:val="24"/>
          <w:lang w:val="en-US" w:eastAsia="zh-CN"/>
        </w:rPr>
        <w:t>6、本项目的特定资格要求：</w:t>
      </w:r>
    </w:p>
    <w:p w14:paraId="41AD367E">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0000FF"/>
          <w:sz w:val="24"/>
          <w:szCs w:val="24"/>
          <w:lang w:val="en-US" w:eastAsia="zh-CN"/>
        </w:rPr>
      </w:pPr>
      <w:r>
        <w:rPr>
          <w:rFonts w:hint="eastAsia" w:asciiTheme="minorEastAsia" w:hAnsiTheme="minorEastAsia" w:eastAsiaTheme="minorEastAsia" w:cstheme="minorEastAsia"/>
          <w:bCs/>
          <w:color w:val="0000FF"/>
          <w:sz w:val="24"/>
          <w:szCs w:val="24"/>
          <w:lang w:val="en-US" w:eastAsia="zh-CN"/>
        </w:rPr>
        <w:t>（1）供应商具有卫生行政部门颁发的放射卫生技术服务机构乙级及以上资质；</w:t>
      </w:r>
    </w:p>
    <w:p w14:paraId="67443211">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0000FF"/>
          <w:sz w:val="24"/>
          <w:szCs w:val="24"/>
          <w:lang w:val="en-US" w:eastAsia="zh-CN"/>
        </w:rPr>
      </w:pPr>
      <w:r>
        <w:rPr>
          <w:rFonts w:hint="eastAsia" w:asciiTheme="minorEastAsia" w:hAnsiTheme="minorEastAsia" w:eastAsiaTheme="minorEastAsia" w:cstheme="minorEastAsia"/>
          <w:bCs/>
          <w:color w:val="0000FF"/>
          <w:sz w:val="24"/>
          <w:szCs w:val="24"/>
          <w:lang w:val="en-US" w:eastAsia="zh-CN"/>
        </w:rPr>
        <w:t>（2）供应商为环境影响评价信用平台（http：//114.251.10.92：8080/XYPT/）登记备案的企业；</w:t>
      </w:r>
    </w:p>
    <w:p w14:paraId="16AC8546">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color w:val="0000FF"/>
          <w:lang w:val="en-US" w:eastAsia="zh-CN"/>
        </w:rPr>
      </w:pPr>
      <w:r>
        <w:rPr>
          <w:rFonts w:hint="eastAsia" w:asciiTheme="minorEastAsia" w:hAnsiTheme="minorEastAsia" w:eastAsiaTheme="minorEastAsia" w:cstheme="minorEastAsia"/>
          <w:bCs/>
          <w:color w:val="0000FF"/>
          <w:sz w:val="24"/>
          <w:szCs w:val="24"/>
          <w:lang w:val="en-US" w:eastAsia="zh-CN"/>
        </w:rPr>
        <w:t>（3）供应商具有《检验检测机构资质认定证书》（CMA），具备放射诊疗工作场所辐射环境监测能力。</w:t>
      </w:r>
    </w:p>
    <w:p w14:paraId="26A80EA7">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57E3E1BE">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FF0000"/>
          <w:sz w:val="24"/>
          <w:szCs w:val="24"/>
          <w:lang w:val="en-US" w:eastAsia="zh-CN"/>
        </w:rPr>
      </w:pPr>
      <w:r>
        <w:rPr>
          <w:rFonts w:hint="eastAsia" w:asciiTheme="minorEastAsia" w:hAnsiTheme="minorEastAsia" w:eastAsiaTheme="minorEastAsia" w:cstheme="minorEastAsia"/>
          <w:bCs/>
          <w:color w:val="FF0000"/>
          <w:sz w:val="24"/>
          <w:szCs w:val="24"/>
          <w:lang w:val="en-US" w:eastAsia="zh-CN"/>
        </w:rPr>
        <w:t>1、投标截止时间、开标时间：2026年6月12日14:30；</w:t>
      </w:r>
    </w:p>
    <w:p w14:paraId="16FA9025">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FF0000"/>
          <w:sz w:val="24"/>
          <w:szCs w:val="24"/>
          <w:lang w:val="en-US" w:eastAsia="zh-CN"/>
        </w:rPr>
      </w:pPr>
      <w:r>
        <w:rPr>
          <w:rFonts w:hint="eastAsia" w:asciiTheme="minorEastAsia" w:hAnsiTheme="minorEastAsia" w:eastAsiaTheme="minorEastAsia" w:cstheme="minorEastAsia"/>
          <w:bCs/>
          <w:color w:val="FF0000"/>
          <w:sz w:val="24"/>
          <w:szCs w:val="24"/>
          <w:lang w:val="en-US" w:eastAsia="zh-CN"/>
        </w:rPr>
        <w:t>2、投标文件递交及开标地点：娄底市中心医院综合楼420室；</w:t>
      </w:r>
    </w:p>
    <w:p w14:paraId="28C884BE">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FF0000"/>
          <w:sz w:val="24"/>
          <w:szCs w:val="24"/>
          <w:lang w:val="en-US" w:eastAsia="zh-CN"/>
        </w:rPr>
      </w:pPr>
      <w:r>
        <w:rPr>
          <w:rFonts w:hint="eastAsia" w:asciiTheme="minorEastAsia" w:hAnsiTheme="minorEastAsia" w:eastAsiaTheme="minorEastAsia" w:cstheme="minorEastAsia"/>
          <w:bCs/>
          <w:color w:val="FF0000"/>
          <w:sz w:val="24"/>
          <w:szCs w:val="24"/>
          <w:lang w:val="en-US" w:eastAsia="zh-CN"/>
        </w:rPr>
        <w:t>3、报名方式及报名内容：包含但不限于将以下信息发至邮箱（28693680@qq.com）参与项目名称、公司名称、联系人、联系方式，公司相关资质等；</w:t>
      </w:r>
    </w:p>
    <w:p w14:paraId="45558A25">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FF0000"/>
          <w:sz w:val="24"/>
          <w:szCs w:val="24"/>
          <w:lang w:val="en-US" w:eastAsia="zh-CN"/>
        </w:rPr>
      </w:pPr>
      <w:r>
        <w:rPr>
          <w:rFonts w:hint="eastAsia" w:asciiTheme="minorEastAsia" w:hAnsiTheme="minorEastAsia" w:eastAsiaTheme="minorEastAsia" w:cstheme="minorEastAsia"/>
          <w:bCs/>
          <w:color w:val="FF0000"/>
          <w:sz w:val="24"/>
          <w:szCs w:val="24"/>
          <w:lang w:val="en-US" w:eastAsia="zh-CN"/>
        </w:rPr>
        <w:t>4、报名截止时间：自本报名信息发布之日起5个工作日。</w:t>
      </w:r>
    </w:p>
    <w:p w14:paraId="018C76B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5EA333D1">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66DC3C78">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2、联系人及联系方式：孙沁忍 16673869902</w:t>
      </w:r>
    </w:p>
    <w:p w14:paraId="36FD0A4B">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bookmarkStart w:id="5" w:name="_GoBack"/>
      <w:bookmarkEnd w:id="5"/>
    </w:p>
    <w:p w14:paraId="76963884">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E4150F4">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2255E30D">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35A3C406">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426E2E96">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4FF1BF0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25A4E0DA">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099E6E4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0857D076">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6231D961">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3A8E88B">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
          <w:bCs/>
          <w:color w:val="auto"/>
          <w:sz w:val="44"/>
          <w:szCs w:val="4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14:paraId="4475D31F">
      <w:pPr>
        <w:pStyle w:val="13"/>
        <w:rPr>
          <w:rFonts w:hint="eastAsia" w:ascii="宋体" w:hAnsi="宋体" w:cs="宋体"/>
          <w:b/>
          <w:bCs/>
          <w:color w:val="auto"/>
          <w:sz w:val="44"/>
          <w:szCs w:val="44"/>
          <w:lang w:val="en-US" w:eastAsia="zh-CN"/>
        </w:rPr>
      </w:pPr>
    </w:p>
    <w:p w14:paraId="6B2EF577">
      <w:pPr>
        <w:rPr>
          <w:rFonts w:hint="eastAsia" w:ascii="宋体" w:hAnsi="宋体" w:cs="宋体"/>
          <w:b/>
          <w:bCs/>
          <w:color w:val="auto"/>
          <w:sz w:val="44"/>
          <w:szCs w:val="44"/>
          <w:lang w:val="en-US" w:eastAsia="zh-CN"/>
        </w:rPr>
      </w:pPr>
    </w:p>
    <w:p w14:paraId="7AB7ED69">
      <w:pPr>
        <w:pStyle w:val="22"/>
        <w:rPr>
          <w:rFonts w:hint="eastAsia"/>
          <w:color w:val="auto"/>
          <w:lang w:val="en-US" w:eastAsia="zh-CN"/>
        </w:rPr>
      </w:pPr>
    </w:p>
    <w:p w14:paraId="7DFCC22E">
      <w:pPr>
        <w:rPr>
          <w:rFonts w:hint="eastAsia"/>
          <w:color w:val="auto"/>
          <w:lang w:val="en-US" w:eastAsia="zh-CN"/>
        </w:rPr>
      </w:pPr>
      <w:r>
        <w:rPr>
          <w:rFonts w:hint="eastAsia"/>
          <w:color w:val="auto"/>
          <w:lang w:val="en-US" w:eastAsia="zh-CN"/>
        </w:rPr>
        <w:br w:type="page"/>
      </w:r>
    </w:p>
    <w:p w14:paraId="0DFAAEDB">
      <w:pPr>
        <w:pStyle w:val="2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0AA5E9DD">
      <w:pPr>
        <w:spacing w:line="360" w:lineRule="auto"/>
        <w:ind w:firstLine="562" w:firstLineChars="200"/>
        <w:rPr>
          <w:rFonts w:hint="eastAsia" w:asciiTheme="minorEastAsia" w:hAnsiTheme="minorEastAsia" w:eastAsiaTheme="minorEastAsia" w:cstheme="minorEastAsia"/>
          <w:b/>
          <w:bCs w:val="0"/>
          <w:color w:val="auto"/>
          <w:kern w:val="0"/>
          <w:sz w:val="28"/>
          <w:szCs w:val="28"/>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一、采购清单、采购项目交付或者实施的时间和地点</w:t>
      </w:r>
    </w:p>
    <w:p w14:paraId="1C623E8B">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4"/>
        <w:tblpPr w:leftFromText="180" w:rightFromText="180" w:vertAnchor="text" w:horzAnchor="page" w:tblpX="1919" w:tblpY="131"/>
        <w:tblOverlap w:val="never"/>
        <w:tblW w:w="9042" w:type="dxa"/>
        <w:tblInd w:w="0" w:type="dxa"/>
        <w:tblLayout w:type="fixed"/>
        <w:tblCellMar>
          <w:top w:w="0" w:type="dxa"/>
          <w:left w:w="0" w:type="dxa"/>
          <w:bottom w:w="0" w:type="dxa"/>
          <w:right w:w="0" w:type="dxa"/>
        </w:tblCellMar>
      </w:tblPr>
      <w:tblGrid>
        <w:gridCol w:w="671"/>
        <w:gridCol w:w="1536"/>
        <w:gridCol w:w="733"/>
        <w:gridCol w:w="664"/>
        <w:gridCol w:w="3383"/>
        <w:gridCol w:w="1381"/>
        <w:gridCol w:w="674"/>
      </w:tblGrid>
      <w:tr w14:paraId="4E239189">
        <w:tblPrEx>
          <w:tblCellMar>
            <w:top w:w="0" w:type="dxa"/>
            <w:left w:w="0" w:type="dxa"/>
            <w:bottom w:w="0" w:type="dxa"/>
            <w:right w:w="0" w:type="dxa"/>
          </w:tblCellMar>
        </w:tblPrEx>
        <w:trPr>
          <w:trHeight w:val="602" w:hRule="atLeast"/>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1E27DB9">
            <w:pPr>
              <w:keepNext w:val="0"/>
              <w:keepLines w:val="0"/>
              <w:widowControl/>
              <w:suppressLineNumbers w:val="0"/>
              <w:jc w:val="center"/>
              <w:textAlignment w:val="bottom"/>
              <w:rPr>
                <w:rFonts w:hint="eastAsia" w:ascii="宋体" w:hAnsi="宋体" w:eastAsia="宋体" w:cs="宋体"/>
                <w:b/>
                <w:i w:val="0"/>
                <w:color w:val="000000"/>
                <w:sz w:val="30"/>
                <w:szCs w:val="30"/>
                <w:highlight w:val="none"/>
                <w:u w:val="none"/>
                <w:shd w:val="clear" w:color="auto" w:fill="auto"/>
              </w:rPr>
            </w:pPr>
            <w:r>
              <w:rPr>
                <w:rFonts w:hint="eastAsia" w:ascii="宋体" w:hAnsi="宋体" w:eastAsia="宋体" w:cs="宋体"/>
                <w:b/>
                <w:i w:val="0"/>
                <w:color w:val="000000"/>
                <w:kern w:val="0"/>
                <w:sz w:val="30"/>
                <w:szCs w:val="30"/>
                <w:highlight w:val="none"/>
                <w:u w:val="none"/>
                <w:shd w:val="clear" w:color="auto" w:fill="auto"/>
                <w:lang w:val="en-US" w:eastAsia="zh-CN" w:bidi="ar"/>
              </w:rPr>
              <w:t>包号</w:t>
            </w:r>
          </w:p>
        </w:tc>
        <w:tc>
          <w:tcPr>
            <w:tcW w:w="15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840AA7E">
            <w:pPr>
              <w:keepNext w:val="0"/>
              <w:keepLines w:val="0"/>
              <w:widowControl/>
              <w:suppressLineNumbers w:val="0"/>
              <w:jc w:val="center"/>
              <w:textAlignment w:val="bottom"/>
              <w:rPr>
                <w:rFonts w:hint="eastAsia" w:ascii="宋体" w:hAnsi="宋体" w:eastAsia="宋体" w:cs="宋体"/>
                <w:b/>
                <w:i w:val="0"/>
                <w:color w:val="000000"/>
                <w:sz w:val="30"/>
                <w:szCs w:val="30"/>
                <w:highlight w:val="none"/>
                <w:u w:val="none"/>
                <w:shd w:val="clear" w:color="auto" w:fill="auto"/>
              </w:rPr>
            </w:pPr>
            <w:r>
              <w:rPr>
                <w:rFonts w:hint="eastAsia" w:ascii="宋体" w:hAnsi="宋体" w:eastAsia="宋体" w:cs="宋体"/>
                <w:b/>
                <w:i w:val="0"/>
                <w:color w:val="000000"/>
                <w:kern w:val="0"/>
                <w:sz w:val="30"/>
                <w:szCs w:val="30"/>
                <w:highlight w:val="none"/>
                <w:u w:val="none"/>
                <w:shd w:val="clear" w:color="auto" w:fill="auto"/>
                <w:lang w:val="en-US" w:eastAsia="zh-CN" w:bidi="ar"/>
              </w:rPr>
              <w:t>名称</w:t>
            </w:r>
          </w:p>
        </w:tc>
        <w:tc>
          <w:tcPr>
            <w:tcW w:w="7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23C2541">
            <w:pPr>
              <w:keepNext w:val="0"/>
              <w:keepLines w:val="0"/>
              <w:widowControl/>
              <w:suppressLineNumbers w:val="0"/>
              <w:jc w:val="center"/>
              <w:textAlignment w:val="bottom"/>
              <w:rPr>
                <w:rFonts w:hint="eastAsia" w:ascii="宋体" w:hAnsi="宋体" w:eastAsia="宋体" w:cs="宋体"/>
                <w:b/>
                <w:i w:val="0"/>
                <w:color w:val="000000"/>
                <w:sz w:val="30"/>
                <w:szCs w:val="30"/>
                <w:highlight w:val="none"/>
                <w:u w:val="none"/>
                <w:shd w:val="clear" w:color="auto" w:fill="auto"/>
              </w:rPr>
            </w:pPr>
            <w:r>
              <w:rPr>
                <w:rFonts w:hint="eastAsia" w:ascii="宋体" w:hAnsi="宋体" w:eastAsia="宋体" w:cs="宋体"/>
                <w:b/>
                <w:i w:val="0"/>
                <w:color w:val="000000"/>
                <w:kern w:val="0"/>
                <w:sz w:val="30"/>
                <w:szCs w:val="30"/>
                <w:highlight w:val="none"/>
                <w:u w:val="none"/>
                <w:shd w:val="clear" w:color="auto" w:fill="auto"/>
                <w:lang w:val="en-US" w:eastAsia="zh-CN" w:bidi="ar"/>
              </w:rPr>
              <w:t>数量</w:t>
            </w:r>
          </w:p>
        </w:tc>
        <w:tc>
          <w:tcPr>
            <w:tcW w:w="66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A717AD">
            <w:pPr>
              <w:keepNext w:val="0"/>
              <w:keepLines w:val="0"/>
              <w:widowControl/>
              <w:suppressLineNumbers w:val="0"/>
              <w:jc w:val="center"/>
              <w:textAlignment w:val="bottom"/>
              <w:rPr>
                <w:rFonts w:hint="eastAsia" w:ascii="宋体" w:hAnsi="宋体" w:eastAsia="宋体" w:cs="宋体"/>
                <w:b/>
                <w:i w:val="0"/>
                <w:color w:val="000000"/>
                <w:kern w:val="0"/>
                <w:sz w:val="30"/>
                <w:szCs w:val="30"/>
                <w:highlight w:val="none"/>
                <w:u w:val="none"/>
                <w:shd w:val="clear" w:color="auto" w:fill="auto"/>
                <w:lang w:val="en-US" w:eastAsia="zh-CN" w:bidi="ar"/>
              </w:rPr>
            </w:pPr>
            <w:r>
              <w:rPr>
                <w:rFonts w:hint="eastAsia" w:ascii="宋体" w:hAnsi="宋体" w:eastAsia="宋体" w:cs="宋体"/>
                <w:b/>
                <w:i w:val="0"/>
                <w:color w:val="000000"/>
                <w:kern w:val="0"/>
                <w:sz w:val="30"/>
                <w:szCs w:val="30"/>
                <w:highlight w:val="none"/>
                <w:u w:val="none"/>
                <w:shd w:val="clear" w:color="auto" w:fill="auto"/>
                <w:lang w:val="en-US" w:eastAsia="zh-CN" w:bidi="ar"/>
              </w:rPr>
              <w:t>单位</w:t>
            </w:r>
          </w:p>
        </w:tc>
        <w:tc>
          <w:tcPr>
            <w:tcW w:w="338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2EF3DE">
            <w:pPr>
              <w:keepNext w:val="0"/>
              <w:keepLines w:val="0"/>
              <w:widowControl/>
              <w:suppressLineNumbers w:val="0"/>
              <w:jc w:val="center"/>
              <w:textAlignment w:val="bottom"/>
              <w:rPr>
                <w:rFonts w:hint="eastAsia" w:ascii="宋体" w:hAnsi="宋体" w:eastAsia="宋体" w:cs="宋体"/>
                <w:b/>
                <w:i w:val="0"/>
                <w:color w:val="000000"/>
                <w:sz w:val="30"/>
                <w:szCs w:val="30"/>
                <w:highlight w:val="none"/>
                <w:u w:val="none"/>
                <w:shd w:val="clear" w:color="auto" w:fill="auto"/>
              </w:rPr>
            </w:pPr>
            <w:r>
              <w:rPr>
                <w:rFonts w:hint="eastAsia" w:ascii="宋体" w:hAnsi="宋体" w:eastAsia="宋体" w:cs="宋体"/>
                <w:b/>
                <w:i w:val="0"/>
                <w:color w:val="000000"/>
                <w:kern w:val="0"/>
                <w:sz w:val="30"/>
                <w:szCs w:val="30"/>
                <w:highlight w:val="none"/>
                <w:u w:val="none"/>
                <w:shd w:val="clear" w:color="auto" w:fill="auto"/>
                <w:lang w:val="en-US" w:eastAsia="zh-CN" w:bidi="ar"/>
              </w:rPr>
              <w:t>项目内容</w:t>
            </w:r>
          </w:p>
        </w:tc>
        <w:tc>
          <w:tcPr>
            <w:tcW w:w="13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44A000E">
            <w:pPr>
              <w:keepNext w:val="0"/>
              <w:keepLines w:val="0"/>
              <w:widowControl/>
              <w:suppressLineNumbers w:val="0"/>
              <w:jc w:val="center"/>
              <w:textAlignment w:val="bottom"/>
              <w:rPr>
                <w:rFonts w:hint="eastAsia" w:ascii="宋体" w:hAnsi="宋体" w:eastAsia="宋体" w:cs="宋体"/>
                <w:b/>
                <w:i w:val="0"/>
                <w:color w:val="000000"/>
                <w:kern w:val="0"/>
                <w:sz w:val="30"/>
                <w:szCs w:val="30"/>
                <w:highlight w:val="none"/>
                <w:u w:val="none"/>
                <w:shd w:val="clear" w:color="auto" w:fill="auto"/>
                <w:lang w:val="en-US" w:eastAsia="zh-CN" w:bidi="ar"/>
              </w:rPr>
            </w:pPr>
            <w:r>
              <w:rPr>
                <w:rFonts w:hint="eastAsia" w:ascii="宋体" w:hAnsi="宋体" w:eastAsia="宋体" w:cs="宋体"/>
                <w:b/>
                <w:i w:val="0"/>
                <w:color w:val="000000"/>
                <w:kern w:val="0"/>
                <w:sz w:val="30"/>
                <w:szCs w:val="30"/>
                <w:highlight w:val="none"/>
                <w:u w:val="none"/>
                <w:shd w:val="clear" w:color="auto" w:fill="auto"/>
                <w:lang w:val="en-US" w:eastAsia="zh-CN" w:bidi="ar"/>
              </w:rPr>
              <w:t>预算价格</w:t>
            </w:r>
          </w:p>
          <w:p w14:paraId="73CC98E9">
            <w:pPr>
              <w:keepNext w:val="0"/>
              <w:keepLines w:val="0"/>
              <w:widowControl/>
              <w:suppressLineNumbers w:val="0"/>
              <w:jc w:val="center"/>
              <w:textAlignment w:val="bottom"/>
              <w:rPr>
                <w:rFonts w:hint="eastAsia" w:ascii="宋体" w:hAnsi="宋体" w:eastAsia="宋体" w:cs="宋体"/>
                <w:b/>
                <w:i w:val="0"/>
                <w:color w:val="000000"/>
                <w:kern w:val="0"/>
                <w:sz w:val="30"/>
                <w:szCs w:val="30"/>
                <w:highlight w:val="none"/>
                <w:u w:val="none"/>
                <w:shd w:val="clear" w:color="auto" w:fill="auto"/>
                <w:lang w:val="en-US" w:eastAsia="zh-CN" w:bidi="ar"/>
              </w:rPr>
            </w:pPr>
            <w:r>
              <w:rPr>
                <w:rFonts w:hint="eastAsia" w:ascii="宋体" w:hAnsi="宋体" w:eastAsia="宋体" w:cs="宋体"/>
                <w:b/>
                <w:i w:val="0"/>
                <w:color w:val="000000"/>
                <w:kern w:val="0"/>
                <w:sz w:val="30"/>
                <w:szCs w:val="30"/>
                <w:highlight w:val="none"/>
                <w:u w:val="none"/>
                <w:shd w:val="clear" w:color="auto" w:fill="auto"/>
                <w:lang w:val="en-US" w:eastAsia="zh-CN" w:bidi="ar"/>
              </w:rPr>
              <w:t>（万元）</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135D126">
            <w:pPr>
              <w:keepNext w:val="0"/>
              <w:keepLines w:val="0"/>
              <w:widowControl/>
              <w:suppressLineNumbers w:val="0"/>
              <w:jc w:val="center"/>
              <w:textAlignment w:val="bottom"/>
              <w:rPr>
                <w:rFonts w:hint="eastAsia" w:ascii="宋体" w:hAnsi="宋体" w:eastAsia="宋体" w:cs="宋体"/>
                <w:b/>
                <w:i w:val="0"/>
                <w:color w:val="000000"/>
                <w:kern w:val="0"/>
                <w:sz w:val="30"/>
                <w:szCs w:val="30"/>
                <w:highlight w:val="none"/>
                <w:u w:val="none"/>
                <w:shd w:val="clear" w:color="auto" w:fill="auto"/>
                <w:lang w:val="en-US" w:eastAsia="zh-CN" w:bidi="ar"/>
              </w:rPr>
            </w:pPr>
            <w:r>
              <w:rPr>
                <w:rFonts w:hint="eastAsia" w:ascii="宋体" w:hAnsi="宋体" w:eastAsia="宋体" w:cs="宋体"/>
                <w:b/>
                <w:i w:val="0"/>
                <w:color w:val="000000"/>
                <w:kern w:val="0"/>
                <w:sz w:val="30"/>
                <w:szCs w:val="30"/>
                <w:highlight w:val="none"/>
                <w:u w:val="none"/>
                <w:shd w:val="clear" w:color="auto" w:fill="auto"/>
                <w:lang w:val="en-US" w:eastAsia="zh-CN" w:bidi="ar"/>
              </w:rPr>
              <w:t>备注</w:t>
            </w:r>
          </w:p>
        </w:tc>
      </w:tr>
      <w:tr w14:paraId="65E09F2B">
        <w:tblPrEx>
          <w:tblCellMar>
            <w:top w:w="0" w:type="dxa"/>
            <w:left w:w="0" w:type="dxa"/>
            <w:bottom w:w="0" w:type="dxa"/>
            <w:right w:w="0" w:type="dxa"/>
          </w:tblCellMar>
        </w:tblPrEx>
        <w:trPr>
          <w:trHeight w:val="771" w:hRule="atLeast"/>
        </w:trPr>
        <w:tc>
          <w:tcPr>
            <w:tcW w:w="671"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14:paraId="0CEC522A">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r>
              <w:rPr>
                <w:rFonts w:hint="eastAsia" w:ascii="宋体" w:hAnsi="宋体" w:eastAsia="宋体" w:cs="宋体"/>
                <w:i w:val="0"/>
                <w:color w:val="000000"/>
                <w:sz w:val="30"/>
                <w:szCs w:val="30"/>
                <w:u w:val="none"/>
                <w:lang w:val="en-US" w:eastAsia="zh-CN"/>
              </w:rPr>
              <w:t>1</w:t>
            </w:r>
          </w:p>
          <w:p w14:paraId="7F6BF5D8">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EB9547">
            <w:pPr>
              <w:keepNext w:val="0"/>
              <w:keepLines w:val="0"/>
              <w:widowControl/>
              <w:suppressLineNumbers w:val="0"/>
              <w:jc w:val="center"/>
              <w:textAlignment w:val="bottom"/>
              <w:rPr>
                <w:rFonts w:hint="eastAsia" w:ascii="宋体" w:hAnsi="宋体" w:eastAsia="宋体" w:cs="宋体"/>
                <w:i w:val="0"/>
                <w:color w:val="000000"/>
                <w:kern w:val="2"/>
                <w:sz w:val="30"/>
                <w:szCs w:val="30"/>
                <w:u w:val="none"/>
                <w:lang w:val="en-US" w:eastAsia="zh-CN" w:bidi="ar-SA"/>
              </w:rPr>
            </w:pPr>
            <w:r>
              <w:rPr>
                <w:rFonts w:hint="eastAsia" w:ascii="宋体" w:hAnsi="宋体" w:eastAsia="宋体" w:cs="宋体"/>
                <w:i w:val="0"/>
                <w:color w:val="000000"/>
                <w:sz w:val="30"/>
                <w:szCs w:val="30"/>
                <w:u w:val="none"/>
                <w:lang w:val="en-US" w:eastAsia="zh-CN"/>
              </w:rPr>
              <w:t>DR</w:t>
            </w:r>
          </w:p>
        </w:tc>
        <w:tc>
          <w:tcPr>
            <w:tcW w:w="7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A0EE78">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r>
              <w:rPr>
                <w:rFonts w:hint="eastAsia" w:ascii="宋体" w:hAnsi="宋体" w:eastAsia="宋体" w:cs="宋体"/>
                <w:i w:val="0"/>
                <w:color w:val="000000"/>
                <w:sz w:val="30"/>
                <w:szCs w:val="30"/>
                <w:u w:val="none"/>
                <w:lang w:val="en-US" w:eastAsia="zh-CN"/>
              </w:rPr>
              <w:t>2</w:t>
            </w:r>
          </w:p>
        </w:tc>
        <w:tc>
          <w:tcPr>
            <w:tcW w:w="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F1FBF0">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r>
              <w:rPr>
                <w:rFonts w:hint="eastAsia" w:ascii="宋体" w:hAnsi="宋体" w:eastAsia="宋体" w:cs="宋体"/>
                <w:i w:val="0"/>
                <w:color w:val="000000"/>
                <w:sz w:val="30"/>
                <w:szCs w:val="30"/>
                <w:u w:val="none"/>
                <w:lang w:val="en-US" w:eastAsia="zh-CN"/>
              </w:rPr>
              <w:t>台</w:t>
            </w:r>
          </w:p>
        </w:tc>
        <w:tc>
          <w:tcPr>
            <w:tcW w:w="3383"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14:paraId="665C7C3B">
            <w:pPr>
              <w:keepNext w:val="0"/>
              <w:keepLines w:val="0"/>
              <w:widowControl/>
              <w:suppressLineNumbers w:val="0"/>
              <w:jc w:val="left"/>
              <w:textAlignment w:val="bottom"/>
              <w:rPr>
                <w:rFonts w:hint="eastAsia" w:ascii="宋体" w:hAnsi="宋体" w:eastAsia="宋体" w:cs="宋体"/>
                <w:i w:val="0"/>
                <w:color w:val="000000"/>
                <w:sz w:val="30"/>
                <w:szCs w:val="30"/>
                <w:u w:val="none"/>
                <w:lang w:val="en-US" w:eastAsia="zh-CN"/>
              </w:rPr>
            </w:pPr>
            <w:r>
              <w:rPr>
                <w:rFonts w:hint="eastAsia" w:ascii="宋体" w:hAnsi="宋体" w:eastAsia="宋体" w:cs="宋体"/>
                <w:i w:val="0"/>
                <w:color w:val="000000"/>
                <w:sz w:val="30"/>
                <w:szCs w:val="30"/>
                <w:u w:val="none"/>
                <w:lang w:val="en-US" w:eastAsia="zh-CN"/>
              </w:rPr>
              <w:t>1、预评价、控制效果评价及放射诊疗许可证办理；</w:t>
            </w:r>
          </w:p>
          <w:p w14:paraId="0947C4C7">
            <w:pPr>
              <w:keepNext w:val="0"/>
              <w:keepLines w:val="0"/>
              <w:widowControl/>
              <w:suppressLineNumbers w:val="0"/>
              <w:jc w:val="left"/>
              <w:textAlignment w:val="bottom"/>
              <w:rPr>
                <w:rFonts w:hint="eastAsia" w:ascii="宋体" w:hAnsi="宋体" w:eastAsia="宋体" w:cs="宋体"/>
                <w:i w:val="0"/>
                <w:color w:val="000000"/>
                <w:sz w:val="30"/>
                <w:szCs w:val="30"/>
                <w:u w:val="none"/>
                <w:lang w:val="en-US" w:eastAsia="zh-CN"/>
              </w:rPr>
            </w:pPr>
            <w:r>
              <w:rPr>
                <w:rFonts w:hint="eastAsia" w:ascii="宋体" w:hAnsi="宋体" w:eastAsia="宋体" w:cs="宋体"/>
                <w:i w:val="0"/>
                <w:color w:val="000000"/>
                <w:sz w:val="30"/>
                <w:szCs w:val="30"/>
                <w:u w:val="none"/>
                <w:lang w:val="en-US" w:eastAsia="zh-CN"/>
              </w:rPr>
              <w:t>2、环境影响评价、环保竣工验收及辐射安全许可证办理。</w:t>
            </w:r>
          </w:p>
        </w:tc>
        <w:tc>
          <w:tcPr>
            <w:tcW w:w="1381"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14:paraId="3C709549">
            <w:pPr>
              <w:keepNext w:val="0"/>
              <w:keepLines w:val="0"/>
              <w:widowControl/>
              <w:suppressLineNumbers w:val="0"/>
              <w:jc w:val="center"/>
              <w:textAlignment w:val="bottom"/>
              <w:rPr>
                <w:rFonts w:hint="default" w:ascii="宋体" w:hAnsi="宋体" w:eastAsia="宋体" w:cs="宋体"/>
                <w:i w:val="0"/>
                <w:color w:val="000000"/>
                <w:sz w:val="30"/>
                <w:szCs w:val="30"/>
                <w:u w:val="none"/>
                <w:lang w:val="en-US" w:eastAsia="zh-CN"/>
              </w:rPr>
            </w:pPr>
            <w:r>
              <w:rPr>
                <w:rFonts w:hint="eastAsia" w:ascii="宋体" w:hAnsi="宋体" w:cs="宋体"/>
                <w:i w:val="0"/>
                <w:color w:val="000000"/>
                <w:sz w:val="30"/>
                <w:szCs w:val="30"/>
                <w:u w:val="none"/>
                <w:lang w:val="en-US" w:eastAsia="zh-CN"/>
              </w:rPr>
              <w:t>6</w:t>
            </w:r>
          </w:p>
        </w:tc>
        <w:tc>
          <w:tcPr>
            <w:tcW w:w="674" w:type="dxa"/>
            <w:tcBorders>
              <w:top w:val="single" w:color="000000" w:sz="4" w:space="0"/>
              <w:left w:val="single" w:color="000000" w:sz="4" w:space="0"/>
              <w:right w:val="single" w:color="000000" w:sz="4" w:space="0"/>
            </w:tcBorders>
            <w:noWrap/>
            <w:tcMar>
              <w:top w:w="15" w:type="dxa"/>
              <w:left w:w="15" w:type="dxa"/>
              <w:right w:w="15" w:type="dxa"/>
            </w:tcMar>
            <w:vAlign w:val="center"/>
          </w:tcPr>
          <w:p w14:paraId="6656F457">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p>
        </w:tc>
      </w:tr>
      <w:tr w14:paraId="094F08B0">
        <w:tblPrEx>
          <w:tblCellMar>
            <w:top w:w="0" w:type="dxa"/>
            <w:left w:w="0" w:type="dxa"/>
            <w:bottom w:w="0" w:type="dxa"/>
            <w:right w:w="0" w:type="dxa"/>
          </w:tblCellMar>
        </w:tblPrEx>
        <w:trPr>
          <w:trHeight w:val="793" w:hRule="atLeast"/>
        </w:trPr>
        <w:tc>
          <w:tcPr>
            <w:tcW w:w="671" w:type="dxa"/>
            <w:vMerge w:val="continue"/>
            <w:tcBorders>
              <w:left w:val="single" w:color="000000" w:sz="4" w:space="0"/>
              <w:right w:val="single" w:color="000000" w:sz="4" w:space="0"/>
            </w:tcBorders>
            <w:noWrap/>
            <w:tcMar>
              <w:top w:w="15" w:type="dxa"/>
              <w:left w:w="15" w:type="dxa"/>
              <w:right w:w="15" w:type="dxa"/>
            </w:tcMar>
            <w:vAlign w:val="center"/>
          </w:tcPr>
          <w:p w14:paraId="41B74505">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30AEA3">
            <w:pPr>
              <w:keepNext w:val="0"/>
              <w:keepLines w:val="0"/>
              <w:widowControl/>
              <w:suppressLineNumbers w:val="0"/>
              <w:jc w:val="center"/>
              <w:textAlignment w:val="bottom"/>
              <w:rPr>
                <w:rFonts w:hint="eastAsia" w:ascii="宋体" w:hAnsi="宋体" w:eastAsia="宋体" w:cs="宋体"/>
                <w:i w:val="0"/>
                <w:color w:val="000000"/>
                <w:kern w:val="2"/>
                <w:sz w:val="30"/>
                <w:szCs w:val="30"/>
                <w:u w:val="none"/>
                <w:lang w:val="en-US" w:eastAsia="zh-CN" w:bidi="ar-SA"/>
              </w:rPr>
            </w:pPr>
            <w:r>
              <w:rPr>
                <w:rFonts w:hint="eastAsia" w:ascii="宋体" w:hAnsi="宋体" w:eastAsia="宋体" w:cs="宋体"/>
                <w:i w:val="0"/>
                <w:color w:val="000000"/>
                <w:sz w:val="30"/>
                <w:szCs w:val="30"/>
                <w:u w:val="none"/>
                <w:lang w:val="en-US" w:eastAsia="zh-CN"/>
              </w:rPr>
              <w:t>C臂机</w:t>
            </w:r>
          </w:p>
        </w:tc>
        <w:tc>
          <w:tcPr>
            <w:tcW w:w="7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E349C4">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r>
              <w:rPr>
                <w:rFonts w:hint="eastAsia" w:ascii="宋体" w:hAnsi="宋体" w:eastAsia="宋体" w:cs="宋体"/>
                <w:i w:val="0"/>
                <w:color w:val="000000"/>
                <w:sz w:val="30"/>
                <w:szCs w:val="30"/>
                <w:u w:val="none"/>
                <w:lang w:val="en-US" w:eastAsia="zh-CN"/>
              </w:rPr>
              <w:t>1</w:t>
            </w:r>
          </w:p>
        </w:tc>
        <w:tc>
          <w:tcPr>
            <w:tcW w:w="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B8A137">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r>
              <w:rPr>
                <w:rFonts w:hint="eastAsia" w:ascii="宋体" w:hAnsi="宋体" w:eastAsia="宋体" w:cs="宋体"/>
                <w:i w:val="0"/>
                <w:color w:val="000000"/>
                <w:sz w:val="30"/>
                <w:szCs w:val="30"/>
                <w:u w:val="none"/>
                <w:lang w:val="en-US" w:eastAsia="zh-CN"/>
              </w:rPr>
              <w:t>台</w:t>
            </w:r>
          </w:p>
        </w:tc>
        <w:tc>
          <w:tcPr>
            <w:tcW w:w="338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14:paraId="66B33D60">
            <w:pPr>
              <w:keepNext w:val="0"/>
              <w:keepLines w:val="0"/>
              <w:widowControl/>
              <w:suppressLineNumbers w:val="0"/>
              <w:jc w:val="center"/>
              <w:textAlignment w:val="bottom"/>
              <w:rPr>
                <w:rFonts w:hint="eastAsia" w:ascii="宋体" w:hAnsi="宋体" w:eastAsia="宋体" w:cs="宋体"/>
                <w:i w:val="0"/>
                <w:color w:val="000000"/>
                <w:kern w:val="2"/>
                <w:sz w:val="30"/>
                <w:szCs w:val="30"/>
                <w:u w:val="none"/>
                <w:lang w:val="en-US" w:eastAsia="zh-CN" w:bidi="ar-SA"/>
              </w:rPr>
            </w:pPr>
          </w:p>
        </w:tc>
        <w:tc>
          <w:tcPr>
            <w:tcW w:w="1381" w:type="dxa"/>
            <w:vMerge w:val="continue"/>
            <w:tcBorders>
              <w:left w:val="single" w:color="000000" w:sz="4" w:space="0"/>
              <w:right w:val="single" w:color="000000" w:sz="4" w:space="0"/>
            </w:tcBorders>
            <w:noWrap/>
            <w:tcMar>
              <w:top w:w="15" w:type="dxa"/>
              <w:left w:w="15" w:type="dxa"/>
              <w:right w:w="15" w:type="dxa"/>
            </w:tcMar>
            <w:vAlign w:val="center"/>
          </w:tcPr>
          <w:p w14:paraId="163822D3">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p>
        </w:tc>
        <w:tc>
          <w:tcPr>
            <w:tcW w:w="674" w:type="dxa"/>
            <w:tcBorders>
              <w:left w:val="single" w:color="000000" w:sz="4" w:space="0"/>
              <w:right w:val="single" w:color="000000" w:sz="4" w:space="0"/>
            </w:tcBorders>
            <w:noWrap/>
            <w:tcMar>
              <w:top w:w="15" w:type="dxa"/>
              <w:left w:w="15" w:type="dxa"/>
              <w:right w:w="15" w:type="dxa"/>
            </w:tcMar>
            <w:vAlign w:val="center"/>
          </w:tcPr>
          <w:p w14:paraId="1FE41DFD">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p>
        </w:tc>
      </w:tr>
      <w:tr w14:paraId="45EEE993">
        <w:tblPrEx>
          <w:tblCellMar>
            <w:top w:w="0" w:type="dxa"/>
            <w:left w:w="0" w:type="dxa"/>
            <w:bottom w:w="0" w:type="dxa"/>
            <w:right w:w="0" w:type="dxa"/>
          </w:tblCellMar>
        </w:tblPrEx>
        <w:trPr>
          <w:trHeight w:val="757" w:hRule="atLeast"/>
        </w:trPr>
        <w:tc>
          <w:tcPr>
            <w:tcW w:w="671"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14:paraId="5C0F6D5E">
            <w:pPr>
              <w:keepNext w:val="0"/>
              <w:keepLines w:val="0"/>
              <w:widowControl/>
              <w:suppressLineNumbers w:val="0"/>
              <w:jc w:val="center"/>
              <w:textAlignment w:val="bottom"/>
              <w:rPr>
                <w:rFonts w:hint="eastAsia" w:ascii="宋体" w:hAnsi="宋体" w:eastAsia="宋体" w:cs="宋体"/>
                <w:i w:val="0"/>
                <w:color w:val="000000"/>
                <w:sz w:val="30"/>
                <w:szCs w:val="30"/>
                <w:u w:val="none"/>
                <w:lang w:val="en-US" w:eastAsia="zh-CN"/>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F47141">
            <w:pPr>
              <w:keepNext w:val="0"/>
              <w:keepLines w:val="0"/>
              <w:widowControl/>
              <w:suppressLineNumbers w:val="0"/>
              <w:jc w:val="center"/>
              <w:textAlignment w:val="bottom"/>
              <w:rPr>
                <w:rFonts w:hint="eastAsia" w:ascii="宋体" w:hAnsi="宋体" w:eastAsia="宋体" w:cs="宋体"/>
                <w:i w:val="0"/>
                <w:color w:val="000000"/>
                <w:kern w:val="2"/>
                <w:sz w:val="30"/>
                <w:szCs w:val="30"/>
                <w:u w:val="none"/>
                <w:lang w:val="en-US" w:eastAsia="zh-CN" w:bidi="ar-SA"/>
              </w:rPr>
            </w:pPr>
            <w:r>
              <w:rPr>
                <w:rFonts w:hint="eastAsia" w:ascii="宋体" w:hAnsi="宋体" w:eastAsia="宋体" w:cs="宋体"/>
                <w:i w:val="0"/>
                <w:color w:val="000000"/>
                <w:kern w:val="0"/>
                <w:sz w:val="30"/>
                <w:szCs w:val="30"/>
                <w:u w:val="none"/>
                <w:lang w:val="en-US" w:eastAsia="zh-CN" w:bidi="ar"/>
              </w:rPr>
              <w:t>乳腺钼靶</w:t>
            </w:r>
          </w:p>
        </w:tc>
        <w:tc>
          <w:tcPr>
            <w:tcW w:w="7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7C6C6E">
            <w:pPr>
              <w:keepNext w:val="0"/>
              <w:keepLines w:val="0"/>
              <w:widowControl/>
              <w:suppressLineNumbers w:val="0"/>
              <w:jc w:val="center"/>
              <w:textAlignment w:val="bottom"/>
              <w:rPr>
                <w:rFonts w:hint="eastAsia" w:ascii="宋体" w:hAnsi="宋体" w:eastAsia="宋体" w:cs="宋体"/>
                <w:i w:val="0"/>
                <w:color w:val="000000"/>
                <w:kern w:val="2"/>
                <w:sz w:val="30"/>
                <w:szCs w:val="30"/>
                <w:u w:val="none"/>
                <w:lang w:val="en-US" w:eastAsia="zh-CN" w:bidi="ar-SA"/>
              </w:rPr>
            </w:pPr>
            <w:r>
              <w:rPr>
                <w:rFonts w:hint="eastAsia" w:ascii="宋体" w:hAnsi="宋体" w:eastAsia="宋体" w:cs="宋体"/>
                <w:i w:val="0"/>
                <w:color w:val="000000"/>
                <w:kern w:val="2"/>
                <w:sz w:val="30"/>
                <w:szCs w:val="30"/>
                <w:u w:val="none"/>
                <w:lang w:val="en-US" w:eastAsia="zh-CN" w:bidi="ar-SA"/>
              </w:rPr>
              <w:t>1</w:t>
            </w:r>
          </w:p>
        </w:tc>
        <w:tc>
          <w:tcPr>
            <w:tcW w:w="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6C4460">
            <w:pPr>
              <w:keepNext w:val="0"/>
              <w:keepLines w:val="0"/>
              <w:widowControl/>
              <w:suppressLineNumbers w:val="0"/>
              <w:jc w:val="center"/>
              <w:textAlignment w:val="bottom"/>
              <w:rPr>
                <w:rFonts w:hint="eastAsia" w:ascii="宋体" w:hAnsi="宋体" w:eastAsia="宋体" w:cs="宋体"/>
                <w:i w:val="0"/>
                <w:color w:val="000000"/>
                <w:kern w:val="0"/>
                <w:sz w:val="30"/>
                <w:szCs w:val="30"/>
                <w:u w:val="none"/>
                <w:lang w:val="en-US" w:eastAsia="zh-CN" w:bidi="ar"/>
              </w:rPr>
            </w:pPr>
            <w:r>
              <w:rPr>
                <w:rFonts w:hint="eastAsia" w:ascii="宋体" w:hAnsi="宋体" w:eastAsia="宋体" w:cs="宋体"/>
                <w:i w:val="0"/>
                <w:color w:val="000000"/>
                <w:kern w:val="0"/>
                <w:sz w:val="30"/>
                <w:szCs w:val="30"/>
                <w:u w:val="none"/>
                <w:lang w:val="en-US" w:eastAsia="zh-CN" w:bidi="ar"/>
              </w:rPr>
              <w:t>台</w:t>
            </w:r>
          </w:p>
        </w:tc>
        <w:tc>
          <w:tcPr>
            <w:tcW w:w="3383"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6F19E6">
            <w:pPr>
              <w:keepNext w:val="0"/>
              <w:keepLines w:val="0"/>
              <w:widowControl/>
              <w:suppressLineNumbers w:val="0"/>
              <w:jc w:val="center"/>
              <w:textAlignment w:val="bottom"/>
              <w:rPr>
                <w:rFonts w:hint="eastAsia" w:ascii="宋体" w:hAnsi="宋体" w:eastAsia="宋体" w:cs="宋体"/>
                <w:i w:val="0"/>
                <w:color w:val="000000"/>
                <w:kern w:val="2"/>
                <w:sz w:val="30"/>
                <w:szCs w:val="30"/>
                <w:u w:val="none"/>
                <w:lang w:val="en-US" w:eastAsia="zh-CN" w:bidi="ar-SA"/>
              </w:rPr>
            </w:pPr>
          </w:p>
        </w:tc>
        <w:tc>
          <w:tcPr>
            <w:tcW w:w="1381"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14:paraId="394BA200">
            <w:pPr>
              <w:keepNext w:val="0"/>
              <w:keepLines w:val="0"/>
              <w:widowControl/>
              <w:suppressLineNumbers w:val="0"/>
              <w:jc w:val="center"/>
              <w:textAlignment w:val="bottom"/>
              <w:rPr>
                <w:rFonts w:hint="eastAsia" w:ascii="宋体" w:hAnsi="宋体" w:eastAsia="宋体" w:cs="宋体"/>
                <w:i w:val="0"/>
                <w:color w:val="000000"/>
                <w:kern w:val="0"/>
                <w:sz w:val="30"/>
                <w:szCs w:val="30"/>
                <w:u w:val="none"/>
                <w:lang w:val="en-US" w:eastAsia="zh-CN" w:bidi="ar"/>
              </w:rPr>
            </w:pPr>
          </w:p>
        </w:tc>
        <w:tc>
          <w:tcPr>
            <w:tcW w:w="674" w:type="dxa"/>
            <w:tcBorders>
              <w:left w:val="single" w:color="000000" w:sz="4" w:space="0"/>
              <w:bottom w:val="single" w:color="000000" w:sz="4" w:space="0"/>
              <w:right w:val="single" w:color="000000" w:sz="4" w:space="0"/>
            </w:tcBorders>
            <w:noWrap/>
            <w:tcMar>
              <w:top w:w="15" w:type="dxa"/>
              <w:left w:w="15" w:type="dxa"/>
              <w:right w:w="15" w:type="dxa"/>
            </w:tcMar>
            <w:vAlign w:val="center"/>
          </w:tcPr>
          <w:p w14:paraId="66037CDD">
            <w:pPr>
              <w:keepNext w:val="0"/>
              <w:keepLines w:val="0"/>
              <w:widowControl/>
              <w:suppressLineNumbers w:val="0"/>
              <w:jc w:val="center"/>
              <w:textAlignment w:val="bottom"/>
              <w:rPr>
                <w:rFonts w:hint="eastAsia" w:ascii="宋体" w:hAnsi="宋体" w:eastAsia="宋体" w:cs="宋体"/>
                <w:i w:val="0"/>
                <w:color w:val="000000"/>
                <w:kern w:val="0"/>
                <w:sz w:val="30"/>
                <w:szCs w:val="30"/>
                <w:u w:val="none"/>
                <w:lang w:val="en-US" w:eastAsia="zh-CN" w:bidi="ar"/>
              </w:rPr>
            </w:pPr>
          </w:p>
        </w:tc>
      </w:tr>
    </w:tbl>
    <w:p w14:paraId="681D5E59">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455C2257">
      <w:pPr>
        <w:spacing w:line="360" w:lineRule="auto"/>
        <w:ind w:firstLine="600" w:firstLineChars="200"/>
        <w:rPr>
          <w:rFonts w:hint="eastAsia"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2、服务时间：双方签订合同时具体约定。</w:t>
      </w:r>
    </w:p>
    <w:p w14:paraId="015AD78F">
      <w:pPr>
        <w:spacing w:line="360" w:lineRule="auto"/>
        <w:ind w:firstLine="600" w:firstLineChars="200"/>
        <w:rPr>
          <w:rFonts w:hint="eastAsia"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3、服务地点：娄底市中心医院。</w:t>
      </w:r>
    </w:p>
    <w:p w14:paraId="434A8AA3">
      <w:pPr>
        <w:spacing w:line="360" w:lineRule="auto"/>
        <w:ind w:firstLine="602" w:firstLineChars="200"/>
        <w:rPr>
          <w:rFonts w:hint="eastAsia" w:asciiTheme="minorEastAsia" w:hAnsiTheme="minorEastAsia" w:eastAsiaTheme="minorEastAsia" w:cstheme="minorEastAsia"/>
          <w:b/>
          <w:bCs w:val="0"/>
          <w:color w:val="auto"/>
          <w:kern w:val="0"/>
          <w:sz w:val="30"/>
          <w:szCs w:val="30"/>
          <w:lang w:val="en-US" w:eastAsia="zh-CN" w:bidi="ar-SA"/>
        </w:rPr>
      </w:pPr>
      <w:r>
        <w:rPr>
          <w:rFonts w:hint="eastAsia" w:asciiTheme="minorEastAsia" w:hAnsiTheme="minorEastAsia" w:eastAsiaTheme="minorEastAsia" w:cstheme="minorEastAsia"/>
          <w:b/>
          <w:bCs w:val="0"/>
          <w:color w:val="auto"/>
          <w:kern w:val="0"/>
          <w:sz w:val="30"/>
          <w:szCs w:val="30"/>
          <w:lang w:val="en-US" w:eastAsia="zh-CN" w:bidi="ar-SA"/>
        </w:rPr>
        <w:t>二、项目内容及要求</w:t>
      </w:r>
      <w:r>
        <w:rPr>
          <w:rFonts w:hint="eastAsia" w:asciiTheme="minorEastAsia" w:hAnsiTheme="minorEastAsia" w:eastAsiaTheme="minorEastAsia" w:cstheme="minorEastAsia"/>
          <w:b/>
          <w:bCs w:val="0"/>
          <w:color w:val="FF0000"/>
          <w:kern w:val="0"/>
          <w:sz w:val="30"/>
          <w:szCs w:val="30"/>
          <w:lang w:val="en-US" w:eastAsia="zh-CN" w:bidi="ar-SA"/>
        </w:rPr>
        <w:t>（此项内容需全部响应，否则视为无效投标）</w:t>
      </w:r>
    </w:p>
    <w:p w14:paraId="4159545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rightChars="0" w:firstLine="602" w:firstLineChars="200"/>
        <w:textAlignment w:val="auto"/>
        <w:outlineLvl w:val="3"/>
        <w:rPr>
          <w:rFonts w:hint="eastAsia" w:ascii="宋体" w:hAnsi="宋体" w:eastAsia="宋体" w:cs="宋体"/>
          <w:color w:val="000000"/>
          <w:sz w:val="30"/>
          <w:szCs w:val="30"/>
        </w:rPr>
      </w:pPr>
      <w:r>
        <w:rPr>
          <w:rFonts w:hint="eastAsia" w:asciiTheme="minorEastAsia" w:hAnsiTheme="minorEastAsia" w:eastAsiaTheme="minorEastAsia" w:cstheme="minorEastAsia"/>
          <w:b/>
          <w:bCs w:val="0"/>
          <w:color w:val="auto"/>
          <w:kern w:val="0"/>
          <w:sz w:val="30"/>
          <w:szCs w:val="30"/>
          <w:lang w:val="en-US" w:eastAsia="zh-CN" w:bidi="ar-SA"/>
        </w:rPr>
        <w:t>(一)</w:t>
      </w:r>
      <w:r>
        <w:rPr>
          <w:rFonts w:hint="eastAsia" w:ascii="宋体" w:hAnsi="宋体" w:eastAsia="宋体" w:cs="宋体"/>
          <w:b/>
          <w:bCs/>
          <w:color w:val="000000"/>
          <w:sz w:val="30"/>
          <w:szCs w:val="30"/>
        </w:rPr>
        <w:t>服务要求：</w:t>
      </w:r>
    </w:p>
    <w:p w14:paraId="24C3C45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301" w:firstLineChars="100"/>
        <w:textAlignment w:val="auto"/>
        <w:outlineLvl w:val="3"/>
        <w:rPr>
          <w:rFonts w:hint="eastAsia" w:ascii="宋体" w:hAnsi="宋体" w:eastAsia="宋体" w:cs="宋体"/>
          <w:color w:val="000000"/>
          <w:sz w:val="30"/>
          <w:szCs w:val="30"/>
        </w:rPr>
      </w:pPr>
      <w:r>
        <w:rPr>
          <w:rFonts w:hint="eastAsia" w:ascii="宋体" w:hAnsi="宋体" w:eastAsia="宋体" w:cs="宋体"/>
          <w:color w:val="000000"/>
          <w:sz w:val="30"/>
          <w:szCs w:val="30"/>
          <w:lang w:val="en-US" w:eastAsia="zh-CN"/>
        </w:rPr>
        <w:t>1、</w:t>
      </w:r>
      <w:r>
        <w:rPr>
          <w:rFonts w:hint="eastAsia" w:ascii="宋体" w:hAnsi="宋体" w:eastAsia="宋体" w:cs="宋体"/>
          <w:color w:val="000000"/>
          <w:sz w:val="30"/>
          <w:szCs w:val="30"/>
        </w:rPr>
        <w:t>预评价、控制效果评价及放射诊疗许可证办理</w:t>
      </w:r>
    </w:p>
    <w:p w14:paraId="4DB684A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40" w:lineRule="exact"/>
        <w:ind w:left="-360" w:leftChars="0" w:right="0" w:rightChars="0"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满足GB18871-2002及《职业病防治法》、《放射诊疗管理规定》等有关标准要求。编制职业病危害放射防护预评价报告，组织专家评审会并取得预评批复，设备安装完成后通过职业病危害放射防护控制效果评价，组织专家评审并取得控评批复</w:t>
      </w:r>
      <w:r>
        <w:rPr>
          <w:rFonts w:hint="eastAsia" w:ascii="宋体" w:hAnsi="宋体" w:eastAsia="宋体" w:cs="宋体"/>
          <w:color w:val="000000"/>
          <w:sz w:val="30"/>
          <w:szCs w:val="30"/>
          <w:lang w:eastAsia="zh-CN"/>
        </w:rPr>
        <w:t>，</w:t>
      </w:r>
      <w:r>
        <w:rPr>
          <w:rFonts w:hint="eastAsia" w:ascii="宋体" w:hAnsi="宋体" w:eastAsia="宋体" w:cs="宋体"/>
          <w:color w:val="000000"/>
          <w:sz w:val="30"/>
          <w:szCs w:val="30"/>
        </w:rPr>
        <w:t>取得</w:t>
      </w:r>
      <w:r>
        <w:rPr>
          <w:rFonts w:hint="eastAsia" w:ascii="宋体" w:hAnsi="宋体" w:eastAsia="宋体" w:cs="宋体"/>
          <w:color w:val="000000"/>
          <w:sz w:val="30"/>
          <w:szCs w:val="30"/>
          <w:lang w:val="en-US" w:eastAsia="zh-CN"/>
        </w:rPr>
        <w:t>行政主管部门合格批复</w:t>
      </w:r>
      <w:r>
        <w:rPr>
          <w:rFonts w:hint="eastAsia" w:ascii="宋体" w:hAnsi="宋体" w:eastAsia="宋体" w:cs="宋体"/>
          <w:color w:val="000000"/>
          <w:sz w:val="30"/>
          <w:szCs w:val="30"/>
        </w:rPr>
        <w:t>文件</w:t>
      </w:r>
      <w:r>
        <w:rPr>
          <w:rFonts w:hint="eastAsia" w:ascii="宋体" w:hAnsi="宋体" w:eastAsia="宋体" w:cs="宋体"/>
          <w:color w:val="000000"/>
          <w:sz w:val="30"/>
          <w:szCs w:val="30"/>
          <w:lang w:val="en-US" w:eastAsia="zh-CN"/>
        </w:rPr>
        <w:t>及完成</w:t>
      </w:r>
      <w:r>
        <w:rPr>
          <w:rFonts w:hint="eastAsia" w:ascii="宋体" w:hAnsi="宋体" w:eastAsia="宋体" w:cs="宋体"/>
          <w:color w:val="000000"/>
          <w:sz w:val="30"/>
          <w:szCs w:val="30"/>
        </w:rPr>
        <w:t>《放射诊疗许可证》</w:t>
      </w:r>
      <w:r>
        <w:rPr>
          <w:rFonts w:hint="eastAsia" w:ascii="宋体" w:hAnsi="宋体" w:eastAsia="宋体" w:cs="宋体"/>
          <w:color w:val="000000"/>
          <w:sz w:val="30"/>
          <w:szCs w:val="30"/>
          <w:lang w:val="en-US" w:eastAsia="zh-CN"/>
        </w:rPr>
        <w:t>的增项</w:t>
      </w:r>
      <w:r>
        <w:rPr>
          <w:rFonts w:hint="eastAsia" w:ascii="宋体" w:hAnsi="宋体" w:eastAsia="宋体" w:cs="宋体"/>
          <w:color w:val="000000"/>
          <w:sz w:val="30"/>
          <w:szCs w:val="30"/>
        </w:rPr>
        <w:t>。</w:t>
      </w:r>
    </w:p>
    <w:p w14:paraId="72BA718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301" w:firstLineChars="100"/>
        <w:textAlignment w:val="auto"/>
        <w:outlineLvl w:val="3"/>
        <w:rPr>
          <w:rFonts w:hint="eastAsia" w:ascii="宋体" w:hAnsi="宋体" w:eastAsia="宋体" w:cs="宋体"/>
          <w:color w:val="000000"/>
          <w:sz w:val="30"/>
          <w:szCs w:val="30"/>
        </w:rPr>
      </w:pPr>
      <w:r>
        <w:rPr>
          <w:rFonts w:hint="eastAsia" w:ascii="宋体" w:hAnsi="宋体" w:eastAsia="宋体" w:cs="宋体"/>
          <w:color w:val="000000"/>
          <w:sz w:val="30"/>
          <w:szCs w:val="30"/>
          <w:lang w:val="en-US" w:eastAsia="zh-CN"/>
        </w:rPr>
        <w:t>2、</w:t>
      </w:r>
      <w:r>
        <w:rPr>
          <w:rFonts w:hint="eastAsia" w:ascii="宋体" w:hAnsi="宋体" w:eastAsia="宋体" w:cs="宋体"/>
          <w:color w:val="000000"/>
          <w:sz w:val="30"/>
          <w:szCs w:val="30"/>
        </w:rPr>
        <w:t>环境影响评价、环保竣工验收及辐射安全许可证办理</w:t>
      </w:r>
    </w:p>
    <w:p w14:paraId="16F67A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360" w:leftChars="0" w:right="0" w:rightChars="0" w:firstLine="600" w:firstLineChars="200"/>
        <w:jc w:val="left"/>
        <w:textAlignment w:val="auto"/>
        <w:rPr>
          <w:rFonts w:hint="eastAsia" w:ascii="宋体" w:hAnsi="宋体" w:eastAsia="宋体" w:cs="宋体"/>
          <w:b/>
          <w:bCs w:val="0"/>
          <w:color w:val="auto"/>
          <w:kern w:val="0"/>
          <w:sz w:val="30"/>
          <w:szCs w:val="30"/>
          <w:lang w:val="en-US" w:eastAsia="zh-CN" w:bidi="ar-SA"/>
        </w:rPr>
      </w:pPr>
      <w:r>
        <w:rPr>
          <w:rFonts w:hint="eastAsia" w:ascii="宋体" w:hAnsi="宋体" w:eastAsia="宋体" w:cs="宋体"/>
          <w:color w:val="000000"/>
          <w:sz w:val="30"/>
          <w:szCs w:val="30"/>
        </w:rPr>
        <w:t>满足国家环境影响评价相关法律法规《中华人民共和国环境影响评价法》、《中华人民共和国放射性污染防治法》、《放射性同位素与射线装置安全和防护条例》等要求以及湖南省生态环境厅核技术利用有关技术规范要求。编制环境影响评价报告，确保通过技术评审会并取得湖南省生态环境厅对该项目的批复，设备安装完成后须通过项目竣工环保验收等全过程技术服务</w:t>
      </w:r>
      <w:r>
        <w:rPr>
          <w:rFonts w:hint="eastAsia" w:ascii="宋体" w:hAnsi="宋体" w:eastAsia="宋体" w:cs="宋体"/>
          <w:color w:val="000000"/>
          <w:sz w:val="30"/>
          <w:szCs w:val="30"/>
          <w:lang w:eastAsia="zh-CN"/>
        </w:rPr>
        <w:t>，</w:t>
      </w:r>
      <w:r>
        <w:rPr>
          <w:rFonts w:hint="eastAsia" w:ascii="宋体" w:hAnsi="宋体" w:eastAsia="宋体" w:cs="宋体"/>
          <w:color w:val="000000"/>
          <w:sz w:val="30"/>
          <w:szCs w:val="30"/>
        </w:rPr>
        <w:t>取得</w:t>
      </w:r>
      <w:r>
        <w:rPr>
          <w:rFonts w:hint="eastAsia" w:ascii="宋体" w:hAnsi="宋体" w:eastAsia="宋体" w:cs="宋体"/>
          <w:color w:val="000000"/>
          <w:sz w:val="30"/>
          <w:szCs w:val="30"/>
          <w:lang w:val="en-US" w:eastAsia="zh-CN"/>
        </w:rPr>
        <w:t>行政主管部门合格批复</w:t>
      </w:r>
      <w:r>
        <w:rPr>
          <w:rFonts w:hint="eastAsia" w:ascii="宋体" w:hAnsi="宋体" w:eastAsia="宋体" w:cs="宋体"/>
          <w:color w:val="000000"/>
          <w:sz w:val="30"/>
          <w:szCs w:val="30"/>
        </w:rPr>
        <w:t>文件</w:t>
      </w:r>
      <w:r>
        <w:rPr>
          <w:rFonts w:hint="eastAsia" w:ascii="宋体" w:hAnsi="宋体" w:eastAsia="宋体" w:cs="宋体"/>
          <w:color w:val="000000"/>
          <w:sz w:val="30"/>
          <w:szCs w:val="30"/>
          <w:lang w:val="en-US" w:eastAsia="zh-CN"/>
        </w:rPr>
        <w:t>及完成</w:t>
      </w:r>
      <w:r>
        <w:rPr>
          <w:rFonts w:hint="eastAsia" w:ascii="宋体" w:hAnsi="宋体" w:eastAsia="宋体" w:cs="宋体"/>
          <w:color w:val="000000"/>
          <w:sz w:val="30"/>
          <w:szCs w:val="30"/>
        </w:rPr>
        <w:t>《</w:t>
      </w:r>
      <w:r>
        <w:rPr>
          <w:rFonts w:hint="eastAsia" w:ascii="宋体" w:hAnsi="宋体" w:eastAsia="宋体" w:cs="宋体"/>
          <w:color w:val="000000"/>
          <w:sz w:val="30"/>
          <w:szCs w:val="30"/>
          <w:lang w:val="en-US" w:eastAsia="zh-CN"/>
        </w:rPr>
        <w:t>辐射安全</w:t>
      </w:r>
      <w:r>
        <w:rPr>
          <w:rFonts w:hint="eastAsia" w:ascii="宋体" w:hAnsi="宋体" w:eastAsia="宋体" w:cs="宋体"/>
          <w:color w:val="000000"/>
          <w:sz w:val="30"/>
          <w:szCs w:val="30"/>
        </w:rPr>
        <w:t>许可证》</w:t>
      </w:r>
      <w:r>
        <w:rPr>
          <w:rFonts w:hint="eastAsia" w:ascii="宋体" w:hAnsi="宋体" w:eastAsia="宋体" w:cs="宋体"/>
          <w:color w:val="000000"/>
          <w:sz w:val="30"/>
          <w:szCs w:val="30"/>
          <w:lang w:val="en-US" w:eastAsia="zh-CN"/>
        </w:rPr>
        <w:t>的增项</w:t>
      </w:r>
      <w:r>
        <w:rPr>
          <w:rFonts w:hint="eastAsia" w:ascii="宋体" w:hAnsi="宋体" w:eastAsia="宋体" w:cs="宋体"/>
          <w:color w:val="000000"/>
          <w:sz w:val="30"/>
          <w:szCs w:val="30"/>
        </w:rPr>
        <w:t>。</w:t>
      </w:r>
    </w:p>
    <w:p w14:paraId="47D6F68F">
      <w:pPr>
        <w:pStyle w:val="3"/>
        <w:keepNext/>
        <w:keepLines/>
        <w:pageBreakBefore w:val="0"/>
        <w:widowControl w:val="0"/>
        <w:numPr>
          <w:ilvl w:val="0"/>
          <w:numId w:val="0"/>
        </w:numPr>
        <w:kinsoku/>
        <w:wordWrap/>
        <w:overflowPunct/>
        <w:topLinePunct w:val="0"/>
        <w:autoSpaceDE/>
        <w:autoSpaceDN/>
        <w:bidi w:val="0"/>
        <w:adjustRightInd w:val="0"/>
        <w:snapToGrid/>
        <w:spacing w:before="0" w:after="0" w:line="540" w:lineRule="exact"/>
        <w:ind w:firstLine="602" w:firstLineChars="200"/>
        <w:textAlignment w:val="baseline"/>
        <w:rPr>
          <w:rFonts w:hint="eastAsia" w:ascii="宋体" w:hAnsi="宋体" w:eastAsia="宋体" w:cs="宋体"/>
          <w:b/>
          <w:bCs w:val="0"/>
          <w:color w:val="auto"/>
          <w:kern w:val="0"/>
          <w:sz w:val="30"/>
          <w:szCs w:val="30"/>
          <w:lang w:val="en-US" w:eastAsia="zh-CN" w:bidi="ar-SA"/>
        </w:rPr>
      </w:pPr>
      <w:r>
        <w:rPr>
          <w:rFonts w:hint="eastAsia" w:ascii="宋体" w:hAnsi="宋体" w:eastAsia="宋体" w:cs="宋体"/>
          <w:b/>
          <w:bCs w:val="0"/>
          <w:color w:val="auto"/>
          <w:kern w:val="0"/>
          <w:sz w:val="30"/>
          <w:szCs w:val="30"/>
          <w:lang w:val="en-US" w:eastAsia="zh-CN" w:bidi="ar-SA"/>
        </w:rPr>
        <w:t>（二）其他要求：</w:t>
      </w:r>
    </w:p>
    <w:p w14:paraId="38B9AFA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02" w:firstLineChars="200"/>
        <w:jc w:val="both"/>
        <w:textAlignment w:val="auto"/>
        <w:rPr>
          <w:rFonts w:hint="eastAsia" w:ascii="宋体" w:hAnsi="宋体" w:eastAsia="宋体" w:cs="宋体"/>
          <w:b w:val="0"/>
          <w:bCs w:val="0"/>
          <w:color w:val="000000"/>
          <w:kern w:val="0"/>
          <w:sz w:val="30"/>
          <w:szCs w:val="30"/>
          <w:lang w:val="en-US" w:eastAsia="zh-CN" w:bidi="ar"/>
        </w:rPr>
      </w:pPr>
      <w:r>
        <w:rPr>
          <w:rFonts w:hint="eastAsia" w:ascii="宋体" w:hAnsi="宋体" w:cs="宋体"/>
          <w:b/>
          <w:bCs/>
          <w:color w:val="000000"/>
          <w:kern w:val="0"/>
          <w:sz w:val="30"/>
          <w:szCs w:val="30"/>
          <w:lang w:val="en-US" w:eastAsia="zh-CN" w:bidi="ar"/>
        </w:rPr>
        <w:t>1、</w:t>
      </w:r>
      <w:r>
        <w:rPr>
          <w:rFonts w:hint="eastAsia" w:ascii="宋体" w:hAnsi="宋体" w:eastAsia="宋体" w:cs="宋体"/>
          <w:b/>
          <w:bCs/>
          <w:color w:val="000000"/>
          <w:kern w:val="0"/>
          <w:sz w:val="30"/>
          <w:szCs w:val="30"/>
          <w:lang w:val="en-US" w:eastAsia="zh-CN" w:bidi="ar"/>
        </w:rPr>
        <w:t>报价包含：</w:t>
      </w:r>
      <w:r>
        <w:rPr>
          <w:rFonts w:hint="eastAsia" w:ascii="宋体" w:hAnsi="宋体" w:eastAsia="宋体" w:cs="宋体"/>
          <w:b w:val="0"/>
          <w:bCs w:val="0"/>
          <w:color w:val="000000"/>
          <w:kern w:val="0"/>
          <w:sz w:val="30"/>
          <w:szCs w:val="30"/>
          <w:lang w:val="en-US" w:eastAsia="zh-CN" w:bidi="ar"/>
        </w:rPr>
        <w:t>现场勘查、检测、报告编制、专家评审费、会务费、备案上报费、交通费、税费、管理费、保险费、耗材费等</w:t>
      </w:r>
      <w:r>
        <w:rPr>
          <w:rStyle w:val="17"/>
          <w:rFonts w:hint="eastAsia" w:ascii="宋体" w:hAnsi="宋体" w:eastAsia="宋体" w:cs="宋体"/>
          <w:b w:val="0"/>
          <w:bCs w:val="0"/>
          <w:color w:val="000000"/>
          <w:kern w:val="0"/>
          <w:sz w:val="30"/>
          <w:szCs w:val="30"/>
          <w:lang w:val="en-US" w:eastAsia="zh-CN" w:bidi="ar"/>
        </w:rPr>
        <w:t>全部费用</w:t>
      </w:r>
      <w:r>
        <w:rPr>
          <w:rFonts w:hint="eastAsia" w:ascii="宋体" w:hAnsi="宋体" w:eastAsia="宋体" w:cs="宋体"/>
          <w:b w:val="0"/>
          <w:bCs w:val="0"/>
          <w:color w:val="000000"/>
          <w:kern w:val="0"/>
          <w:sz w:val="30"/>
          <w:szCs w:val="30"/>
          <w:lang w:val="en-US" w:eastAsia="zh-CN" w:bidi="ar"/>
        </w:rPr>
        <w:t>，为固定总价包干，采购人不另行支付任何其他费用。</w:t>
      </w:r>
    </w:p>
    <w:p w14:paraId="34F18DC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02" w:firstLineChars="200"/>
        <w:jc w:val="both"/>
        <w:textAlignment w:val="auto"/>
        <w:rPr>
          <w:rFonts w:hint="eastAsia" w:ascii="宋体" w:hAnsi="宋体" w:eastAsia="宋体" w:cs="宋体"/>
          <w:b w:val="0"/>
          <w:bCs w:val="0"/>
          <w:color w:val="000000"/>
          <w:kern w:val="0"/>
          <w:sz w:val="30"/>
          <w:szCs w:val="30"/>
          <w:lang w:val="en-US" w:eastAsia="zh-CN" w:bidi="ar"/>
        </w:rPr>
      </w:pPr>
      <w:r>
        <w:rPr>
          <w:rFonts w:hint="eastAsia" w:ascii="宋体" w:hAnsi="宋体" w:eastAsia="宋体" w:cs="宋体"/>
          <w:b/>
          <w:bCs/>
          <w:sz w:val="30"/>
          <w:szCs w:val="30"/>
          <w:lang w:val="en-US" w:eastAsia="zh-CN"/>
        </w:rPr>
        <w:t>2、</w:t>
      </w:r>
      <w:r>
        <w:rPr>
          <w:rFonts w:hint="eastAsia" w:ascii="宋体" w:hAnsi="宋体" w:eastAsia="宋体" w:cs="宋体"/>
          <w:b/>
          <w:bCs/>
          <w:sz w:val="30"/>
          <w:szCs w:val="30"/>
        </w:rPr>
        <w:t>服务要求：</w:t>
      </w:r>
      <w:r>
        <w:rPr>
          <w:rFonts w:hint="eastAsia" w:ascii="宋体" w:hAnsi="宋体" w:eastAsia="宋体" w:cs="宋体"/>
          <w:b w:val="0"/>
          <w:bCs w:val="0"/>
          <w:color w:val="000000"/>
          <w:sz w:val="30"/>
          <w:szCs w:val="30"/>
          <w:u w:val="none"/>
          <w:lang w:val="en-US" w:eastAsia="zh-CN"/>
        </w:rPr>
        <w:t>甲方设备到医院后，接到甲方通知，</w:t>
      </w:r>
      <w:r>
        <w:rPr>
          <w:rFonts w:hint="eastAsia" w:ascii="宋体" w:hAnsi="宋体" w:eastAsia="宋体" w:cs="宋体"/>
          <w:b w:val="0"/>
          <w:bCs w:val="0"/>
          <w:sz w:val="30"/>
          <w:szCs w:val="30"/>
          <w:u w:val="none"/>
        </w:rPr>
        <w:t xml:space="preserve"> </w:t>
      </w:r>
      <w:r>
        <w:rPr>
          <w:rFonts w:hint="eastAsia" w:ascii="宋体" w:hAnsi="宋体" w:eastAsia="宋体" w:cs="宋体"/>
          <w:b w:val="0"/>
          <w:bCs w:val="0"/>
          <w:color w:val="000000"/>
          <w:sz w:val="30"/>
          <w:szCs w:val="30"/>
          <w:u w:val="none"/>
        </w:rPr>
        <w:t>乙方按国家有关法律法规</w:t>
      </w:r>
      <w:r>
        <w:rPr>
          <w:rFonts w:hint="eastAsia" w:ascii="宋体" w:hAnsi="宋体" w:eastAsia="宋体" w:cs="宋体"/>
          <w:b w:val="0"/>
          <w:bCs w:val="0"/>
          <w:color w:val="000000"/>
          <w:sz w:val="30"/>
          <w:szCs w:val="30"/>
          <w:u w:val="none"/>
          <w:lang w:val="en-US" w:eastAsia="zh-CN"/>
        </w:rPr>
        <w:t>规定的</w:t>
      </w:r>
      <w:r>
        <w:rPr>
          <w:rFonts w:hint="eastAsia" w:ascii="宋体" w:hAnsi="宋体" w:eastAsia="宋体" w:cs="宋体"/>
          <w:b w:val="0"/>
          <w:bCs w:val="0"/>
          <w:color w:val="000000"/>
          <w:sz w:val="30"/>
          <w:szCs w:val="30"/>
          <w:u w:val="none"/>
        </w:rPr>
        <w:t>放射防护监测标准开展</w:t>
      </w:r>
      <w:r>
        <w:rPr>
          <w:rFonts w:hint="eastAsia" w:ascii="宋体" w:hAnsi="宋体" w:eastAsia="宋体" w:cs="宋体"/>
          <w:b w:val="0"/>
          <w:bCs w:val="0"/>
          <w:color w:val="000000"/>
          <w:sz w:val="30"/>
          <w:szCs w:val="30"/>
          <w:u w:val="none"/>
          <w:lang w:val="en-US" w:eastAsia="zh-CN"/>
        </w:rPr>
        <w:t>工</w:t>
      </w:r>
      <w:r>
        <w:rPr>
          <w:rFonts w:hint="eastAsia" w:ascii="宋体" w:hAnsi="宋体" w:eastAsia="宋体" w:cs="宋体"/>
          <w:b w:val="0"/>
          <w:bCs w:val="0"/>
          <w:color w:val="000000"/>
          <w:sz w:val="30"/>
          <w:szCs w:val="30"/>
          <w:u w:val="none"/>
        </w:rPr>
        <w:t>作</w:t>
      </w:r>
      <w:r>
        <w:rPr>
          <w:rFonts w:hint="eastAsia" w:ascii="宋体" w:hAnsi="宋体" w:eastAsia="宋体" w:cs="宋体"/>
          <w:b w:val="0"/>
          <w:bCs w:val="0"/>
          <w:color w:val="000000"/>
          <w:sz w:val="30"/>
          <w:szCs w:val="30"/>
          <w:u w:val="none"/>
          <w:lang w:eastAsia="zh-CN"/>
        </w:rPr>
        <w:t>，</w:t>
      </w:r>
      <w:r>
        <w:rPr>
          <w:rFonts w:hint="eastAsia" w:ascii="宋体" w:hAnsi="宋体" w:eastAsia="宋体" w:cs="宋体"/>
          <w:b w:val="0"/>
          <w:bCs w:val="0"/>
          <w:color w:val="000000"/>
          <w:sz w:val="30"/>
          <w:szCs w:val="30"/>
          <w:u w:val="none"/>
          <w:lang w:val="en-US" w:eastAsia="zh-CN"/>
        </w:rPr>
        <w:t>在40日内完成该批次设备的服务内容。</w:t>
      </w:r>
    </w:p>
    <w:p w14:paraId="47B43C5F">
      <w:pPr>
        <w:keepNext w:val="0"/>
        <w:keepLines w:val="0"/>
        <w:pageBreakBefore w:val="0"/>
        <w:widowControl/>
        <w:suppressLineNumbers w:val="0"/>
        <w:kinsoku/>
        <w:wordWrap/>
        <w:overflowPunct/>
        <w:topLinePunct w:val="0"/>
        <w:autoSpaceDE/>
        <w:autoSpaceDN/>
        <w:bidi w:val="0"/>
        <w:snapToGrid/>
        <w:spacing w:line="540" w:lineRule="exact"/>
        <w:ind w:firstLine="602" w:firstLineChars="200"/>
        <w:jc w:val="left"/>
        <w:textAlignment w:val="bottom"/>
        <w:rPr>
          <w:rFonts w:hint="eastAsia" w:ascii="宋体" w:hAnsi="宋体" w:eastAsia="宋体" w:cs="宋体"/>
          <w:b w:val="0"/>
          <w:bCs w:val="0"/>
          <w:color w:val="000000"/>
          <w:kern w:val="0"/>
          <w:sz w:val="30"/>
          <w:szCs w:val="30"/>
          <w:lang w:val="en-US" w:eastAsia="zh-CN" w:bidi="ar"/>
        </w:rPr>
      </w:pPr>
      <w:r>
        <w:rPr>
          <w:rFonts w:hint="eastAsia" w:ascii="宋体" w:hAnsi="宋体" w:cs="宋体"/>
          <w:b/>
          <w:bCs/>
          <w:color w:val="auto"/>
          <w:sz w:val="30"/>
          <w:szCs w:val="30"/>
          <w:lang w:val="en-US" w:eastAsia="zh-CN"/>
        </w:rPr>
        <w:t>3、合同</w:t>
      </w:r>
      <w:r>
        <w:rPr>
          <w:rFonts w:hint="eastAsia" w:ascii="宋体" w:hAnsi="宋体" w:eastAsia="宋体" w:cs="宋体"/>
          <w:b/>
          <w:bCs/>
          <w:color w:val="auto"/>
          <w:sz w:val="30"/>
          <w:szCs w:val="30"/>
          <w:lang w:val="en-US" w:eastAsia="zh-CN"/>
        </w:rPr>
        <w:t>期限：</w:t>
      </w:r>
      <w:r>
        <w:rPr>
          <w:rStyle w:val="17"/>
          <w:rFonts w:hint="eastAsia" w:ascii="宋体" w:hAnsi="宋体" w:eastAsia="宋体" w:cs="宋体"/>
          <w:b w:val="0"/>
          <w:bCs w:val="0"/>
          <w:color w:val="000000"/>
          <w:kern w:val="0"/>
          <w:sz w:val="30"/>
          <w:szCs w:val="30"/>
          <w:lang w:val="en-US" w:eastAsia="zh-CN" w:bidi="ar"/>
        </w:rPr>
        <w:t>自合同签订之日起，</w:t>
      </w:r>
      <w:r>
        <w:rPr>
          <w:rStyle w:val="17"/>
          <w:rFonts w:hint="eastAsia" w:ascii="宋体" w:hAnsi="宋体" w:cs="宋体"/>
          <w:b w:val="0"/>
          <w:bCs w:val="0"/>
          <w:color w:val="000000"/>
          <w:kern w:val="0"/>
          <w:sz w:val="30"/>
          <w:szCs w:val="30"/>
          <w:lang w:val="en-US" w:eastAsia="zh-CN" w:bidi="ar"/>
        </w:rPr>
        <w:t>4台套设备的</w:t>
      </w:r>
      <w:r>
        <w:rPr>
          <w:rFonts w:hint="eastAsia" w:ascii="宋体" w:hAnsi="宋体" w:eastAsia="宋体" w:cs="宋体"/>
          <w:i w:val="0"/>
          <w:color w:val="000000"/>
          <w:sz w:val="30"/>
          <w:szCs w:val="30"/>
          <w:u w:val="none"/>
          <w:lang w:val="en-US" w:eastAsia="zh-CN"/>
        </w:rPr>
        <w:t>预评价、控制效果评价及放射诊疗许可证办理</w:t>
      </w:r>
      <w:r>
        <w:rPr>
          <w:rFonts w:hint="eastAsia" w:ascii="宋体" w:hAnsi="宋体" w:cs="宋体"/>
          <w:i w:val="0"/>
          <w:color w:val="000000"/>
          <w:sz w:val="30"/>
          <w:szCs w:val="30"/>
          <w:u w:val="none"/>
          <w:lang w:val="en-US" w:eastAsia="zh-CN"/>
        </w:rPr>
        <w:t>及</w:t>
      </w:r>
      <w:r>
        <w:rPr>
          <w:rFonts w:hint="eastAsia" w:ascii="宋体" w:hAnsi="宋体" w:eastAsia="宋体" w:cs="宋体"/>
          <w:i w:val="0"/>
          <w:color w:val="000000"/>
          <w:sz w:val="30"/>
          <w:szCs w:val="30"/>
          <w:u w:val="none"/>
          <w:lang w:val="en-US" w:eastAsia="zh-CN"/>
        </w:rPr>
        <w:t>环境影响评价、环保竣工验收及辐射安全许可证办理</w:t>
      </w:r>
      <w:r>
        <w:rPr>
          <w:rFonts w:hint="eastAsia" w:ascii="宋体" w:hAnsi="宋体" w:cs="宋体"/>
          <w:i w:val="0"/>
          <w:color w:val="000000"/>
          <w:sz w:val="30"/>
          <w:szCs w:val="30"/>
          <w:u w:val="none"/>
          <w:lang w:val="en-US" w:eastAsia="zh-CN"/>
        </w:rPr>
        <w:t>，</w:t>
      </w:r>
      <w:r>
        <w:rPr>
          <w:rStyle w:val="17"/>
          <w:rFonts w:hint="eastAsia" w:ascii="宋体" w:hAnsi="宋体" w:eastAsia="宋体" w:cs="宋体"/>
          <w:b w:val="0"/>
          <w:bCs w:val="0"/>
          <w:color w:val="000000"/>
          <w:kern w:val="0"/>
          <w:sz w:val="30"/>
          <w:szCs w:val="30"/>
          <w:lang w:val="en-US" w:eastAsia="zh-CN" w:bidi="ar"/>
        </w:rPr>
        <w:t>两项许可证取得并交付采购人为止。</w:t>
      </w:r>
    </w:p>
    <w:p w14:paraId="5559BA7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02" w:firstLineChars="200"/>
        <w:jc w:val="both"/>
        <w:textAlignment w:val="auto"/>
        <w:rPr>
          <w:rFonts w:hint="eastAsia" w:asciiTheme="minorEastAsia" w:hAnsiTheme="minorEastAsia" w:eastAsiaTheme="minorEastAsia" w:cstheme="minorEastAsia"/>
          <w:bCs/>
          <w:color w:val="auto"/>
          <w:kern w:val="0"/>
          <w:sz w:val="30"/>
          <w:szCs w:val="30"/>
          <w:highlight w:val="none"/>
          <w:lang w:val="en-US" w:eastAsia="zh-CN" w:bidi="ar-SA"/>
        </w:rPr>
      </w:pPr>
      <w:r>
        <w:rPr>
          <w:rStyle w:val="17"/>
          <w:rFonts w:hint="eastAsia" w:ascii="宋体" w:hAnsi="宋体" w:cs="宋体"/>
          <w:b/>
          <w:bCs/>
          <w:color w:val="000000"/>
          <w:kern w:val="0"/>
          <w:sz w:val="30"/>
          <w:szCs w:val="30"/>
          <w:lang w:val="en-US" w:eastAsia="zh-CN" w:bidi="ar"/>
        </w:rPr>
        <w:t>4</w:t>
      </w:r>
      <w:r>
        <w:rPr>
          <w:rStyle w:val="17"/>
          <w:rFonts w:hint="eastAsia" w:ascii="宋体" w:hAnsi="宋体" w:eastAsia="宋体" w:cs="宋体"/>
          <w:b/>
          <w:bCs/>
          <w:color w:val="000000"/>
          <w:kern w:val="0"/>
          <w:sz w:val="30"/>
          <w:szCs w:val="30"/>
          <w:lang w:val="en-US" w:eastAsia="zh-CN" w:bidi="ar"/>
        </w:rPr>
        <w:t>、付款方式：</w:t>
      </w:r>
      <w:r>
        <w:rPr>
          <w:rStyle w:val="17"/>
          <w:rFonts w:hint="eastAsia" w:ascii="宋体" w:hAnsi="宋体" w:eastAsia="宋体" w:cs="宋体"/>
          <w:b w:val="0"/>
          <w:bCs w:val="0"/>
          <w:color w:val="000000"/>
          <w:kern w:val="0"/>
          <w:sz w:val="30"/>
          <w:szCs w:val="30"/>
          <w:lang w:val="en-US" w:eastAsia="zh-CN" w:bidi="ar"/>
        </w:rPr>
        <w:t>取得行政主管部门合格批复文件及许可证后30个工作日内一次性支付。</w:t>
      </w:r>
    </w:p>
    <w:p w14:paraId="131AAD6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02" w:firstLineChars="200"/>
        <w:textAlignment w:val="auto"/>
        <w:rPr>
          <w:rFonts w:hint="eastAsia" w:asciiTheme="minorEastAsia" w:hAnsiTheme="minorEastAsia" w:eastAsiaTheme="minorEastAsia" w:cstheme="minorEastAsia"/>
          <w:b/>
          <w:bCs w:val="0"/>
          <w:color w:val="auto"/>
          <w:kern w:val="0"/>
          <w:sz w:val="30"/>
          <w:szCs w:val="30"/>
          <w:lang w:val="en-US" w:eastAsia="zh-CN" w:bidi="ar-SA"/>
        </w:rPr>
      </w:pPr>
      <w:r>
        <w:rPr>
          <w:rFonts w:hint="eastAsia" w:asciiTheme="minorEastAsia" w:hAnsiTheme="minorEastAsia" w:eastAsiaTheme="minorEastAsia" w:cstheme="minorEastAsia"/>
          <w:b/>
          <w:bCs w:val="0"/>
          <w:color w:val="auto"/>
          <w:kern w:val="0"/>
          <w:sz w:val="30"/>
          <w:szCs w:val="30"/>
          <w:lang w:val="en-US" w:eastAsia="zh-CN" w:bidi="ar-SA"/>
        </w:rPr>
        <w:t>三、标书要求</w:t>
      </w:r>
    </w:p>
    <w:p w14:paraId="21F7E370">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1、封面：需注明标的名称、投标文件、单位、时间；</w:t>
      </w:r>
    </w:p>
    <w:p w14:paraId="6591C29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02" w:firstLineChars="200"/>
        <w:textAlignment w:val="auto"/>
        <w:rPr>
          <w:rFonts w:hint="eastAsia" w:asciiTheme="minorEastAsia" w:hAnsiTheme="minorEastAsia" w:eastAsiaTheme="minorEastAsia" w:cstheme="minorEastAsia"/>
          <w:b/>
          <w:bCs w:val="0"/>
          <w:color w:val="auto"/>
          <w:kern w:val="0"/>
          <w:sz w:val="30"/>
          <w:szCs w:val="30"/>
          <w:lang w:val="en-US" w:eastAsia="zh-CN" w:bidi="ar-SA"/>
        </w:rPr>
      </w:pPr>
      <w:r>
        <w:rPr>
          <w:rFonts w:hint="eastAsia" w:asciiTheme="minorEastAsia" w:hAnsiTheme="minorEastAsia" w:eastAsiaTheme="minorEastAsia" w:cstheme="minorEastAsia"/>
          <w:b/>
          <w:bCs w:val="0"/>
          <w:color w:val="auto"/>
          <w:kern w:val="0"/>
          <w:sz w:val="30"/>
          <w:szCs w:val="30"/>
          <w:lang w:val="en-US" w:eastAsia="zh-CN" w:bidi="ar-SA"/>
        </w:rPr>
        <w:t>2、“三证合一”或“五证合一”营业执照，相应专业证件（按本项目的特定资格要求和法律规定提供证件）；</w:t>
      </w:r>
    </w:p>
    <w:p w14:paraId="4516B5E6">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3、投标人身份证复印件；</w:t>
      </w:r>
    </w:p>
    <w:p w14:paraId="21224165">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7C481510">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5、履行本项目所必需的资质证明；</w:t>
      </w:r>
    </w:p>
    <w:p w14:paraId="108B3B6D">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6、针对此项目的技术、服务方案；</w:t>
      </w:r>
    </w:p>
    <w:p w14:paraId="7134AE3C">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7、投标人认为需提供的其他和评审有关的资料；</w:t>
      </w:r>
    </w:p>
    <w:p w14:paraId="3427A1E2">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8、投标文件的每一页都必须加盖投标单位的公章；</w:t>
      </w:r>
    </w:p>
    <w:p w14:paraId="105304A4">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Theme="minorEastAsia" w:hAnsiTheme="minorEastAsia" w:eastAsiaTheme="minorEastAsia" w:cstheme="minorEastAsia"/>
          <w:bCs/>
          <w:color w:val="auto"/>
          <w:kern w:val="0"/>
          <w:sz w:val="30"/>
          <w:szCs w:val="30"/>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9、投标文件参数响应表中必须标注响应项佐证材料所对应页面。</w:t>
      </w:r>
    </w:p>
    <w:p w14:paraId="59FFE815">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30"/>
          <w:szCs w:val="30"/>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22092EEE">
      <w:pPr>
        <w:pStyle w:val="13"/>
        <w:rPr>
          <w:rFonts w:hint="default"/>
          <w:color w:val="auto"/>
          <w:lang w:val="en-US" w:eastAsia="zh-CN"/>
        </w:rPr>
      </w:pPr>
    </w:p>
    <w:p w14:paraId="7AFF750D">
      <w:pPr>
        <w:pStyle w:val="6"/>
        <w:rPr>
          <w:rFonts w:hint="eastAsia"/>
          <w:color w:val="auto"/>
          <w:lang w:val="en-US" w:eastAsia="zh-CN"/>
        </w:rPr>
      </w:pPr>
    </w:p>
    <w:p w14:paraId="14B8B70C">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23A1BF42">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5C15EB41">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7F8352AF">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14:paraId="381D388A">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6B928327">
      <w:pPr>
        <w:pageBreakBefore w:val="0"/>
        <w:kinsoku/>
        <w:overflowPunct/>
        <w:bidi w:val="0"/>
        <w:spacing w:line="460" w:lineRule="exact"/>
        <w:jc w:val="center"/>
        <w:textAlignment w:val="auto"/>
        <w:rPr>
          <w:rFonts w:hint="eastAsia" w:ascii="仿宋" w:hAnsi="仿宋" w:eastAsia="仿宋" w:cs="仿宋"/>
          <w:color w:val="auto"/>
          <w:sz w:val="32"/>
          <w:szCs w:val="32"/>
          <w:lang w:val="en-US" w:eastAsia="zh-CN"/>
        </w:rPr>
      </w:pPr>
      <w:r>
        <w:rPr>
          <w:rFonts w:hint="eastAsia" w:ascii="宋体" w:hAnsi="宋体" w:cs="宋体"/>
          <w:color w:val="auto"/>
          <w:sz w:val="24"/>
          <w:szCs w:val="24"/>
          <w:lang w:val="en-US" w:eastAsia="zh-CN"/>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合同编号：</w:t>
      </w:r>
    </w:p>
    <w:p w14:paraId="04D306F7">
      <w:pPr>
        <w:pageBreakBefore w:val="0"/>
        <w:kinsoku/>
        <w:overflowPunct/>
        <w:bidi w:val="0"/>
        <w:spacing w:line="460" w:lineRule="exact"/>
        <w:jc w:val="center"/>
        <w:textAlignment w:val="auto"/>
        <w:rPr>
          <w:rFonts w:hint="eastAsia" w:ascii="仿宋" w:hAnsi="仿宋" w:eastAsia="仿宋" w:cs="仿宋"/>
          <w:color w:val="auto"/>
          <w:sz w:val="30"/>
          <w:szCs w:val="30"/>
        </w:rPr>
      </w:pPr>
    </w:p>
    <w:p w14:paraId="6606E37F">
      <w:pPr>
        <w:pageBreakBefore w:val="0"/>
        <w:kinsoku/>
        <w:overflowPunct/>
        <w:bidi w:val="0"/>
        <w:spacing w:line="460" w:lineRule="exact"/>
        <w:jc w:val="center"/>
        <w:textAlignment w:val="auto"/>
        <w:rPr>
          <w:rFonts w:hint="eastAsia" w:ascii="仿宋" w:hAnsi="仿宋" w:eastAsia="仿宋" w:cs="仿宋"/>
          <w:color w:val="auto"/>
          <w:sz w:val="30"/>
          <w:szCs w:val="30"/>
        </w:rPr>
      </w:pPr>
    </w:p>
    <w:p w14:paraId="380755C9">
      <w:pPr>
        <w:pageBreakBefore w:val="0"/>
        <w:kinsoku/>
        <w:overflowPunct/>
        <w:bidi w:val="0"/>
        <w:spacing w:line="460" w:lineRule="exact"/>
        <w:jc w:val="center"/>
        <w:textAlignment w:val="auto"/>
        <w:rPr>
          <w:rFonts w:hint="eastAsia" w:ascii="仿宋" w:hAnsi="仿宋" w:eastAsia="仿宋" w:cs="仿宋"/>
          <w:color w:val="auto"/>
          <w:sz w:val="30"/>
          <w:szCs w:val="30"/>
        </w:rPr>
      </w:pPr>
    </w:p>
    <w:p w14:paraId="757F0767">
      <w:pPr>
        <w:pageBreakBefore w:val="0"/>
        <w:kinsoku/>
        <w:overflowPunct/>
        <w:bidi w:val="0"/>
        <w:spacing w:line="460" w:lineRule="exact"/>
        <w:jc w:val="center"/>
        <w:textAlignment w:val="auto"/>
        <w:rPr>
          <w:rFonts w:hint="eastAsia" w:ascii="仿宋" w:hAnsi="仿宋" w:eastAsia="仿宋" w:cs="仿宋"/>
          <w:color w:val="auto"/>
          <w:sz w:val="36"/>
          <w:szCs w:val="36"/>
        </w:rPr>
      </w:pPr>
    </w:p>
    <w:p w14:paraId="20CD5938">
      <w:pPr>
        <w:pageBreakBefore w:val="0"/>
        <w:kinsoku/>
        <w:overflowPunct/>
        <w:bidi w:val="0"/>
        <w:spacing w:line="460" w:lineRule="exact"/>
        <w:ind w:firstLine="3300"/>
        <w:textAlignment w:val="auto"/>
        <w:rPr>
          <w:rFonts w:hint="eastAsia" w:ascii="仿宋" w:hAnsi="仿宋" w:eastAsia="仿宋" w:cs="仿宋"/>
          <w:b/>
          <w:color w:val="auto"/>
          <w:sz w:val="48"/>
          <w:szCs w:val="48"/>
        </w:rPr>
      </w:pPr>
      <w:r>
        <w:rPr>
          <w:rFonts w:hint="eastAsia" w:ascii="仿宋" w:hAnsi="仿宋" w:eastAsia="仿宋" w:cs="仿宋"/>
          <w:b/>
          <w:color w:val="auto"/>
          <w:sz w:val="48"/>
          <w:szCs w:val="48"/>
        </w:rPr>
        <w:t>技术服务合同</w:t>
      </w:r>
    </w:p>
    <w:p w14:paraId="51174EC8">
      <w:pPr>
        <w:pageBreakBefore w:val="0"/>
        <w:kinsoku/>
        <w:overflowPunct/>
        <w:bidi w:val="0"/>
        <w:spacing w:line="460" w:lineRule="exact"/>
        <w:textAlignment w:val="auto"/>
        <w:rPr>
          <w:rFonts w:hint="eastAsia" w:ascii="仿宋" w:hAnsi="仿宋" w:eastAsia="仿宋" w:cs="仿宋"/>
          <w:color w:val="auto"/>
          <w:sz w:val="36"/>
          <w:szCs w:val="36"/>
        </w:rPr>
      </w:pPr>
    </w:p>
    <w:p w14:paraId="65844474">
      <w:pPr>
        <w:pageBreakBefore w:val="0"/>
        <w:kinsoku/>
        <w:overflowPunct/>
        <w:bidi w:val="0"/>
        <w:spacing w:line="460" w:lineRule="exact"/>
        <w:textAlignment w:val="auto"/>
        <w:rPr>
          <w:rFonts w:hint="eastAsia" w:ascii="仿宋" w:hAnsi="仿宋" w:eastAsia="仿宋" w:cs="仿宋"/>
          <w:color w:val="auto"/>
          <w:sz w:val="36"/>
          <w:szCs w:val="36"/>
        </w:rPr>
      </w:pPr>
    </w:p>
    <w:p w14:paraId="081E853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color w:val="auto"/>
          <w:sz w:val="36"/>
          <w:szCs w:val="36"/>
        </w:rPr>
      </w:pPr>
    </w:p>
    <w:p w14:paraId="4C147A80">
      <w:pPr>
        <w:keepNext w:val="0"/>
        <w:keepLines w:val="0"/>
        <w:pageBreakBefore w:val="0"/>
        <w:widowControl w:val="0"/>
        <w:kinsoku/>
        <w:wordWrap/>
        <w:overflowPunct/>
        <w:topLinePunct w:val="0"/>
        <w:autoSpaceDE/>
        <w:autoSpaceDN/>
        <w:bidi w:val="0"/>
        <w:adjustRightInd/>
        <w:snapToGrid/>
        <w:spacing w:line="600" w:lineRule="exact"/>
        <w:ind w:left="2880" w:hanging="2880" w:hangingChars="800"/>
        <w:textAlignment w:val="auto"/>
        <w:rPr>
          <w:rFonts w:hint="eastAsia" w:ascii="仿宋" w:hAnsi="仿宋" w:eastAsia="仿宋" w:cs="仿宋"/>
          <w:color w:val="auto"/>
          <w:sz w:val="36"/>
          <w:szCs w:val="36"/>
          <w:u w:val="single"/>
        </w:rPr>
      </w:pPr>
      <w:r>
        <w:rPr>
          <w:rFonts w:hint="eastAsia" w:ascii="仿宋" w:hAnsi="仿宋" w:eastAsia="仿宋" w:cs="仿宋"/>
          <w:color w:val="auto"/>
          <w:sz w:val="36"/>
          <w:szCs w:val="36"/>
        </w:rPr>
        <w:t xml:space="preserve">      项目名称：</w:t>
      </w:r>
      <w:r>
        <w:rPr>
          <w:rFonts w:hint="eastAsia" w:ascii="仿宋" w:hAnsi="仿宋" w:eastAsia="仿宋" w:cs="仿宋"/>
          <w:color w:val="auto"/>
          <w:sz w:val="36"/>
          <w:szCs w:val="36"/>
          <w:u w:val="single"/>
          <w:lang w:val="en-US" w:eastAsia="zh-CN"/>
        </w:rPr>
        <w:t>4台放射装置放射卫生检测与评价及环境影响评价项目</w:t>
      </w:r>
      <w:r>
        <w:rPr>
          <w:rFonts w:hint="eastAsia" w:ascii="仿宋" w:hAnsi="仿宋" w:eastAsia="仿宋" w:cs="仿宋"/>
          <w:color w:val="auto"/>
          <w:sz w:val="36"/>
          <w:szCs w:val="36"/>
          <w:u w:val="single"/>
        </w:rPr>
        <w:t xml:space="preserve">        </w:t>
      </w:r>
    </w:p>
    <w:p w14:paraId="3497C328">
      <w:pPr>
        <w:keepNext w:val="0"/>
        <w:keepLines w:val="0"/>
        <w:pageBreakBefore w:val="0"/>
        <w:widowControl w:val="0"/>
        <w:kinsoku/>
        <w:wordWrap/>
        <w:overflowPunct/>
        <w:topLinePunct w:val="0"/>
        <w:autoSpaceDE/>
        <w:autoSpaceDN/>
        <w:bidi w:val="0"/>
        <w:adjustRightInd/>
        <w:snapToGrid/>
        <w:spacing w:line="600" w:lineRule="exact"/>
        <w:ind w:firstLine="1080" w:firstLineChars="300"/>
        <w:textAlignment w:val="auto"/>
        <w:rPr>
          <w:rFonts w:hint="eastAsia" w:ascii="仿宋" w:hAnsi="仿宋" w:eastAsia="仿宋" w:cs="仿宋"/>
          <w:color w:val="auto"/>
          <w:sz w:val="36"/>
          <w:szCs w:val="36"/>
          <w:u w:val="single"/>
        </w:rPr>
      </w:pPr>
      <w:r>
        <w:rPr>
          <w:rFonts w:hint="eastAsia" w:ascii="仿宋" w:hAnsi="仿宋" w:eastAsia="仿宋" w:cs="仿宋"/>
          <w:color w:val="auto"/>
          <w:sz w:val="36"/>
          <w:szCs w:val="36"/>
        </w:rPr>
        <w:t>委托方（甲方）：</w:t>
      </w:r>
      <w:r>
        <w:rPr>
          <w:rFonts w:hint="eastAsia" w:ascii="仿宋" w:hAnsi="仿宋" w:eastAsia="仿宋" w:cs="仿宋"/>
          <w:color w:val="auto"/>
          <w:sz w:val="36"/>
          <w:szCs w:val="36"/>
          <w:u w:val="single"/>
        </w:rPr>
        <w:t xml:space="preserve">娄底市中心医院     </w:t>
      </w:r>
    </w:p>
    <w:p w14:paraId="04F2C699">
      <w:pPr>
        <w:keepNext w:val="0"/>
        <w:keepLines w:val="0"/>
        <w:pageBreakBefore w:val="0"/>
        <w:widowControl w:val="0"/>
        <w:kinsoku/>
        <w:wordWrap/>
        <w:overflowPunct/>
        <w:topLinePunct w:val="0"/>
        <w:autoSpaceDE/>
        <w:autoSpaceDN/>
        <w:bidi w:val="0"/>
        <w:adjustRightInd/>
        <w:snapToGrid/>
        <w:spacing w:line="600" w:lineRule="exact"/>
        <w:ind w:firstLine="1080" w:firstLineChars="300"/>
        <w:jc w:val="both"/>
        <w:textAlignment w:val="auto"/>
        <w:rPr>
          <w:rFonts w:hint="eastAsia" w:ascii="仿宋" w:hAnsi="仿宋" w:eastAsia="仿宋" w:cs="仿宋"/>
          <w:color w:val="auto"/>
          <w:sz w:val="36"/>
          <w:szCs w:val="36"/>
        </w:rPr>
      </w:pPr>
    </w:p>
    <w:p w14:paraId="2249CB49">
      <w:pPr>
        <w:keepNext w:val="0"/>
        <w:keepLines w:val="0"/>
        <w:pageBreakBefore w:val="0"/>
        <w:widowControl w:val="0"/>
        <w:kinsoku/>
        <w:wordWrap/>
        <w:overflowPunct/>
        <w:topLinePunct w:val="0"/>
        <w:autoSpaceDE/>
        <w:autoSpaceDN/>
        <w:bidi w:val="0"/>
        <w:adjustRightInd/>
        <w:snapToGrid/>
        <w:spacing w:line="600" w:lineRule="exact"/>
        <w:ind w:firstLine="1080" w:firstLineChars="300"/>
        <w:jc w:val="both"/>
        <w:textAlignment w:val="auto"/>
        <w:rPr>
          <w:rFonts w:hint="eastAsia" w:ascii="仿宋" w:hAnsi="仿宋" w:eastAsia="仿宋" w:cs="仿宋"/>
          <w:color w:val="auto"/>
          <w:sz w:val="36"/>
          <w:szCs w:val="36"/>
        </w:rPr>
      </w:pPr>
      <w:r>
        <w:rPr>
          <w:rFonts w:hint="eastAsia" w:ascii="仿宋" w:hAnsi="仿宋" w:eastAsia="仿宋" w:cs="仿宋"/>
          <w:color w:val="auto"/>
          <w:sz w:val="36"/>
          <w:szCs w:val="36"/>
        </w:rPr>
        <w:t>受托方（乙方）：</w:t>
      </w:r>
    </w:p>
    <w:p w14:paraId="0429CD32">
      <w:pPr>
        <w:pageBreakBefore w:val="0"/>
        <w:kinsoku/>
        <w:overflowPunct/>
        <w:bidi w:val="0"/>
        <w:spacing w:line="460" w:lineRule="exact"/>
        <w:jc w:val="center"/>
        <w:textAlignment w:val="auto"/>
        <w:rPr>
          <w:rFonts w:hint="eastAsia" w:ascii="仿宋" w:hAnsi="仿宋" w:eastAsia="仿宋" w:cs="仿宋"/>
          <w:color w:val="auto"/>
          <w:spacing w:val="-32"/>
          <w:sz w:val="36"/>
          <w:szCs w:val="36"/>
        </w:rPr>
      </w:pPr>
    </w:p>
    <w:p w14:paraId="304C4B44">
      <w:pPr>
        <w:pageBreakBefore w:val="0"/>
        <w:kinsoku/>
        <w:overflowPunct/>
        <w:bidi w:val="0"/>
        <w:spacing w:line="460" w:lineRule="exact"/>
        <w:jc w:val="center"/>
        <w:textAlignment w:val="auto"/>
        <w:rPr>
          <w:rFonts w:hint="eastAsia" w:ascii="仿宋" w:hAnsi="仿宋" w:eastAsia="仿宋" w:cs="仿宋"/>
          <w:color w:val="auto"/>
          <w:spacing w:val="-32"/>
          <w:sz w:val="36"/>
          <w:szCs w:val="36"/>
        </w:rPr>
      </w:pPr>
    </w:p>
    <w:p w14:paraId="6831EF9A">
      <w:pPr>
        <w:pageBreakBefore w:val="0"/>
        <w:kinsoku/>
        <w:overflowPunct/>
        <w:bidi w:val="0"/>
        <w:spacing w:line="460" w:lineRule="exact"/>
        <w:jc w:val="center"/>
        <w:textAlignment w:val="auto"/>
        <w:rPr>
          <w:rFonts w:hint="eastAsia" w:ascii="仿宋" w:hAnsi="仿宋" w:eastAsia="仿宋" w:cs="仿宋"/>
          <w:color w:val="auto"/>
          <w:sz w:val="36"/>
          <w:szCs w:val="36"/>
        </w:rPr>
      </w:pPr>
      <w:r>
        <w:rPr>
          <w:rFonts w:hint="eastAsia" w:ascii="仿宋" w:hAnsi="仿宋" w:eastAsia="仿宋" w:cs="仿宋"/>
          <w:color w:val="auto"/>
          <w:spacing w:val="-32"/>
          <w:sz w:val="36"/>
          <w:szCs w:val="36"/>
        </w:rPr>
        <w:t>签订时间：</w:t>
      </w:r>
      <w:r>
        <w:rPr>
          <w:rFonts w:hint="eastAsia" w:ascii="仿宋" w:hAnsi="仿宋" w:eastAsia="仿宋" w:cs="仿宋"/>
          <w:color w:val="auto"/>
          <w:spacing w:val="-32"/>
          <w:sz w:val="36"/>
          <w:szCs w:val="36"/>
          <w:u w:val="single"/>
          <w:lang w:val="en-US" w:eastAsia="zh-CN"/>
        </w:rPr>
        <w:t>2026</w:t>
      </w:r>
      <w:r>
        <w:rPr>
          <w:rFonts w:hint="eastAsia" w:ascii="仿宋" w:hAnsi="仿宋" w:eastAsia="仿宋" w:cs="仿宋"/>
          <w:color w:val="auto"/>
          <w:spacing w:val="-32"/>
          <w:sz w:val="36"/>
          <w:szCs w:val="36"/>
          <w:u w:val="single"/>
        </w:rPr>
        <w:t>年</w:t>
      </w:r>
      <w:r>
        <w:rPr>
          <w:rFonts w:hint="eastAsia" w:ascii="仿宋" w:hAnsi="仿宋" w:eastAsia="仿宋" w:cs="仿宋"/>
          <w:color w:val="auto"/>
          <w:spacing w:val="-32"/>
          <w:sz w:val="36"/>
          <w:szCs w:val="36"/>
          <w:u w:val="single"/>
          <w:lang w:val="en-US" w:eastAsia="zh-CN"/>
        </w:rPr>
        <w:t xml:space="preserve">  </w:t>
      </w:r>
      <w:r>
        <w:rPr>
          <w:rFonts w:hint="eastAsia" w:ascii="仿宋" w:hAnsi="仿宋" w:eastAsia="仿宋" w:cs="仿宋"/>
          <w:color w:val="auto"/>
          <w:spacing w:val="-32"/>
          <w:sz w:val="36"/>
          <w:szCs w:val="36"/>
          <w:u w:val="single"/>
        </w:rPr>
        <w:t>月</w:t>
      </w:r>
    </w:p>
    <w:p w14:paraId="44B85084">
      <w:pPr>
        <w:pageBreakBefore w:val="0"/>
        <w:kinsoku/>
        <w:overflowPunct/>
        <w:bidi w:val="0"/>
        <w:spacing w:line="460" w:lineRule="exact"/>
        <w:jc w:val="center"/>
        <w:textAlignment w:val="auto"/>
        <w:rPr>
          <w:rFonts w:hint="eastAsia" w:ascii="仿宋" w:hAnsi="仿宋" w:eastAsia="仿宋" w:cs="仿宋"/>
          <w:color w:val="auto"/>
          <w:sz w:val="30"/>
          <w:szCs w:val="30"/>
        </w:rPr>
        <w:sectPr>
          <w:footerReference r:id="rId6" w:type="first"/>
          <w:headerReference r:id="rId3" w:type="default"/>
          <w:footerReference r:id="rId4" w:type="default"/>
          <w:footerReference r:id="rId5" w:type="even"/>
          <w:pgSz w:w="11907" w:h="16840"/>
          <w:pgMar w:top="1304" w:right="1469" w:bottom="1304" w:left="1469" w:header="720" w:footer="720" w:gutter="0"/>
          <w:pgNumType w:start="1"/>
          <w:cols w:space="720" w:num="1"/>
          <w:titlePg/>
          <w:docGrid w:linePitch="286" w:charSpace="0"/>
        </w:sectPr>
      </w:pPr>
    </w:p>
    <w:p w14:paraId="5138137D">
      <w:pPr>
        <w:pageBreakBefore w:val="0"/>
        <w:kinsoku/>
        <w:overflowPunct/>
        <w:bidi w:val="0"/>
        <w:spacing w:line="460" w:lineRule="exact"/>
        <w:jc w:val="center"/>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填 写 说 明</w:t>
      </w:r>
    </w:p>
    <w:p w14:paraId="106EF266">
      <w:pPr>
        <w:pageBreakBefore w:val="0"/>
        <w:kinsoku/>
        <w:overflowPunct/>
        <w:bidi w:val="0"/>
        <w:spacing w:line="46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p>
    <w:p w14:paraId="684597E3">
      <w:pPr>
        <w:pageBreakBefore w:val="0"/>
        <w:numPr>
          <w:ilvl w:val="0"/>
          <w:numId w:val="3"/>
        </w:numPr>
        <w:tabs>
          <w:tab w:val="left" w:pos="0"/>
          <w:tab w:val="left" w:pos="1080"/>
          <w:tab w:val="left" w:pos="1116"/>
        </w:tabs>
        <w:kinsoku/>
        <w:overflowPunct/>
        <w:bidi w:val="0"/>
        <w:spacing w:line="460" w:lineRule="exact"/>
        <w:ind w:left="0" w:firstLine="576" w:firstLineChars="192"/>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本合同为中华人民共和国科学技术部印制的技术服务合同示范文本，各技术合同登记机构可推介技术合同当事人参照使用。</w:t>
      </w:r>
    </w:p>
    <w:p w14:paraId="47DF220C">
      <w:pPr>
        <w:pageBreakBefore w:val="0"/>
        <w:kinsoku/>
        <w:overflowPunct/>
        <w:bidi w:val="0"/>
        <w:spacing w:line="46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    二、本合同书适用于一方当事人（受托方）以技术知识为另一方（委托方）解决特定技术问题所订立的合同。</w:t>
      </w:r>
    </w:p>
    <w:p w14:paraId="0B4E4BB9">
      <w:pPr>
        <w:pageBreakBefore w:val="0"/>
        <w:kinsoku/>
        <w:overflowPunct/>
        <w:bidi w:val="0"/>
        <w:spacing w:line="460" w:lineRule="exact"/>
        <w:ind w:firstLine="555"/>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三、</w:t>
      </w:r>
      <w:r>
        <w:rPr>
          <w:rFonts w:hint="eastAsia" w:ascii="仿宋" w:hAnsi="仿宋" w:eastAsia="仿宋" w:cs="仿宋"/>
          <w:color w:val="auto"/>
          <w:spacing w:val="6"/>
          <w:sz w:val="30"/>
          <w:szCs w:val="30"/>
        </w:rPr>
        <w:t>签约一方为多个当事人的，可按各自在合同关系中的作用等，</w:t>
      </w:r>
      <w:r>
        <w:rPr>
          <w:rFonts w:hint="eastAsia" w:ascii="仿宋" w:hAnsi="仿宋" w:eastAsia="仿宋" w:cs="仿宋"/>
          <w:color w:val="auto"/>
          <w:sz w:val="30"/>
          <w:szCs w:val="30"/>
        </w:rPr>
        <w:t>在“委托方”、“受托方”项下（增页）分别排列为共同委托人或共同受托人。</w:t>
      </w:r>
    </w:p>
    <w:p w14:paraId="6D3ED7FA">
      <w:pPr>
        <w:pageBreakBefore w:val="0"/>
        <w:kinsoku/>
        <w:overflowPunct/>
        <w:bidi w:val="0"/>
        <w:spacing w:line="460" w:lineRule="exact"/>
        <w:ind w:firstLine="555"/>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四、本合同书未尽事项，可由当事人附页另行约定，并作为本合同的组成部分。</w:t>
      </w:r>
    </w:p>
    <w:p w14:paraId="6EAD1CAF">
      <w:pPr>
        <w:pageBreakBefore w:val="0"/>
        <w:kinsoku/>
        <w:overflowPunct/>
        <w:bidi w:val="0"/>
        <w:spacing w:line="460" w:lineRule="exact"/>
        <w:ind w:firstLine="555"/>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五、当事人使用本合同书时约定无需填写的条款，应在该条款处注明“无”等字样。</w:t>
      </w:r>
    </w:p>
    <w:p w14:paraId="1FDED9CD">
      <w:pPr>
        <w:pageBreakBefore w:val="0"/>
        <w:kinsoku/>
        <w:overflowPunct/>
        <w:bidi w:val="0"/>
        <w:spacing w:line="460" w:lineRule="exact"/>
        <w:textAlignment w:val="auto"/>
        <w:rPr>
          <w:rFonts w:hint="eastAsia" w:ascii="仿宋" w:hAnsi="仿宋" w:eastAsia="仿宋" w:cs="仿宋"/>
          <w:color w:val="auto"/>
          <w:sz w:val="30"/>
          <w:szCs w:val="30"/>
        </w:rPr>
        <w:sectPr>
          <w:footerReference r:id="rId8" w:type="first"/>
          <w:footerReference r:id="rId7" w:type="default"/>
          <w:pgSz w:w="11907" w:h="16840"/>
          <w:pgMar w:top="1304" w:right="1469" w:bottom="1304" w:left="1469" w:header="720" w:footer="720" w:gutter="0"/>
          <w:pgNumType w:start="2"/>
          <w:cols w:space="720" w:num="1"/>
          <w:titlePg/>
          <w:docGrid w:linePitch="286" w:charSpace="0"/>
        </w:sectPr>
      </w:pPr>
    </w:p>
    <w:p w14:paraId="0457FCB4">
      <w:pPr>
        <w:pStyle w:val="13"/>
        <w:pageBreakBefore w:val="0"/>
        <w:kinsoku/>
        <w:overflowPunct/>
        <w:bidi w:val="0"/>
        <w:spacing w:line="460" w:lineRule="exact"/>
        <w:textAlignment w:val="auto"/>
        <w:rPr>
          <w:rFonts w:hint="eastAsia" w:ascii="仿宋" w:hAnsi="仿宋" w:eastAsia="仿宋" w:cs="仿宋"/>
          <w:color w:val="auto"/>
          <w:sz w:val="30"/>
          <w:szCs w:val="30"/>
        </w:rPr>
      </w:pPr>
    </w:p>
    <w:p w14:paraId="384ACDB7">
      <w:pPr>
        <w:pageBreakBefore w:val="0"/>
        <w:kinsoku/>
        <w:overflowPunct/>
        <w:bidi w:val="0"/>
        <w:spacing w:line="460" w:lineRule="exact"/>
        <w:jc w:val="center"/>
        <w:textAlignment w:val="auto"/>
        <w:rPr>
          <w:rFonts w:hint="eastAsia" w:ascii="仿宋" w:hAnsi="仿宋" w:eastAsia="仿宋" w:cs="仿宋"/>
          <w:b/>
          <w:bCs/>
          <w:color w:val="auto"/>
          <w:sz w:val="30"/>
          <w:szCs w:val="30"/>
        </w:rPr>
      </w:pPr>
      <w:r>
        <w:rPr>
          <w:rFonts w:hint="eastAsia" w:ascii="仿宋" w:hAnsi="仿宋" w:eastAsia="仿宋" w:cs="仿宋"/>
          <w:b/>
          <w:bCs/>
          <w:color w:val="auto"/>
          <w:sz w:val="30"/>
          <w:szCs w:val="30"/>
        </w:rPr>
        <w:t>技术服务合同</w:t>
      </w:r>
    </w:p>
    <w:tbl>
      <w:tblPr>
        <w:tblStyle w:val="14"/>
        <w:tblW w:w="0" w:type="auto"/>
        <w:tblInd w:w="1101" w:type="dxa"/>
        <w:tblLayout w:type="autofit"/>
        <w:tblCellMar>
          <w:top w:w="0" w:type="dxa"/>
          <w:left w:w="108" w:type="dxa"/>
          <w:bottom w:w="0" w:type="dxa"/>
          <w:right w:w="108" w:type="dxa"/>
        </w:tblCellMar>
      </w:tblPr>
      <w:tblGrid>
        <w:gridCol w:w="2913"/>
        <w:gridCol w:w="4677"/>
      </w:tblGrid>
      <w:tr w14:paraId="7BFBF978">
        <w:tblPrEx>
          <w:tblCellMar>
            <w:top w:w="0" w:type="dxa"/>
            <w:left w:w="108" w:type="dxa"/>
            <w:bottom w:w="0" w:type="dxa"/>
            <w:right w:w="108" w:type="dxa"/>
          </w:tblCellMar>
        </w:tblPrEx>
        <w:tc>
          <w:tcPr>
            <w:tcW w:w="2861" w:type="dxa"/>
            <w:noWrap w:val="0"/>
            <w:vAlign w:val="top"/>
          </w:tcPr>
          <w:p w14:paraId="57BFAC05">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pacing w:val="1"/>
                <w:w w:val="93"/>
                <w:kern w:val="0"/>
                <w:sz w:val="30"/>
                <w:szCs w:val="30"/>
                <w:fitText w:val="2240" w:id="-564187916"/>
              </w:rPr>
              <w:t>委托方（甲方）</w:t>
            </w:r>
            <w:r>
              <w:rPr>
                <w:rFonts w:hint="eastAsia" w:ascii="仿宋" w:hAnsi="仿宋" w:eastAsia="仿宋" w:cs="仿宋"/>
                <w:color w:val="auto"/>
                <w:spacing w:val="-2"/>
                <w:w w:val="93"/>
                <w:kern w:val="0"/>
                <w:sz w:val="30"/>
                <w:szCs w:val="30"/>
                <w:fitText w:val="2240" w:id="-564187916"/>
              </w:rPr>
              <w:t>：</w:t>
            </w:r>
          </w:p>
        </w:tc>
        <w:tc>
          <w:tcPr>
            <w:tcW w:w="4677" w:type="dxa"/>
            <w:noWrap w:val="0"/>
            <w:vAlign w:val="top"/>
          </w:tcPr>
          <w:p w14:paraId="40893895">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u w:val="single"/>
              </w:rPr>
              <w:t xml:space="preserve">娄底市中心医院                  </w:t>
            </w:r>
          </w:p>
        </w:tc>
      </w:tr>
      <w:tr w14:paraId="1FB0B688">
        <w:tblPrEx>
          <w:tblCellMar>
            <w:top w:w="0" w:type="dxa"/>
            <w:left w:w="108" w:type="dxa"/>
            <w:bottom w:w="0" w:type="dxa"/>
            <w:right w:w="108" w:type="dxa"/>
          </w:tblCellMar>
        </w:tblPrEx>
        <w:tc>
          <w:tcPr>
            <w:tcW w:w="2861" w:type="dxa"/>
            <w:noWrap w:val="0"/>
            <w:vAlign w:val="top"/>
          </w:tcPr>
          <w:p w14:paraId="4FCB0165">
            <w:pPr>
              <w:pageBreakBefore w:val="0"/>
              <w:tabs>
                <w:tab w:val="left" w:pos="571"/>
              </w:tabs>
              <w:kinsoku/>
              <w:overflowPunct/>
              <w:bidi w:val="0"/>
              <w:spacing w:line="460" w:lineRule="exact"/>
              <w:ind w:left="0" w:leftChars="0" w:firstLine="0" w:firstLineChars="0"/>
              <w:jc w:val="left"/>
              <w:textAlignment w:val="auto"/>
              <w:rPr>
                <w:rFonts w:hint="eastAsia" w:ascii="仿宋" w:hAnsi="仿宋" w:eastAsia="仿宋" w:cs="仿宋"/>
                <w:color w:val="auto"/>
                <w:spacing w:val="1940"/>
                <w:kern w:val="0"/>
                <w:sz w:val="30"/>
                <w:szCs w:val="30"/>
                <w:fitText w:val="2240" w:id="-2095913216"/>
              </w:rPr>
            </w:pPr>
            <w:r>
              <w:rPr>
                <w:rFonts w:hint="eastAsia" w:ascii="仿宋" w:hAnsi="仿宋" w:eastAsia="仿宋" w:cs="仿宋"/>
                <w:color w:val="auto"/>
                <w:kern w:val="0"/>
                <w:sz w:val="30"/>
                <w:szCs w:val="30"/>
              </w:rPr>
              <w:t>统一社会信用代码：</w:t>
            </w:r>
          </w:p>
        </w:tc>
        <w:tc>
          <w:tcPr>
            <w:tcW w:w="4677" w:type="dxa"/>
            <w:noWrap w:val="0"/>
            <w:vAlign w:val="top"/>
          </w:tcPr>
          <w:p w14:paraId="358BD16A">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rPr>
              <w:t>12431300447162073W</w:t>
            </w:r>
            <w:r>
              <w:rPr>
                <w:rFonts w:hint="eastAsia" w:ascii="仿宋" w:hAnsi="仿宋" w:eastAsia="仿宋" w:cs="仿宋"/>
                <w:color w:val="auto"/>
                <w:sz w:val="30"/>
                <w:szCs w:val="30"/>
                <w:u w:val="single"/>
                <w:lang w:val="en-US" w:eastAsia="zh-CN"/>
              </w:rPr>
              <w:t xml:space="preserve">             </w:t>
            </w:r>
          </w:p>
        </w:tc>
      </w:tr>
      <w:tr w14:paraId="3F94BF1F">
        <w:tblPrEx>
          <w:tblCellMar>
            <w:top w:w="0" w:type="dxa"/>
            <w:left w:w="108" w:type="dxa"/>
            <w:bottom w:w="0" w:type="dxa"/>
            <w:right w:w="108" w:type="dxa"/>
          </w:tblCellMar>
        </w:tblPrEx>
        <w:tc>
          <w:tcPr>
            <w:tcW w:w="2861" w:type="dxa"/>
            <w:noWrap w:val="0"/>
            <w:vAlign w:val="top"/>
          </w:tcPr>
          <w:p w14:paraId="1CA6C4AC">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住所地：</w:t>
            </w:r>
          </w:p>
        </w:tc>
        <w:tc>
          <w:tcPr>
            <w:tcW w:w="4677" w:type="dxa"/>
            <w:noWrap w:val="0"/>
            <w:vAlign w:val="top"/>
          </w:tcPr>
          <w:p w14:paraId="17AEEC6A">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u w:val="single"/>
              </w:rPr>
              <w:t xml:space="preserve">娄底市长青街51号                  </w:t>
            </w:r>
          </w:p>
        </w:tc>
      </w:tr>
      <w:tr w14:paraId="712B311E">
        <w:tblPrEx>
          <w:tblCellMar>
            <w:top w:w="0" w:type="dxa"/>
            <w:left w:w="108" w:type="dxa"/>
            <w:bottom w:w="0" w:type="dxa"/>
            <w:right w:w="108" w:type="dxa"/>
          </w:tblCellMar>
        </w:tblPrEx>
        <w:tc>
          <w:tcPr>
            <w:tcW w:w="2861" w:type="dxa"/>
            <w:noWrap w:val="0"/>
            <w:vAlign w:val="top"/>
          </w:tcPr>
          <w:p w14:paraId="4B150884">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法定代表人：</w:t>
            </w:r>
          </w:p>
        </w:tc>
        <w:tc>
          <w:tcPr>
            <w:tcW w:w="4677" w:type="dxa"/>
            <w:noWrap w:val="0"/>
            <w:vAlign w:val="top"/>
          </w:tcPr>
          <w:p w14:paraId="0262E33D">
            <w:pPr>
              <w:pStyle w:val="2"/>
              <w:pageBreakBefore w:val="0"/>
              <w:shd w:val="clear" w:color="auto" w:fill="F9FDFF"/>
              <w:kinsoku/>
              <w:overflowPunct/>
              <w:bidi w:val="0"/>
              <w:spacing w:before="0" w:after="0" w:line="460" w:lineRule="exact"/>
              <w:ind w:left="0" w:leftChars="0" w:firstLine="0" w:firstLineChars="0"/>
              <w:jc w:val="left"/>
              <w:textAlignment w:val="auto"/>
              <w:rPr>
                <w:rFonts w:hint="eastAsia" w:ascii="仿宋" w:hAnsi="仿宋" w:eastAsia="仿宋" w:cs="仿宋"/>
                <w:b w:val="0"/>
                <w:bCs w:val="0"/>
                <w:color w:val="auto"/>
                <w:sz w:val="30"/>
                <w:szCs w:val="30"/>
                <w:u w:val="single"/>
              </w:rPr>
            </w:pPr>
            <w:r>
              <w:rPr>
                <w:rFonts w:hint="eastAsia" w:ascii="仿宋" w:hAnsi="仿宋" w:eastAsia="仿宋" w:cs="仿宋"/>
                <w:b w:val="0"/>
                <w:bCs w:val="0"/>
                <w:color w:val="auto"/>
                <w:sz w:val="30"/>
                <w:szCs w:val="30"/>
                <w:u w:val="single"/>
                <w:lang w:val="en-US" w:eastAsia="zh-CN"/>
              </w:rPr>
              <w:t>杨吉军</w:t>
            </w:r>
            <w:r>
              <w:rPr>
                <w:rFonts w:hint="eastAsia" w:ascii="仿宋" w:hAnsi="仿宋" w:eastAsia="仿宋" w:cs="仿宋"/>
                <w:b w:val="0"/>
                <w:bCs w:val="0"/>
                <w:color w:val="auto"/>
                <w:sz w:val="30"/>
                <w:szCs w:val="30"/>
                <w:u w:val="single"/>
              </w:rPr>
              <w:t xml:space="preserve">                              </w:t>
            </w:r>
          </w:p>
        </w:tc>
      </w:tr>
      <w:tr w14:paraId="78ADABF3">
        <w:tblPrEx>
          <w:tblCellMar>
            <w:top w:w="0" w:type="dxa"/>
            <w:left w:w="108" w:type="dxa"/>
            <w:bottom w:w="0" w:type="dxa"/>
            <w:right w:w="108" w:type="dxa"/>
          </w:tblCellMar>
        </w:tblPrEx>
        <w:tc>
          <w:tcPr>
            <w:tcW w:w="2861" w:type="dxa"/>
            <w:noWrap w:val="0"/>
            <w:vAlign w:val="top"/>
          </w:tcPr>
          <w:p w14:paraId="0DB8DF07">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项目联系人：</w:t>
            </w:r>
          </w:p>
        </w:tc>
        <w:tc>
          <w:tcPr>
            <w:tcW w:w="4677" w:type="dxa"/>
            <w:noWrap w:val="0"/>
            <w:vAlign w:val="top"/>
          </w:tcPr>
          <w:p w14:paraId="74706785">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u w:val="single"/>
              </w:rPr>
              <w:t xml:space="preserve">朱尹华                              </w:t>
            </w:r>
          </w:p>
        </w:tc>
      </w:tr>
      <w:tr w14:paraId="69FC5FF6">
        <w:tblPrEx>
          <w:tblCellMar>
            <w:top w:w="0" w:type="dxa"/>
            <w:left w:w="108" w:type="dxa"/>
            <w:bottom w:w="0" w:type="dxa"/>
            <w:right w:w="108" w:type="dxa"/>
          </w:tblCellMar>
        </w:tblPrEx>
        <w:tc>
          <w:tcPr>
            <w:tcW w:w="2861" w:type="dxa"/>
            <w:noWrap w:val="0"/>
            <w:vAlign w:val="top"/>
          </w:tcPr>
          <w:p w14:paraId="08619C51">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通讯地址：</w:t>
            </w:r>
          </w:p>
        </w:tc>
        <w:tc>
          <w:tcPr>
            <w:tcW w:w="4677" w:type="dxa"/>
            <w:noWrap w:val="0"/>
            <w:vAlign w:val="top"/>
          </w:tcPr>
          <w:p w14:paraId="303F702C">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u w:val="single"/>
              </w:rPr>
              <w:t xml:space="preserve">娄底市长青街51号                          </w:t>
            </w:r>
          </w:p>
        </w:tc>
      </w:tr>
      <w:tr w14:paraId="5060E024">
        <w:tblPrEx>
          <w:tblCellMar>
            <w:top w:w="0" w:type="dxa"/>
            <w:left w:w="108" w:type="dxa"/>
            <w:bottom w:w="0" w:type="dxa"/>
            <w:right w:w="108" w:type="dxa"/>
          </w:tblCellMar>
        </w:tblPrEx>
        <w:tc>
          <w:tcPr>
            <w:tcW w:w="2861" w:type="dxa"/>
            <w:noWrap w:val="0"/>
            <w:vAlign w:val="top"/>
          </w:tcPr>
          <w:p w14:paraId="03D73927">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邮政编码：</w:t>
            </w:r>
          </w:p>
        </w:tc>
        <w:tc>
          <w:tcPr>
            <w:tcW w:w="4677" w:type="dxa"/>
            <w:noWrap w:val="0"/>
            <w:vAlign w:val="top"/>
          </w:tcPr>
          <w:p w14:paraId="08A5C352">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u w:val="single"/>
              </w:rPr>
              <w:t xml:space="preserve">417000                               </w:t>
            </w:r>
          </w:p>
        </w:tc>
      </w:tr>
      <w:tr w14:paraId="45916902">
        <w:tblPrEx>
          <w:tblCellMar>
            <w:top w:w="0" w:type="dxa"/>
            <w:left w:w="108" w:type="dxa"/>
            <w:bottom w:w="0" w:type="dxa"/>
            <w:right w:w="108" w:type="dxa"/>
          </w:tblCellMar>
        </w:tblPrEx>
        <w:tc>
          <w:tcPr>
            <w:tcW w:w="2861" w:type="dxa"/>
            <w:noWrap w:val="0"/>
            <w:vAlign w:val="top"/>
          </w:tcPr>
          <w:p w14:paraId="3A636898">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电    话：</w:t>
            </w:r>
          </w:p>
        </w:tc>
        <w:tc>
          <w:tcPr>
            <w:tcW w:w="4677" w:type="dxa"/>
            <w:noWrap w:val="0"/>
            <w:vAlign w:val="top"/>
          </w:tcPr>
          <w:p w14:paraId="3AAD43A2">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u w:val="single"/>
              </w:rPr>
              <w:t xml:space="preserve">18890579233                       </w:t>
            </w:r>
          </w:p>
        </w:tc>
      </w:tr>
      <w:tr w14:paraId="51E5D311">
        <w:tblPrEx>
          <w:tblCellMar>
            <w:top w:w="0" w:type="dxa"/>
            <w:left w:w="108" w:type="dxa"/>
            <w:bottom w:w="0" w:type="dxa"/>
            <w:right w:w="108" w:type="dxa"/>
          </w:tblCellMar>
        </w:tblPrEx>
        <w:tc>
          <w:tcPr>
            <w:tcW w:w="2861" w:type="dxa"/>
            <w:noWrap w:val="0"/>
            <w:vAlign w:val="top"/>
          </w:tcPr>
          <w:p w14:paraId="3C80FA24">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电子信箱：</w:t>
            </w:r>
          </w:p>
        </w:tc>
        <w:tc>
          <w:tcPr>
            <w:tcW w:w="4677" w:type="dxa"/>
            <w:noWrap w:val="0"/>
            <w:vAlign w:val="top"/>
          </w:tcPr>
          <w:p w14:paraId="4DAD70A8">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p>
        </w:tc>
      </w:tr>
      <w:tr w14:paraId="1A9EA033">
        <w:tblPrEx>
          <w:tblCellMar>
            <w:top w:w="0" w:type="dxa"/>
            <w:left w:w="108" w:type="dxa"/>
            <w:bottom w:w="0" w:type="dxa"/>
            <w:right w:w="108" w:type="dxa"/>
          </w:tblCellMar>
        </w:tblPrEx>
        <w:trPr>
          <w:trHeight w:val="624" w:hRule="atLeast"/>
        </w:trPr>
        <w:tc>
          <w:tcPr>
            <w:tcW w:w="2861" w:type="dxa"/>
            <w:noWrap w:val="0"/>
            <w:vAlign w:val="top"/>
          </w:tcPr>
          <w:p w14:paraId="27CBACF4">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p>
        </w:tc>
        <w:tc>
          <w:tcPr>
            <w:tcW w:w="4677" w:type="dxa"/>
            <w:noWrap w:val="0"/>
            <w:vAlign w:val="top"/>
          </w:tcPr>
          <w:p w14:paraId="4A3A7EF1">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p>
        </w:tc>
      </w:tr>
      <w:tr w14:paraId="71B5A4FD">
        <w:tblPrEx>
          <w:tblCellMar>
            <w:top w:w="0" w:type="dxa"/>
            <w:left w:w="108" w:type="dxa"/>
            <w:bottom w:w="0" w:type="dxa"/>
            <w:right w:w="108" w:type="dxa"/>
          </w:tblCellMar>
        </w:tblPrEx>
        <w:tc>
          <w:tcPr>
            <w:tcW w:w="2861" w:type="dxa"/>
            <w:noWrap w:val="0"/>
            <w:vAlign w:val="top"/>
          </w:tcPr>
          <w:p w14:paraId="75A80429">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受托方（乙方）：</w:t>
            </w:r>
          </w:p>
        </w:tc>
        <w:tc>
          <w:tcPr>
            <w:tcW w:w="4677" w:type="dxa"/>
            <w:noWrap w:val="0"/>
            <w:vAlign w:val="top"/>
          </w:tcPr>
          <w:p w14:paraId="4C6259A2">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p>
        </w:tc>
      </w:tr>
      <w:tr w14:paraId="37493F8A">
        <w:tblPrEx>
          <w:tblCellMar>
            <w:top w:w="0" w:type="dxa"/>
            <w:left w:w="108" w:type="dxa"/>
            <w:bottom w:w="0" w:type="dxa"/>
            <w:right w:w="108" w:type="dxa"/>
          </w:tblCellMar>
        </w:tblPrEx>
        <w:tc>
          <w:tcPr>
            <w:tcW w:w="2861" w:type="dxa"/>
            <w:noWrap w:val="0"/>
            <w:vAlign w:val="top"/>
          </w:tcPr>
          <w:p w14:paraId="3C426DEC">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kern w:val="0"/>
                <w:sz w:val="30"/>
                <w:szCs w:val="30"/>
              </w:rPr>
              <w:t>统一社会信用代码：</w:t>
            </w:r>
          </w:p>
        </w:tc>
        <w:tc>
          <w:tcPr>
            <w:tcW w:w="4677" w:type="dxa"/>
            <w:noWrap w:val="0"/>
            <w:vAlign w:val="top"/>
          </w:tcPr>
          <w:p w14:paraId="79D62FA5">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lang w:val="en-US" w:eastAsia="zh-CN"/>
              </w:rPr>
            </w:pPr>
          </w:p>
        </w:tc>
      </w:tr>
      <w:tr w14:paraId="597CE615">
        <w:tblPrEx>
          <w:tblCellMar>
            <w:top w:w="0" w:type="dxa"/>
            <w:left w:w="108" w:type="dxa"/>
            <w:bottom w:w="0" w:type="dxa"/>
            <w:right w:w="108" w:type="dxa"/>
          </w:tblCellMar>
        </w:tblPrEx>
        <w:trPr>
          <w:trHeight w:val="1056" w:hRule="atLeast"/>
        </w:trPr>
        <w:tc>
          <w:tcPr>
            <w:tcW w:w="2861" w:type="dxa"/>
            <w:noWrap w:val="0"/>
            <w:vAlign w:val="top"/>
          </w:tcPr>
          <w:p w14:paraId="4CEEC739">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住  所  地：</w:t>
            </w:r>
          </w:p>
        </w:tc>
        <w:tc>
          <w:tcPr>
            <w:tcW w:w="4677" w:type="dxa"/>
            <w:noWrap w:val="0"/>
            <w:vAlign w:val="top"/>
          </w:tcPr>
          <w:p w14:paraId="671062AB">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p>
        </w:tc>
      </w:tr>
      <w:tr w14:paraId="5A731BAB">
        <w:tblPrEx>
          <w:tblCellMar>
            <w:top w:w="0" w:type="dxa"/>
            <w:left w:w="108" w:type="dxa"/>
            <w:bottom w:w="0" w:type="dxa"/>
            <w:right w:w="108" w:type="dxa"/>
          </w:tblCellMar>
        </w:tblPrEx>
        <w:tc>
          <w:tcPr>
            <w:tcW w:w="2861" w:type="dxa"/>
            <w:noWrap w:val="0"/>
            <w:vAlign w:val="top"/>
          </w:tcPr>
          <w:p w14:paraId="3B0533A3">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法定代表人：</w:t>
            </w:r>
          </w:p>
        </w:tc>
        <w:tc>
          <w:tcPr>
            <w:tcW w:w="4677" w:type="dxa"/>
            <w:noWrap w:val="0"/>
            <w:vAlign w:val="top"/>
          </w:tcPr>
          <w:p w14:paraId="6F285A74">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lang w:val="en-US" w:eastAsia="zh-CN"/>
              </w:rPr>
            </w:pPr>
          </w:p>
        </w:tc>
      </w:tr>
      <w:tr w14:paraId="4C7A55DB">
        <w:tblPrEx>
          <w:tblCellMar>
            <w:top w:w="0" w:type="dxa"/>
            <w:left w:w="108" w:type="dxa"/>
            <w:bottom w:w="0" w:type="dxa"/>
            <w:right w:w="108" w:type="dxa"/>
          </w:tblCellMar>
        </w:tblPrEx>
        <w:tc>
          <w:tcPr>
            <w:tcW w:w="2861" w:type="dxa"/>
            <w:noWrap w:val="0"/>
            <w:vAlign w:val="top"/>
          </w:tcPr>
          <w:p w14:paraId="01FAF880">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项目联系人：</w:t>
            </w:r>
          </w:p>
        </w:tc>
        <w:tc>
          <w:tcPr>
            <w:tcW w:w="4677" w:type="dxa"/>
            <w:noWrap w:val="0"/>
            <w:vAlign w:val="top"/>
          </w:tcPr>
          <w:p w14:paraId="6A822BD1">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lang w:val="en-US" w:eastAsia="zh-CN"/>
              </w:rPr>
            </w:pPr>
          </w:p>
        </w:tc>
      </w:tr>
      <w:tr w14:paraId="31EB194A">
        <w:tblPrEx>
          <w:tblCellMar>
            <w:top w:w="0" w:type="dxa"/>
            <w:left w:w="108" w:type="dxa"/>
            <w:bottom w:w="0" w:type="dxa"/>
            <w:right w:w="108" w:type="dxa"/>
          </w:tblCellMar>
        </w:tblPrEx>
        <w:tc>
          <w:tcPr>
            <w:tcW w:w="2861" w:type="dxa"/>
            <w:noWrap w:val="0"/>
            <w:vAlign w:val="top"/>
          </w:tcPr>
          <w:p w14:paraId="01E30218">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通讯地址：</w:t>
            </w:r>
          </w:p>
        </w:tc>
        <w:tc>
          <w:tcPr>
            <w:tcW w:w="4677" w:type="dxa"/>
            <w:noWrap w:val="0"/>
            <w:vAlign w:val="top"/>
          </w:tcPr>
          <w:p w14:paraId="3BA10070">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p>
        </w:tc>
      </w:tr>
      <w:tr w14:paraId="02460517">
        <w:tblPrEx>
          <w:tblCellMar>
            <w:top w:w="0" w:type="dxa"/>
            <w:left w:w="108" w:type="dxa"/>
            <w:bottom w:w="0" w:type="dxa"/>
            <w:right w:w="108" w:type="dxa"/>
          </w:tblCellMar>
        </w:tblPrEx>
        <w:tc>
          <w:tcPr>
            <w:tcW w:w="2861" w:type="dxa"/>
            <w:noWrap w:val="0"/>
            <w:vAlign w:val="top"/>
          </w:tcPr>
          <w:p w14:paraId="0E334F96">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邮政编码：</w:t>
            </w:r>
          </w:p>
        </w:tc>
        <w:tc>
          <w:tcPr>
            <w:tcW w:w="4677" w:type="dxa"/>
            <w:noWrap w:val="0"/>
            <w:vAlign w:val="top"/>
          </w:tcPr>
          <w:p w14:paraId="76A59AFD">
            <w:pPr>
              <w:pageBreakBefore w:val="0"/>
              <w:tabs>
                <w:tab w:val="left" w:pos="8100"/>
              </w:tabs>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lang w:val="en-US" w:eastAsia="zh-CN"/>
              </w:rPr>
            </w:pPr>
          </w:p>
        </w:tc>
      </w:tr>
      <w:tr w14:paraId="541D8931">
        <w:tblPrEx>
          <w:tblCellMar>
            <w:top w:w="0" w:type="dxa"/>
            <w:left w:w="108" w:type="dxa"/>
            <w:bottom w:w="0" w:type="dxa"/>
            <w:right w:w="108" w:type="dxa"/>
          </w:tblCellMar>
        </w:tblPrEx>
        <w:tc>
          <w:tcPr>
            <w:tcW w:w="2861" w:type="dxa"/>
            <w:noWrap w:val="0"/>
            <w:vAlign w:val="top"/>
          </w:tcPr>
          <w:p w14:paraId="2B38705E">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电    话：</w:t>
            </w:r>
          </w:p>
        </w:tc>
        <w:tc>
          <w:tcPr>
            <w:tcW w:w="4677" w:type="dxa"/>
            <w:noWrap w:val="0"/>
            <w:vAlign w:val="top"/>
          </w:tcPr>
          <w:p w14:paraId="77B30A70">
            <w:pPr>
              <w:pageBreakBefore w:val="0"/>
              <w:tabs>
                <w:tab w:val="left" w:pos="8100"/>
              </w:tabs>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lang w:val="en-US" w:eastAsia="zh-CN"/>
              </w:rPr>
            </w:pPr>
          </w:p>
        </w:tc>
      </w:tr>
      <w:tr w14:paraId="4E35220C">
        <w:tblPrEx>
          <w:tblCellMar>
            <w:top w:w="0" w:type="dxa"/>
            <w:left w:w="108" w:type="dxa"/>
            <w:bottom w:w="0" w:type="dxa"/>
            <w:right w:w="108" w:type="dxa"/>
          </w:tblCellMar>
        </w:tblPrEx>
        <w:tc>
          <w:tcPr>
            <w:tcW w:w="2861" w:type="dxa"/>
            <w:noWrap w:val="0"/>
            <w:vAlign w:val="top"/>
          </w:tcPr>
          <w:p w14:paraId="497E292E">
            <w:pPr>
              <w:pageBreakBefore w:val="0"/>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电子信箱：</w:t>
            </w:r>
          </w:p>
        </w:tc>
        <w:tc>
          <w:tcPr>
            <w:tcW w:w="4677" w:type="dxa"/>
            <w:noWrap w:val="0"/>
            <w:vAlign w:val="top"/>
          </w:tcPr>
          <w:p w14:paraId="72FE29E1">
            <w:pPr>
              <w:pageBreakBefore w:val="0"/>
              <w:tabs>
                <w:tab w:val="left" w:pos="8100"/>
              </w:tabs>
              <w:kinsoku/>
              <w:overflowPunct/>
              <w:bidi w:val="0"/>
              <w:spacing w:line="460" w:lineRule="exact"/>
              <w:ind w:left="0" w:leftChars="0" w:firstLine="0" w:firstLineChars="0"/>
              <w:jc w:val="left"/>
              <w:textAlignment w:val="auto"/>
              <w:rPr>
                <w:rFonts w:hint="eastAsia" w:ascii="仿宋" w:hAnsi="仿宋" w:eastAsia="仿宋" w:cs="仿宋"/>
                <w:color w:val="auto"/>
                <w:sz w:val="30"/>
                <w:szCs w:val="30"/>
                <w:u w:val="single"/>
              </w:rPr>
            </w:pPr>
          </w:p>
        </w:tc>
      </w:tr>
    </w:tbl>
    <w:p w14:paraId="5EF27D41">
      <w:pPr>
        <w:pageBreakBefore w:val="0"/>
        <w:kinsoku/>
        <w:overflowPunct/>
        <w:bidi w:val="0"/>
        <w:adjustRightInd w:val="0"/>
        <w:snapToGrid w:val="0"/>
        <w:spacing w:line="460" w:lineRule="exact"/>
        <w:ind w:firstLine="600" w:firstLineChars="200"/>
        <w:textAlignment w:val="auto"/>
        <w:rPr>
          <w:rFonts w:hint="eastAsia" w:ascii="仿宋" w:hAnsi="仿宋" w:eastAsia="仿宋" w:cs="仿宋"/>
          <w:color w:val="auto"/>
          <w:sz w:val="30"/>
          <w:szCs w:val="30"/>
        </w:rPr>
      </w:pPr>
    </w:p>
    <w:p w14:paraId="04D0AA5D">
      <w:pPr>
        <w:pageBreakBefore w:val="0"/>
        <w:kinsoku/>
        <w:overflowPunct/>
        <w:bidi w:val="0"/>
        <w:adjustRightInd w:val="0"/>
        <w:snapToGrid w:val="0"/>
        <w:spacing w:line="46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本合同甲方委托乙方就</w:t>
      </w:r>
      <w:r>
        <w:rPr>
          <w:rFonts w:hint="eastAsia" w:ascii="仿宋" w:hAnsi="仿宋" w:eastAsia="仿宋" w:cs="仿宋"/>
          <w:b/>
          <w:bCs/>
          <w:color w:val="auto"/>
          <w:sz w:val="30"/>
          <w:szCs w:val="30"/>
          <w:u w:val="single"/>
          <w:lang w:val="en-US" w:eastAsia="zh-CN"/>
        </w:rPr>
        <w:t>2台DR、1台C臂机、1台乳腺钼靶机放射卫生检测与评价及环境影响评价项目</w:t>
      </w:r>
      <w:r>
        <w:rPr>
          <w:rFonts w:hint="eastAsia" w:ascii="仿宋" w:hAnsi="仿宋" w:eastAsia="仿宋" w:cs="仿宋"/>
          <w:color w:val="auto"/>
          <w:sz w:val="30"/>
          <w:szCs w:val="30"/>
          <w:u w:val="single"/>
        </w:rPr>
        <w:t xml:space="preserve"> </w:t>
      </w:r>
      <w:r>
        <w:rPr>
          <w:rFonts w:hint="eastAsia" w:ascii="仿宋" w:hAnsi="仿宋" w:eastAsia="仿宋" w:cs="仿宋"/>
          <w:color w:val="auto"/>
          <w:spacing w:val="-4"/>
          <w:sz w:val="30"/>
          <w:szCs w:val="30"/>
        </w:rPr>
        <w:t>进行技术服务，并支付服务报酬。双方</w:t>
      </w:r>
      <w:r>
        <w:rPr>
          <w:rFonts w:hint="eastAsia" w:ascii="仿宋" w:hAnsi="仿宋" w:eastAsia="仿宋" w:cs="仿宋"/>
          <w:color w:val="auto"/>
          <w:sz w:val="30"/>
          <w:szCs w:val="30"/>
        </w:rPr>
        <w:t>经过平等协商，在真实、充分地表达各自意愿的基础上，根据《中华人民共和国民法典》《中华人民共和国职业病防治法》的规定，达成如下协议，并由双方共同恪守。</w:t>
      </w:r>
    </w:p>
    <w:p w14:paraId="1727E7BD">
      <w:pPr>
        <w:pageBreakBefore w:val="0"/>
        <w:numPr>
          <w:ilvl w:val="0"/>
          <w:numId w:val="4"/>
        </w:numPr>
        <w:kinsoku/>
        <w:overflowPunct/>
        <w:bidi w:val="0"/>
        <w:spacing w:line="460" w:lineRule="exact"/>
        <w:ind w:firstLine="555"/>
        <w:textAlignment w:val="auto"/>
        <w:rPr>
          <w:rFonts w:hint="eastAsia" w:ascii="仿宋" w:hAnsi="仿宋" w:eastAsia="仿宋" w:cs="仿宋"/>
          <w:b/>
          <w:bCs/>
          <w:color w:val="auto"/>
          <w:sz w:val="30"/>
          <w:szCs w:val="30"/>
        </w:rPr>
      </w:pPr>
      <w:r>
        <w:rPr>
          <w:rFonts w:hint="eastAsia" w:ascii="仿宋" w:hAnsi="仿宋" w:eastAsia="仿宋" w:cs="仿宋"/>
          <w:b/>
          <w:bCs/>
          <w:color w:val="auto"/>
          <w:sz w:val="30"/>
          <w:szCs w:val="30"/>
          <w:lang w:val="en-US" w:eastAsia="zh-CN"/>
        </w:rPr>
        <w:t>服务内容、要求、方式</w:t>
      </w:r>
    </w:p>
    <w:p w14:paraId="25145765">
      <w:pPr>
        <w:pageBreakBefore w:val="0"/>
        <w:numPr>
          <w:ilvl w:val="0"/>
          <w:numId w:val="0"/>
        </w:numPr>
        <w:kinsoku/>
        <w:overflowPunct/>
        <w:bidi w:val="0"/>
        <w:spacing w:line="46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1.1</w:t>
      </w:r>
      <w:r>
        <w:rPr>
          <w:rFonts w:hint="eastAsia" w:ascii="仿宋" w:hAnsi="仿宋" w:eastAsia="仿宋" w:cs="仿宋"/>
          <w:color w:val="auto"/>
          <w:sz w:val="30"/>
          <w:szCs w:val="30"/>
        </w:rPr>
        <w:t xml:space="preserve"> </w:t>
      </w:r>
      <w:r>
        <w:rPr>
          <w:rFonts w:hint="eastAsia" w:ascii="仿宋" w:hAnsi="仿宋" w:eastAsia="仿宋" w:cs="仿宋"/>
          <w:color w:val="auto"/>
          <w:sz w:val="30"/>
          <w:szCs w:val="30"/>
          <w:lang w:val="en-US" w:eastAsia="zh-CN"/>
        </w:rPr>
        <w:t>甲方需服务的</w:t>
      </w:r>
      <w:r>
        <w:rPr>
          <w:rFonts w:hint="eastAsia" w:ascii="仿宋" w:hAnsi="仿宋" w:eastAsia="仿宋" w:cs="仿宋"/>
          <w:color w:val="auto"/>
          <w:sz w:val="30"/>
          <w:szCs w:val="30"/>
        </w:rPr>
        <w:t>放射诊疗设备类型及数量见下表：</w:t>
      </w:r>
    </w:p>
    <w:tbl>
      <w:tblPr>
        <w:tblStyle w:val="15"/>
        <w:tblpPr w:leftFromText="180" w:rightFromText="180" w:vertAnchor="text" w:horzAnchor="page" w:tblpX="1190" w:tblpY="164"/>
        <w:tblOverlap w:val="never"/>
        <w:tblW w:w="94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1014"/>
        <w:gridCol w:w="5996"/>
      </w:tblGrid>
      <w:tr w14:paraId="1967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2418" w:type="dxa"/>
            <w:noWrap w:val="0"/>
            <w:vAlign w:val="center"/>
          </w:tcPr>
          <w:p w14:paraId="12451BD8">
            <w:pPr>
              <w:pageBreakBefore w:val="0"/>
              <w:kinsoku/>
              <w:overflowPunct/>
              <w:bidi w:val="0"/>
              <w:spacing w:line="460" w:lineRule="exact"/>
              <w:jc w:val="center"/>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设备/场所类别</w:t>
            </w:r>
          </w:p>
        </w:tc>
        <w:tc>
          <w:tcPr>
            <w:tcW w:w="1014" w:type="dxa"/>
            <w:noWrap w:val="0"/>
            <w:vAlign w:val="center"/>
          </w:tcPr>
          <w:p w14:paraId="7A80C95B">
            <w:pPr>
              <w:pageBreakBefore w:val="0"/>
              <w:kinsoku/>
              <w:overflowPunct/>
              <w:bidi w:val="0"/>
              <w:spacing w:line="460" w:lineRule="exact"/>
              <w:jc w:val="center"/>
              <w:textAlignment w:val="auto"/>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数量（台）</w:t>
            </w:r>
          </w:p>
        </w:tc>
        <w:tc>
          <w:tcPr>
            <w:tcW w:w="5996" w:type="dxa"/>
            <w:noWrap w:val="0"/>
            <w:vAlign w:val="center"/>
          </w:tcPr>
          <w:p w14:paraId="2F31BDF4">
            <w:pPr>
              <w:pageBreakBefore w:val="0"/>
              <w:kinsoku/>
              <w:overflowPunct/>
              <w:bidi w:val="0"/>
              <w:spacing w:line="460" w:lineRule="exact"/>
              <w:jc w:val="center"/>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服务</w:t>
            </w:r>
            <w:r>
              <w:rPr>
                <w:rFonts w:hint="eastAsia" w:ascii="仿宋" w:hAnsi="仿宋" w:eastAsia="仿宋" w:cs="仿宋"/>
                <w:b/>
                <w:bCs/>
                <w:color w:val="auto"/>
                <w:sz w:val="30"/>
                <w:szCs w:val="30"/>
                <w:highlight w:val="none"/>
              </w:rPr>
              <w:t>内容</w:t>
            </w:r>
          </w:p>
        </w:tc>
      </w:tr>
      <w:tr w14:paraId="5FF4D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18" w:type="dxa"/>
            <w:noWrap w:val="0"/>
            <w:vAlign w:val="center"/>
          </w:tcPr>
          <w:p w14:paraId="3AA06D1D">
            <w:pPr>
              <w:pageBreakBefore w:val="0"/>
              <w:kinsoku/>
              <w:overflowPunct/>
              <w:bidi w:val="0"/>
              <w:spacing w:line="460" w:lineRule="exact"/>
              <w:jc w:val="center"/>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sz w:val="30"/>
                <w:szCs w:val="30"/>
                <w:lang w:val="en-US" w:eastAsia="zh-CN"/>
              </w:rPr>
              <w:t>DR</w:t>
            </w:r>
          </w:p>
        </w:tc>
        <w:tc>
          <w:tcPr>
            <w:tcW w:w="1014" w:type="dxa"/>
            <w:noWrap w:val="0"/>
            <w:vAlign w:val="center"/>
          </w:tcPr>
          <w:p w14:paraId="453A170A">
            <w:pPr>
              <w:pageBreakBefore w:val="0"/>
              <w:kinsoku/>
              <w:overflowPunct/>
              <w:bidi w:val="0"/>
              <w:spacing w:line="460" w:lineRule="exact"/>
              <w:jc w:val="center"/>
              <w:textAlignment w:val="auto"/>
              <w:rPr>
                <w:rFonts w:hint="eastAsia" w:ascii="仿宋" w:hAnsi="仿宋" w:eastAsia="仿宋" w:cs="仿宋"/>
                <w:color w:val="auto"/>
                <w:kern w:val="2"/>
                <w:sz w:val="30"/>
                <w:szCs w:val="30"/>
                <w:highlight w:val="yellow"/>
                <w:lang w:val="en-US" w:eastAsia="zh-CN" w:bidi="ar-SA"/>
              </w:rPr>
            </w:pPr>
            <w:r>
              <w:rPr>
                <w:rFonts w:hint="eastAsia" w:ascii="仿宋" w:hAnsi="仿宋" w:eastAsia="仿宋" w:cs="仿宋"/>
                <w:color w:val="auto"/>
                <w:kern w:val="2"/>
                <w:sz w:val="30"/>
                <w:szCs w:val="30"/>
                <w:highlight w:val="none"/>
                <w:lang w:val="en-US" w:eastAsia="zh-CN" w:bidi="ar-SA"/>
              </w:rPr>
              <w:t>2</w:t>
            </w:r>
          </w:p>
        </w:tc>
        <w:tc>
          <w:tcPr>
            <w:tcW w:w="5996" w:type="dxa"/>
            <w:noWrap w:val="0"/>
            <w:vAlign w:val="center"/>
          </w:tcPr>
          <w:p w14:paraId="2337635D">
            <w:pPr>
              <w:pageBreakBefore w:val="0"/>
              <w:kinsoku/>
              <w:overflowPunct/>
              <w:bidi w:val="0"/>
              <w:spacing w:line="46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预评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控评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环评登记表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办两证 </w:t>
            </w:r>
            <w:r>
              <w:rPr>
                <w:rFonts w:hint="eastAsia" w:ascii="仿宋" w:hAnsi="仿宋" w:eastAsia="仿宋" w:cs="仿宋"/>
                <w:color w:val="auto"/>
                <w:sz w:val="24"/>
                <w:szCs w:val="24"/>
                <w:highlight w:val="none"/>
                <w:lang w:eastAsia="zh-CN"/>
              </w:rPr>
              <w:t>☑</w:t>
            </w:r>
          </w:p>
        </w:tc>
      </w:tr>
      <w:tr w14:paraId="463E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18" w:type="dxa"/>
            <w:noWrap w:val="0"/>
            <w:vAlign w:val="center"/>
          </w:tcPr>
          <w:p w14:paraId="06FC8FA2">
            <w:pPr>
              <w:pageBreakBefore w:val="0"/>
              <w:kinsoku/>
              <w:overflowPunct/>
              <w:bidi w:val="0"/>
              <w:spacing w:line="460" w:lineRule="exact"/>
              <w:jc w:val="center"/>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sz w:val="30"/>
                <w:szCs w:val="30"/>
                <w:lang w:val="en-US" w:eastAsia="zh-CN"/>
              </w:rPr>
              <w:t>C形臂</w:t>
            </w:r>
          </w:p>
        </w:tc>
        <w:tc>
          <w:tcPr>
            <w:tcW w:w="1014" w:type="dxa"/>
            <w:noWrap w:val="0"/>
            <w:vAlign w:val="center"/>
          </w:tcPr>
          <w:p w14:paraId="12BFAC12">
            <w:pPr>
              <w:pageBreakBefore w:val="0"/>
              <w:kinsoku/>
              <w:overflowPunct/>
              <w:bidi w:val="0"/>
              <w:spacing w:line="460" w:lineRule="exact"/>
              <w:jc w:val="center"/>
              <w:textAlignment w:val="auto"/>
              <w:rPr>
                <w:rFonts w:hint="eastAsia" w:ascii="仿宋" w:hAnsi="仿宋" w:eastAsia="仿宋" w:cs="仿宋"/>
                <w:color w:val="auto"/>
                <w:kern w:val="2"/>
                <w:sz w:val="30"/>
                <w:szCs w:val="30"/>
                <w:highlight w:val="yellow"/>
                <w:lang w:val="en-US" w:eastAsia="zh-CN" w:bidi="ar-SA"/>
              </w:rPr>
            </w:pPr>
            <w:r>
              <w:rPr>
                <w:rFonts w:hint="eastAsia" w:ascii="仿宋" w:hAnsi="仿宋" w:eastAsia="仿宋" w:cs="仿宋"/>
                <w:color w:val="auto"/>
                <w:kern w:val="2"/>
                <w:sz w:val="30"/>
                <w:szCs w:val="30"/>
                <w:highlight w:val="none"/>
                <w:lang w:val="en-US" w:eastAsia="zh-CN" w:bidi="ar-SA"/>
              </w:rPr>
              <w:t>1</w:t>
            </w:r>
          </w:p>
        </w:tc>
        <w:tc>
          <w:tcPr>
            <w:tcW w:w="5996" w:type="dxa"/>
            <w:noWrap w:val="0"/>
            <w:vAlign w:val="center"/>
          </w:tcPr>
          <w:p w14:paraId="640027E4">
            <w:pPr>
              <w:pageBreakBefore w:val="0"/>
              <w:kinsoku/>
              <w:overflowPunct/>
              <w:bidi w:val="0"/>
              <w:spacing w:line="46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预评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控评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环评登记表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办两证  </w:t>
            </w:r>
            <w:r>
              <w:rPr>
                <w:rFonts w:hint="eastAsia" w:ascii="仿宋" w:hAnsi="仿宋" w:eastAsia="仿宋" w:cs="仿宋"/>
                <w:color w:val="auto"/>
                <w:sz w:val="24"/>
                <w:szCs w:val="24"/>
                <w:highlight w:val="none"/>
                <w:lang w:eastAsia="zh-CN"/>
              </w:rPr>
              <w:t>☑</w:t>
            </w:r>
          </w:p>
        </w:tc>
      </w:tr>
      <w:tr w14:paraId="6EC5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18" w:type="dxa"/>
            <w:noWrap w:val="0"/>
            <w:vAlign w:val="center"/>
          </w:tcPr>
          <w:p w14:paraId="412BF425">
            <w:pPr>
              <w:pageBreakBefore w:val="0"/>
              <w:kinsoku/>
              <w:overflowPunct/>
              <w:bidi w:val="0"/>
              <w:spacing w:line="460" w:lineRule="exact"/>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乳腺钼靶</w:t>
            </w:r>
          </w:p>
        </w:tc>
        <w:tc>
          <w:tcPr>
            <w:tcW w:w="1014" w:type="dxa"/>
            <w:noWrap w:val="0"/>
            <w:vAlign w:val="center"/>
          </w:tcPr>
          <w:p w14:paraId="737184FC">
            <w:pPr>
              <w:pageBreakBefore w:val="0"/>
              <w:kinsoku/>
              <w:overflowPunct/>
              <w:bidi w:val="0"/>
              <w:spacing w:line="460" w:lineRule="exact"/>
              <w:jc w:val="center"/>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1</w:t>
            </w:r>
          </w:p>
        </w:tc>
        <w:tc>
          <w:tcPr>
            <w:tcW w:w="5996" w:type="dxa"/>
            <w:noWrap w:val="0"/>
            <w:vAlign w:val="center"/>
          </w:tcPr>
          <w:p w14:paraId="75912A8B">
            <w:pPr>
              <w:pageBreakBefore w:val="0"/>
              <w:kinsoku/>
              <w:overflowPunct/>
              <w:bidi w:val="0"/>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控评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环评登记表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办两证  </w:t>
            </w:r>
            <w:r>
              <w:rPr>
                <w:rFonts w:hint="eastAsia" w:ascii="仿宋" w:hAnsi="仿宋" w:eastAsia="仿宋" w:cs="仿宋"/>
                <w:color w:val="auto"/>
                <w:sz w:val="24"/>
                <w:szCs w:val="24"/>
                <w:highlight w:val="none"/>
                <w:lang w:eastAsia="zh-CN"/>
              </w:rPr>
              <w:t>☑</w:t>
            </w:r>
          </w:p>
        </w:tc>
      </w:tr>
    </w:tbl>
    <w:p w14:paraId="0064471E">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lang w:val="en-US" w:eastAsia="zh-CN"/>
        </w:rPr>
        <w:t>1.2</w:t>
      </w:r>
      <w:r>
        <w:rPr>
          <w:rFonts w:hint="eastAsia" w:ascii="仿宋" w:hAnsi="仿宋" w:eastAsia="仿宋" w:cs="仿宋"/>
          <w:color w:val="auto"/>
          <w:sz w:val="30"/>
          <w:szCs w:val="30"/>
        </w:rPr>
        <w:t>服务内容：</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对合同内的4台设备进行放射卫生预控评、环境影响评价及办理《放射诊疗许可证》《辐射安全许可证》增项的服务</w:t>
      </w:r>
      <w:r>
        <w:rPr>
          <w:rFonts w:hint="eastAsia" w:ascii="仿宋" w:hAnsi="仿宋" w:eastAsia="仿宋" w:cs="仿宋"/>
          <w:color w:val="auto"/>
          <w:sz w:val="30"/>
          <w:szCs w:val="30"/>
          <w:u w:val="single"/>
        </w:rPr>
        <w:t>。</w:t>
      </w:r>
    </w:p>
    <w:p w14:paraId="74EEC2BF">
      <w:pPr>
        <w:keepNext w:val="0"/>
        <w:keepLines w:val="0"/>
        <w:pageBreakBefore w:val="0"/>
        <w:widowControl w:val="0"/>
        <w:numPr>
          <w:ilvl w:val="0"/>
          <w:numId w:val="0"/>
        </w:numPr>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1.3本合同内的4台设备的放射诊疗许可证和辐射安全许可证的办理完成为即为合同服务完成，合同内的费用不再增加。</w:t>
      </w:r>
    </w:p>
    <w:p w14:paraId="4FEE0D95">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1.4 </w:t>
      </w:r>
      <w:r>
        <w:rPr>
          <w:rFonts w:hint="eastAsia" w:ascii="仿宋" w:hAnsi="仿宋" w:eastAsia="仿宋" w:cs="仿宋"/>
          <w:color w:val="auto"/>
          <w:sz w:val="30"/>
          <w:szCs w:val="30"/>
        </w:rPr>
        <w:t>服务方式：</w:t>
      </w:r>
      <w:r>
        <w:rPr>
          <w:rFonts w:hint="eastAsia" w:ascii="仿宋" w:hAnsi="仿宋" w:eastAsia="仿宋" w:cs="仿宋"/>
          <w:color w:val="auto"/>
          <w:sz w:val="30"/>
          <w:szCs w:val="30"/>
          <w:u w:val="single"/>
        </w:rPr>
        <w:t xml:space="preserve"> 在甲方通知规定时间内前往甲方指定地点进行</w:t>
      </w:r>
      <w:r>
        <w:rPr>
          <w:rFonts w:hint="eastAsia" w:ascii="仿宋" w:hAnsi="仿宋" w:eastAsia="仿宋" w:cs="仿宋"/>
          <w:color w:val="auto"/>
          <w:sz w:val="30"/>
          <w:szCs w:val="30"/>
          <w:u w:val="single"/>
          <w:lang w:val="en-US" w:eastAsia="zh-CN"/>
        </w:rPr>
        <w:t>放射诊疗预评和控评</w:t>
      </w:r>
      <w:r>
        <w:rPr>
          <w:rFonts w:hint="eastAsia" w:ascii="仿宋" w:hAnsi="仿宋" w:eastAsia="仿宋" w:cs="仿宋"/>
          <w:color w:val="auto"/>
          <w:sz w:val="30"/>
          <w:szCs w:val="30"/>
          <w:u w:val="single"/>
          <w:lang w:eastAsia="zh-CN"/>
        </w:rPr>
        <w:t>、</w:t>
      </w:r>
      <w:r>
        <w:rPr>
          <w:rFonts w:hint="eastAsia" w:ascii="仿宋" w:hAnsi="仿宋" w:eastAsia="仿宋" w:cs="仿宋"/>
          <w:color w:val="auto"/>
          <w:sz w:val="30"/>
          <w:szCs w:val="30"/>
          <w:u w:val="single"/>
          <w:lang w:val="en-US" w:eastAsia="zh-CN"/>
        </w:rPr>
        <w:t>环境影响评价、备案及两个证增项服务。</w:t>
      </w:r>
    </w:p>
    <w:p w14:paraId="072D3979">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二</w:t>
      </w:r>
      <w:r>
        <w:rPr>
          <w:rFonts w:hint="eastAsia" w:ascii="仿宋" w:hAnsi="仿宋" w:eastAsia="仿宋" w:cs="仿宋"/>
          <w:b/>
          <w:bCs/>
          <w:color w:val="auto"/>
          <w:sz w:val="30"/>
          <w:szCs w:val="30"/>
        </w:rPr>
        <w:t>条</w:t>
      </w:r>
      <w:r>
        <w:rPr>
          <w:rFonts w:hint="eastAsia" w:ascii="仿宋" w:hAnsi="仿宋" w:eastAsia="仿宋" w:cs="仿宋"/>
          <w:color w:val="auto"/>
          <w:sz w:val="30"/>
          <w:szCs w:val="30"/>
        </w:rPr>
        <w:t xml:space="preserve"> </w:t>
      </w:r>
      <w:r>
        <w:rPr>
          <w:rFonts w:hint="eastAsia" w:ascii="仿宋" w:hAnsi="仿宋" w:eastAsia="仿宋" w:cs="仿宋"/>
          <w:b/>
          <w:bCs/>
          <w:color w:val="auto"/>
          <w:sz w:val="30"/>
          <w:szCs w:val="30"/>
          <w:lang w:val="en-US" w:eastAsia="zh-CN"/>
        </w:rPr>
        <w:t>服务期限</w:t>
      </w:r>
    </w:p>
    <w:p w14:paraId="5D6E953B">
      <w:pPr>
        <w:keepNext w:val="0"/>
        <w:keepLines w:val="0"/>
        <w:pageBreakBefore w:val="0"/>
        <w:widowControl w:val="0"/>
        <w:kinsoku/>
        <w:wordWrap w:val="0"/>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lang w:val="en-US" w:eastAsia="zh-CN"/>
        </w:rPr>
        <w:t>服务期限为40日，自乙方收到甲方通知之日起开始计算，乙方应在前述期限内</w:t>
      </w:r>
      <w:r>
        <w:rPr>
          <w:rFonts w:hint="eastAsia" w:ascii="仿宋" w:hAnsi="仿宋" w:eastAsia="仿宋" w:cs="仿宋"/>
          <w:color w:val="auto"/>
          <w:sz w:val="30"/>
          <w:szCs w:val="30"/>
          <w:u w:val="single"/>
        </w:rPr>
        <w:t>按国家有关法律法规</w:t>
      </w:r>
      <w:r>
        <w:rPr>
          <w:rFonts w:hint="eastAsia" w:ascii="仿宋" w:hAnsi="仿宋" w:eastAsia="仿宋" w:cs="仿宋"/>
          <w:color w:val="auto"/>
          <w:sz w:val="30"/>
          <w:szCs w:val="30"/>
          <w:u w:val="single"/>
          <w:lang w:val="en-US" w:eastAsia="zh-CN"/>
        </w:rPr>
        <w:t>规定的</w:t>
      </w:r>
      <w:r>
        <w:rPr>
          <w:rFonts w:hint="eastAsia" w:ascii="仿宋" w:hAnsi="仿宋" w:eastAsia="仿宋" w:cs="仿宋"/>
          <w:color w:val="auto"/>
          <w:sz w:val="30"/>
          <w:szCs w:val="30"/>
          <w:u w:val="single"/>
        </w:rPr>
        <w:t>放射防护监测标准开展</w:t>
      </w:r>
      <w:r>
        <w:rPr>
          <w:rFonts w:hint="eastAsia" w:ascii="仿宋" w:hAnsi="仿宋" w:eastAsia="仿宋" w:cs="仿宋"/>
          <w:color w:val="auto"/>
          <w:sz w:val="30"/>
          <w:szCs w:val="30"/>
          <w:u w:val="single"/>
          <w:lang w:val="en-US" w:eastAsia="zh-CN"/>
        </w:rPr>
        <w:t>工</w:t>
      </w:r>
      <w:r>
        <w:rPr>
          <w:rFonts w:hint="eastAsia" w:ascii="仿宋" w:hAnsi="仿宋" w:eastAsia="仿宋" w:cs="仿宋"/>
          <w:color w:val="auto"/>
          <w:sz w:val="30"/>
          <w:szCs w:val="30"/>
          <w:u w:val="single"/>
        </w:rPr>
        <w:t>作</w:t>
      </w:r>
      <w:r>
        <w:rPr>
          <w:rFonts w:hint="eastAsia" w:ascii="仿宋" w:hAnsi="仿宋" w:eastAsia="仿宋" w:cs="仿宋"/>
          <w:color w:val="auto"/>
          <w:sz w:val="30"/>
          <w:szCs w:val="30"/>
          <w:u w:val="none"/>
          <w:lang w:val="en-US" w:eastAsia="zh-CN"/>
        </w:rPr>
        <w:t>完成4台</w:t>
      </w:r>
      <w:r>
        <w:rPr>
          <w:rFonts w:hint="eastAsia" w:ascii="仿宋" w:hAnsi="仿宋" w:eastAsia="仿宋" w:cs="仿宋"/>
          <w:color w:val="auto"/>
          <w:sz w:val="30"/>
          <w:szCs w:val="30"/>
          <w:lang w:val="en-US" w:eastAsia="zh-CN"/>
        </w:rPr>
        <w:t>放射诊疗设备</w:t>
      </w:r>
      <w:r>
        <w:rPr>
          <w:rFonts w:hint="eastAsia" w:ascii="仿宋" w:hAnsi="仿宋" w:eastAsia="仿宋" w:cs="仿宋"/>
          <w:color w:val="auto"/>
          <w:sz w:val="30"/>
          <w:szCs w:val="30"/>
          <w:u w:val="single"/>
          <w:lang w:val="en-US" w:eastAsia="zh-CN"/>
        </w:rPr>
        <w:t>环评、预评报告编制及评审批复，所有评价项目取得</w:t>
      </w:r>
      <w:r>
        <w:rPr>
          <w:rFonts w:hint="eastAsia" w:ascii="仿宋" w:hAnsi="仿宋" w:eastAsia="仿宋" w:cs="仿宋"/>
          <w:color w:val="auto"/>
          <w:sz w:val="30"/>
          <w:szCs w:val="30"/>
          <w:u w:val="single"/>
        </w:rPr>
        <w:t>《放射诊疗许可证》《辐射安全许可证》</w:t>
      </w:r>
      <w:r>
        <w:rPr>
          <w:rFonts w:hint="eastAsia" w:ascii="仿宋" w:hAnsi="仿宋" w:eastAsia="仿宋" w:cs="仿宋"/>
          <w:color w:val="auto"/>
          <w:sz w:val="30"/>
          <w:szCs w:val="30"/>
          <w:u w:val="single"/>
          <w:lang w:val="en-US" w:eastAsia="zh-CN"/>
        </w:rPr>
        <w:t>及批复文件并交付甲方。</w:t>
      </w:r>
    </w:p>
    <w:p w14:paraId="6A4B341B">
      <w:pPr>
        <w:keepNext w:val="0"/>
        <w:keepLines w:val="0"/>
        <w:pageBreakBefore w:val="0"/>
        <w:widowControl w:val="0"/>
        <w:kinsoku/>
        <w:overflowPunct/>
        <w:topLinePunct/>
        <w:autoSpaceDE/>
        <w:autoSpaceDN/>
        <w:bidi w:val="0"/>
        <w:adjustRightInd/>
        <w:snapToGrid/>
        <w:spacing w:line="480" w:lineRule="exact"/>
        <w:ind w:left="0"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三</w:t>
      </w:r>
      <w:r>
        <w:rPr>
          <w:rFonts w:hint="eastAsia" w:ascii="仿宋" w:hAnsi="仿宋" w:eastAsia="仿宋" w:cs="仿宋"/>
          <w:b/>
          <w:bCs/>
          <w:color w:val="auto"/>
          <w:sz w:val="30"/>
          <w:szCs w:val="30"/>
        </w:rPr>
        <w:t>条</w:t>
      </w:r>
      <w:r>
        <w:rPr>
          <w:rFonts w:hint="eastAsia" w:ascii="仿宋" w:hAnsi="仿宋" w:eastAsia="仿宋" w:cs="仿宋"/>
          <w:color w:val="auto"/>
          <w:sz w:val="30"/>
          <w:szCs w:val="30"/>
        </w:rPr>
        <w:t xml:space="preserve"> 乙方应当按照</w:t>
      </w:r>
      <w:r>
        <w:rPr>
          <w:rFonts w:hint="eastAsia" w:ascii="仿宋" w:hAnsi="仿宋" w:eastAsia="仿宋" w:cs="仿宋"/>
          <w:color w:val="auto"/>
          <w:sz w:val="30"/>
          <w:szCs w:val="30"/>
          <w:lang w:val="en-US" w:eastAsia="zh-CN"/>
        </w:rPr>
        <w:t>工作</w:t>
      </w:r>
      <w:r>
        <w:rPr>
          <w:rFonts w:hint="eastAsia" w:ascii="仿宋" w:hAnsi="仿宋" w:eastAsia="仿宋" w:cs="仿宋"/>
          <w:color w:val="auto"/>
          <w:sz w:val="30"/>
          <w:szCs w:val="30"/>
        </w:rPr>
        <w:t>进度要求进行本合同项目的技术服务工作：</w:t>
      </w:r>
      <w:r>
        <w:rPr>
          <w:rFonts w:hint="eastAsia" w:ascii="仿宋" w:hAnsi="仿宋" w:eastAsia="仿宋" w:cs="仿宋"/>
          <w:color w:val="auto"/>
          <w:sz w:val="30"/>
          <w:szCs w:val="30"/>
          <w:u w:val="none"/>
        </w:rPr>
        <w:t xml:space="preserve"> 接受委托，对甲方确定的放射诊疗设备和放射工作场所</w:t>
      </w:r>
      <w:r>
        <w:rPr>
          <w:rFonts w:hint="eastAsia" w:ascii="仿宋" w:hAnsi="仿宋" w:eastAsia="仿宋" w:cs="仿宋"/>
          <w:color w:val="auto"/>
          <w:sz w:val="30"/>
          <w:szCs w:val="30"/>
          <w:u w:val="none"/>
          <w:lang w:val="en-US" w:eastAsia="zh-CN"/>
        </w:rPr>
        <w:t>按照法律法规要求开展评价工作</w:t>
      </w:r>
      <w:r>
        <w:rPr>
          <w:rFonts w:hint="eastAsia" w:ascii="仿宋" w:hAnsi="仿宋" w:eastAsia="仿宋" w:cs="仿宋"/>
          <w:color w:val="auto"/>
          <w:sz w:val="30"/>
          <w:szCs w:val="30"/>
          <w:u w:val="none"/>
        </w:rPr>
        <w:t>。</w:t>
      </w:r>
    </w:p>
    <w:p w14:paraId="1A5ACD10">
      <w:pPr>
        <w:keepNext w:val="0"/>
        <w:keepLines w:val="0"/>
        <w:pageBreakBefore w:val="0"/>
        <w:widowControl w:val="0"/>
        <w:kinsoku/>
        <w:overflowPunct/>
        <w:topLinePunct/>
        <w:autoSpaceDE/>
        <w:autoSpaceDN/>
        <w:bidi w:val="0"/>
        <w:adjustRightInd/>
        <w:snapToGrid/>
        <w:spacing w:line="480" w:lineRule="exact"/>
        <w:ind w:left="0"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第四条</w:t>
      </w:r>
      <w:r>
        <w:rPr>
          <w:rFonts w:hint="eastAsia" w:ascii="仿宋" w:hAnsi="仿宋" w:eastAsia="仿宋" w:cs="仿宋"/>
          <w:color w:val="auto"/>
          <w:sz w:val="30"/>
          <w:szCs w:val="30"/>
        </w:rPr>
        <w:t xml:space="preserve"> 为保证乙方有效进行技术服务工作，甲方应当向乙方提供下列协作事项：</w:t>
      </w:r>
    </w:p>
    <w:p w14:paraId="1DD0BA01">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4.1提供技术资料：</w:t>
      </w:r>
    </w:p>
    <w:p w14:paraId="6AE6B778">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bCs/>
          <w:color w:val="auto"/>
          <w:sz w:val="30"/>
          <w:szCs w:val="30"/>
          <w:u w:val="single"/>
        </w:rPr>
      </w:pPr>
      <w:r>
        <w:rPr>
          <w:rFonts w:hint="eastAsia" w:ascii="仿宋" w:hAnsi="仿宋" w:eastAsia="仿宋" w:cs="仿宋"/>
          <w:bCs/>
          <w:color w:val="auto"/>
          <w:sz w:val="30"/>
          <w:szCs w:val="30"/>
        </w:rPr>
        <w:t xml:space="preserve">4.1.1 </w:t>
      </w:r>
      <w:r>
        <w:rPr>
          <w:rFonts w:hint="eastAsia" w:ascii="仿宋" w:hAnsi="仿宋" w:eastAsia="仿宋" w:cs="仿宋"/>
          <w:bCs/>
          <w:color w:val="auto"/>
          <w:sz w:val="30"/>
          <w:szCs w:val="30"/>
          <w:u w:val="single"/>
        </w:rPr>
        <w:t xml:space="preserve">放射诊疗设备信息、技术资料和放射工作场所所在位置 </w:t>
      </w:r>
      <w:r>
        <w:rPr>
          <w:rFonts w:hint="eastAsia" w:ascii="仿宋" w:hAnsi="仿宋" w:eastAsia="仿宋" w:cs="仿宋"/>
          <w:bCs/>
          <w:color w:val="auto"/>
          <w:sz w:val="30"/>
          <w:szCs w:val="30"/>
        </w:rPr>
        <w:t>；</w:t>
      </w:r>
    </w:p>
    <w:p w14:paraId="39103326">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4.1.2</w:t>
      </w:r>
      <w:r>
        <w:rPr>
          <w:rFonts w:hint="eastAsia" w:ascii="仿宋" w:hAnsi="仿宋" w:eastAsia="仿宋" w:cs="仿宋"/>
          <w:color w:val="auto"/>
          <w:sz w:val="30"/>
          <w:szCs w:val="30"/>
          <w:u w:val="single"/>
        </w:rPr>
        <w:t xml:space="preserve"> 社会统一信用</w:t>
      </w:r>
      <w:r>
        <w:rPr>
          <w:rFonts w:hint="eastAsia" w:ascii="仿宋" w:hAnsi="仿宋" w:eastAsia="仿宋" w:cs="仿宋"/>
          <w:color w:val="auto"/>
          <w:sz w:val="30"/>
          <w:szCs w:val="30"/>
          <w:u w:val="single"/>
          <w:lang w:val="en-US" w:eastAsia="zh-CN"/>
        </w:rPr>
        <w:t>代</w:t>
      </w:r>
      <w:r>
        <w:rPr>
          <w:rFonts w:hint="eastAsia" w:ascii="仿宋" w:hAnsi="仿宋" w:eastAsia="仿宋" w:cs="仿宋"/>
          <w:color w:val="auto"/>
          <w:sz w:val="30"/>
          <w:szCs w:val="30"/>
          <w:u w:val="single"/>
        </w:rPr>
        <w:t xml:space="preserve">码 </w:t>
      </w:r>
      <w:r>
        <w:rPr>
          <w:rFonts w:hint="eastAsia" w:ascii="仿宋" w:hAnsi="仿宋" w:eastAsia="仿宋" w:cs="仿宋"/>
          <w:color w:val="auto"/>
          <w:sz w:val="30"/>
          <w:szCs w:val="30"/>
        </w:rPr>
        <w:t>；</w:t>
      </w:r>
    </w:p>
    <w:p w14:paraId="4E23AADF">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4.2提供工作条件：     </w:t>
      </w:r>
    </w:p>
    <w:p w14:paraId="72ABB16A">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4.2.1</w:t>
      </w:r>
      <w:r>
        <w:rPr>
          <w:rFonts w:hint="eastAsia" w:ascii="仿宋" w:hAnsi="仿宋" w:eastAsia="仿宋" w:cs="仿宋"/>
          <w:color w:val="auto"/>
          <w:sz w:val="30"/>
          <w:szCs w:val="30"/>
          <w:u w:val="single"/>
        </w:rPr>
        <w:t>甲方严格要求本单位</w:t>
      </w:r>
      <w:r>
        <w:rPr>
          <w:rFonts w:hint="eastAsia" w:ascii="仿宋" w:hAnsi="仿宋" w:eastAsia="仿宋" w:cs="仿宋"/>
          <w:color w:val="auto"/>
          <w:sz w:val="30"/>
          <w:szCs w:val="30"/>
          <w:u w:val="single"/>
          <w:lang w:val="en-US" w:eastAsia="zh-CN"/>
        </w:rPr>
        <w:t>工</w:t>
      </w:r>
      <w:r>
        <w:rPr>
          <w:rFonts w:hint="eastAsia" w:ascii="仿宋" w:hAnsi="仿宋" w:eastAsia="仿宋" w:cs="仿宋"/>
          <w:color w:val="auto"/>
          <w:sz w:val="30"/>
          <w:szCs w:val="30"/>
          <w:u w:val="single"/>
        </w:rPr>
        <w:t>作人员按正确方法开展放射</w:t>
      </w:r>
      <w:r>
        <w:rPr>
          <w:rFonts w:hint="eastAsia" w:ascii="仿宋" w:hAnsi="仿宋" w:eastAsia="仿宋" w:cs="仿宋"/>
          <w:color w:val="auto"/>
          <w:sz w:val="30"/>
          <w:szCs w:val="30"/>
          <w:u w:val="single"/>
          <w:lang w:val="en-US" w:eastAsia="zh-CN"/>
        </w:rPr>
        <w:t>评审</w:t>
      </w:r>
      <w:r>
        <w:rPr>
          <w:rFonts w:hint="eastAsia" w:ascii="仿宋" w:hAnsi="仿宋" w:eastAsia="仿宋" w:cs="仿宋"/>
          <w:color w:val="auto"/>
          <w:sz w:val="30"/>
          <w:szCs w:val="30"/>
          <w:u w:val="single"/>
        </w:rPr>
        <w:t>工作</w:t>
      </w:r>
      <w:r>
        <w:rPr>
          <w:rFonts w:hint="eastAsia" w:ascii="仿宋" w:hAnsi="仿宋" w:eastAsia="仿宋" w:cs="仿宋"/>
          <w:color w:val="auto"/>
          <w:sz w:val="30"/>
          <w:szCs w:val="30"/>
        </w:rPr>
        <w:t>；</w:t>
      </w:r>
    </w:p>
    <w:p w14:paraId="267E3D72">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4.2.2</w:t>
      </w:r>
      <w:r>
        <w:rPr>
          <w:rFonts w:hint="eastAsia" w:ascii="仿宋" w:hAnsi="仿宋" w:eastAsia="仿宋" w:cs="仿宋"/>
          <w:color w:val="auto"/>
          <w:sz w:val="30"/>
          <w:szCs w:val="30"/>
          <w:u w:val="single"/>
        </w:rPr>
        <w:t>甲方安排工作人员陪同乙方进入现场，甲方技术人员配合乙方开展</w:t>
      </w:r>
      <w:r>
        <w:rPr>
          <w:rFonts w:hint="eastAsia" w:ascii="仿宋" w:hAnsi="仿宋" w:eastAsia="仿宋" w:cs="仿宋"/>
          <w:color w:val="auto"/>
          <w:sz w:val="30"/>
          <w:szCs w:val="30"/>
          <w:u w:val="single"/>
          <w:lang w:val="en-US" w:eastAsia="zh-CN"/>
        </w:rPr>
        <w:t>评审</w:t>
      </w:r>
      <w:r>
        <w:rPr>
          <w:rFonts w:hint="eastAsia" w:ascii="仿宋" w:hAnsi="仿宋" w:eastAsia="仿宋" w:cs="仿宋"/>
          <w:color w:val="auto"/>
          <w:sz w:val="30"/>
          <w:szCs w:val="30"/>
          <w:u w:val="single"/>
        </w:rPr>
        <w:t>工作</w:t>
      </w:r>
      <w:r>
        <w:rPr>
          <w:rFonts w:hint="eastAsia" w:ascii="仿宋" w:hAnsi="仿宋" w:eastAsia="仿宋" w:cs="仿宋"/>
          <w:color w:val="auto"/>
          <w:sz w:val="30"/>
          <w:szCs w:val="30"/>
        </w:rPr>
        <w:t>。</w:t>
      </w:r>
    </w:p>
    <w:p w14:paraId="51A73974">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 xml:space="preserve">第五条 </w:t>
      </w:r>
      <w:r>
        <w:rPr>
          <w:rFonts w:hint="eastAsia" w:ascii="仿宋" w:hAnsi="仿宋" w:eastAsia="仿宋" w:cs="仿宋"/>
          <w:color w:val="auto"/>
          <w:sz w:val="30"/>
          <w:szCs w:val="30"/>
        </w:rPr>
        <w:t>甲方向乙方支付技术服务报酬及支付方式为：</w:t>
      </w:r>
    </w:p>
    <w:p w14:paraId="2EF1574D">
      <w:pPr>
        <w:keepNext w:val="0"/>
        <w:keepLines w:val="0"/>
        <w:pageBreakBefore w:val="0"/>
        <w:widowControl w:val="0"/>
        <w:kinsoku/>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lang w:val="en-US" w:eastAsia="zh-CN"/>
        </w:rPr>
        <w:t>5.1</w:t>
      </w:r>
      <w:r>
        <w:rPr>
          <w:rFonts w:hint="eastAsia" w:ascii="仿宋" w:hAnsi="仿宋" w:eastAsia="仿宋" w:cs="仿宋"/>
          <w:color w:val="auto"/>
          <w:sz w:val="30"/>
          <w:szCs w:val="30"/>
        </w:rPr>
        <w:t>技术服务</w:t>
      </w:r>
      <w:r>
        <w:rPr>
          <w:rFonts w:hint="eastAsia" w:ascii="仿宋" w:hAnsi="仿宋" w:eastAsia="仿宋" w:cs="仿宋"/>
          <w:color w:val="auto"/>
          <w:sz w:val="30"/>
          <w:szCs w:val="30"/>
          <w:lang w:val="en-US" w:eastAsia="zh-CN"/>
        </w:rPr>
        <w:t>费实行总价包干，包干总价为</w:t>
      </w:r>
      <w:r>
        <w:rPr>
          <w:rFonts w:hint="eastAsia" w:ascii="仿宋" w:hAnsi="仿宋" w:eastAsia="仿宋" w:cs="仿宋"/>
          <w:color w:val="auto"/>
          <w:sz w:val="30"/>
          <w:szCs w:val="30"/>
          <w:u w:val="none"/>
        </w:rPr>
        <w:t>人民币</w:t>
      </w:r>
      <w:r>
        <w:rPr>
          <w:rFonts w:hint="eastAsia" w:ascii="仿宋" w:hAnsi="仿宋" w:eastAsia="仿宋" w:cs="仿宋"/>
          <w:color w:val="auto"/>
          <w:sz w:val="30"/>
          <w:szCs w:val="30"/>
          <w:u w:val="single"/>
          <w:lang w:val="en-US" w:eastAsia="zh-CN"/>
        </w:rPr>
        <w:t xml:space="preserve">        元</w:t>
      </w:r>
      <w:r>
        <w:rPr>
          <w:rFonts w:hint="eastAsia" w:ascii="仿宋" w:hAnsi="仿宋" w:eastAsia="仿宋" w:cs="仿宋"/>
          <w:color w:val="auto"/>
          <w:sz w:val="30"/>
          <w:szCs w:val="30"/>
          <w:u w:val="single"/>
        </w:rPr>
        <w:t>整（￥</w:t>
      </w:r>
      <w:r>
        <w:rPr>
          <w:rFonts w:hint="eastAsia" w:ascii="仿宋" w:hAnsi="仿宋" w:eastAsia="仿宋" w:cs="仿宋"/>
          <w:color w:val="auto"/>
          <w:sz w:val="30"/>
          <w:szCs w:val="30"/>
          <w:u w:val="single"/>
          <w:lang w:val="en-US" w:eastAsia="zh-CN"/>
        </w:rPr>
        <w:t xml:space="preserve">    元</w:t>
      </w:r>
      <w:r>
        <w:rPr>
          <w:rFonts w:hint="eastAsia" w:ascii="仿宋" w:hAnsi="仿宋" w:eastAsia="仿宋" w:cs="仿宋"/>
          <w:color w:val="auto"/>
          <w:sz w:val="30"/>
          <w:szCs w:val="30"/>
          <w:u w:val="single"/>
        </w:rPr>
        <w:t>）；</w:t>
      </w:r>
      <w:r>
        <w:rPr>
          <w:rFonts w:hint="eastAsia" w:ascii="仿宋" w:hAnsi="仿宋" w:eastAsia="仿宋" w:cs="仿宋"/>
          <w:color w:val="auto"/>
          <w:sz w:val="30"/>
          <w:szCs w:val="30"/>
          <w:u w:val="single"/>
          <w:lang w:val="en-US" w:eastAsia="zh-CN"/>
        </w:rPr>
        <w:t>该标准</w:t>
      </w:r>
      <w:r>
        <w:rPr>
          <w:rFonts w:hint="eastAsia" w:ascii="仿宋" w:hAnsi="仿宋" w:eastAsia="仿宋" w:cs="仿宋"/>
          <w:color w:val="auto"/>
          <w:sz w:val="30"/>
          <w:szCs w:val="30"/>
          <w:u w:val="single"/>
        </w:rPr>
        <w:t>包括勘查、检测、报告编制、专家评审、会务、备案上报、</w:t>
      </w:r>
      <w:r>
        <w:rPr>
          <w:rFonts w:hint="eastAsia" w:ascii="仿宋" w:hAnsi="仿宋" w:eastAsia="仿宋" w:cs="仿宋"/>
          <w:color w:val="auto"/>
          <w:sz w:val="30"/>
          <w:szCs w:val="30"/>
          <w:u w:val="single"/>
          <w:lang w:val="en-US" w:eastAsia="zh-CN"/>
        </w:rPr>
        <w:t>证件办理、</w:t>
      </w:r>
      <w:r>
        <w:rPr>
          <w:rFonts w:hint="eastAsia" w:ascii="仿宋" w:hAnsi="仿宋" w:eastAsia="仿宋" w:cs="仿宋"/>
          <w:color w:val="auto"/>
          <w:sz w:val="30"/>
          <w:szCs w:val="30"/>
          <w:u w:val="single"/>
        </w:rPr>
        <w:t>交通、税费、管理费、耗材等全部费用，</w:t>
      </w:r>
      <w:r>
        <w:rPr>
          <w:rFonts w:hint="eastAsia" w:ascii="仿宋" w:hAnsi="仿宋" w:eastAsia="仿宋" w:cs="仿宋"/>
          <w:color w:val="auto"/>
          <w:sz w:val="30"/>
          <w:szCs w:val="30"/>
          <w:u w:val="single"/>
          <w:lang w:val="en-US" w:eastAsia="zh-CN"/>
        </w:rPr>
        <w:t>在本合同期限内</w:t>
      </w:r>
      <w:r>
        <w:rPr>
          <w:rFonts w:hint="eastAsia" w:ascii="仿宋" w:hAnsi="仿宋" w:eastAsia="仿宋" w:cs="仿宋"/>
          <w:color w:val="auto"/>
          <w:sz w:val="30"/>
          <w:szCs w:val="30"/>
          <w:u w:val="single"/>
        </w:rPr>
        <w:t>甲方不再为本合同约定服务额外</w:t>
      </w:r>
      <w:r>
        <w:rPr>
          <w:rFonts w:hint="eastAsia" w:ascii="仿宋" w:hAnsi="仿宋" w:eastAsia="仿宋" w:cs="仿宋"/>
          <w:color w:val="auto"/>
          <w:sz w:val="30"/>
          <w:szCs w:val="30"/>
          <w:u w:val="single"/>
          <w:lang w:val="en-US" w:eastAsia="zh-CN"/>
        </w:rPr>
        <w:t>向乙方</w:t>
      </w:r>
      <w:r>
        <w:rPr>
          <w:rFonts w:hint="eastAsia" w:ascii="仿宋" w:hAnsi="仿宋" w:eastAsia="仿宋" w:cs="仿宋"/>
          <w:color w:val="auto"/>
          <w:sz w:val="30"/>
          <w:szCs w:val="30"/>
          <w:u w:val="single"/>
        </w:rPr>
        <w:t>支付</w:t>
      </w:r>
      <w:r>
        <w:rPr>
          <w:rFonts w:hint="eastAsia" w:ascii="仿宋" w:hAnsi="仿宋" w:eastAsia="仿宋" w:cs="仿宋"/>
          <w:color w:val="auto"/>
          <w:sz w:val="30"/>
          <w:szCs w:val="30"/>
          <w:u w:val="single"/>
          <w:lang w:val="en-US" w:eastAsia="zh-CN"/>
        </w:rPr>
        <w:t>其他任何</w:t>
      </w:r>
      <w:r>
        <w:rPr>
          <w:rFonts w:hint="eastAsia" w:ascii="仿宋" w:hAnsi="仿宋" w:eastAsia="仿宋" w:cs="仿宋"/>
          <w:color w:val="auto"/>
          <w:sz w:val="30"/>
          <w:szCs w:val="30"/>
          <w:u w:val="single"/>
        </w:rPr>
        <w:t>费用</w:t>
      </w:r>
      <w:r>
        <w:rPr>
          <w:rFonts w:hint="eastAsia" w:ascii="仿宋" w:hAnsi="仿宋" w:eastAsia="仿宋" w:cs="仿宋"/>
          <w:color w:val="auto"/>
          <w:sz w:val="30"/>
          <w:szCs w:val="30"/>
        </w:rPr>
        <w:t>。</w:t>
      </w:r>
    </w:p>
    <w:p w14:paraId="17B63C20">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5.2 支付时间</w:t>
      </w:r>
    </w:p>
    <w:p w14:paraId="1625C5D4">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乙方按本合同约定完成甲方4台设备的全部技术服务并取得环评/预评/控评/验收批复及两证原件后30个工作日内，甲方向乙方支付本合同约定技术服务总金额的</w:t>
      </w:r>
      <w:r>
        <w:rPr>
          <w:rFonts w:hint="eastAsia" w:ascii="仿宋" w:hAnsi="仿宋" w:eastAsia="仿宋" w:cs="仿宋"/>
          <w:color w:val="auto"/>
          <w:sz w:val="30"/>
          <w:szCs w:val="30"/>
          <w:u w:val="single"/>
          <w:lang w:val="en-US" w:eastAsia="zh-CN"/>
        </w:rPr>
        <w:t xml:space="preserve"> 100 </w:t>
      </w:r>
      <w:r>
        <w:rPr>
          <w:rFonts w:hint="eastAsia" w:ascii="仿宋" w:hAnsi="仿宋" w:eastAsia="仿宋" w:cs="仿宋"/>
          <w:color w:val="auto"/>
          <w:sz w:val="30"/>
          <w:szCs w:val="30"/>
          <w:lang w:val="en-US" w:eastAsia="zh-CN"/>
        </w:rPr>
        <w:t>%即</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元。</w:t>
      </w:r>
    </w:p>
    <w:p w14:paraId="7A48E83F">
      <w:pPr>
        <w:keepNext w:val="0"/>
        <w:keepLines w:val="0"/>
        <w:pageBreakBefore w:val="0"/>
        <w:widowControl w:val="0"/>
        <w:kinsoku/>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5.3甲方通过银行转账向乙方支付款项，乙方指定以下银行账户为收款账户：</w:t>
      </w:r>
    </w:p>
    <w:p w14:paraId="17BA781D">
      <w:pPr>
        <w:keepNext w:val="0"/>
        <w:keepLines w:val="0"/>
        <w:pageBreakBefore w:val="0"/>
        <w:widowControl w:val="0"/>
        <w:kinsoku/>
        <w:wordWrap/>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rPr>
        <w:t>户名：</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p>
    <w:p w14:paraId="18D5E3DC">
      <w:pPr>
        <w:keepNext w:val="0"/>
        <w:keepLines w:val="0"/>
        <w:pageBreakBefore w:val="0"/>
        <w:widowControl w:val="0"/>
        <w:kinsoku/>
        <w:wordWrap/>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rPr>
        <w:t>开户银行：</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p>
    <w:p w14:paraId="7CC109EA">
      <w:pPr>
        <w:keepNext w:val="0"/>
        <w:keepLines w:val="0"/>
        <w:pageBreakBefore w:val="0"/>
        <w:widowControl w:val="0"/>
        <w:kinsoku/>
        <w:wordWrap/>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lang w:val="en-US" w:eastAsia="zh-CN"/>
        </w:rPr>
        <w:t>账</w:t>
      </w:r>
      <w:r>
        <w:rPr>
          <w:rFonts w:hint="eastAsia" w:ascii="仿宋" w:hAnsi="仿宋" w:eastAsia="仿宋" w:cs="仿宋"/>
          <w:color w:val="auto"/>
          <w:sz w:val="30"/>
          <w:szCs w:val="30"/>
        </w:rPr>
        <w:t>号：</w:t>
      </w:r>
      <w:r>
        <w:rPr>
          <w:rFonts w:hint="eastAsia" w:ascii="仿宋" w:hAnsi="仿宋" w:eastAsia="仿宋" w:cs="仿宋"/>
          <w:b/>
          <w:color w:val="auto"/>
          <w:sz w:val="30"/>
          <w:szCs w:val="30"/>
          <w:u w:val="single"/>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p>
    <w:p w14:paraId="2EEE6517">
      <w:pPr>
        <w:keepNext w:val="0"/>
        <w:keepLines w:val="0"/>
        <w:pageBreakBefore w:val="0"/>
        <w:widowControl w:val="0"/>
        <w:kinsoku/>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b/>
          <w:bCs/>
          <w:color w:val="auto"/>
          <w:sz w:val="30"/>
          <w:szCs w:val="30"/>
        </w:rPr>
      </w:pPr>
      <w:r>
        <w:rPr>
          <w:rFonts w:hint="eastAsia" w:ascii="仿宋" w:hAnsi="仿宋" w:eastAsia="仿宋" w:cs="仿宋"/>
          <w:color w:val="auto"/>
          <w:sz w:val="30"/>
          <w:szCs w:val="30"/>
          <w:u w:val="none"/>
          <w:lang w:val="en-US" w:eastAsia="zh-CN"/>
        </w:rPr>
        <w:t>5.4  乙方应在甲方付款前</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日，向甲方提供以自己名义开具的价税合计金额与该次付款金额等额的增值税普通发票；如乙方未按前述约定提供发票，甲方有权拒绝付款且不视为逾期付款，由此产生的不利后果由乙方自行承担。</w:t>
      </w:r>
    </w:p>
    <w:p w14:paraId="54D51300">
      <w:pPr>
        <w:keepNext w:val="0"/>
        <w:keepLines w:val="0"/>
        <w:pageBreakBefore w:val="0"/>
        <w:widowControl w:val="0"/>
        <w:kinsoku/>
        <w:overflowPunct/>
        <w:topLinePunct/>
        <w:autoSpaceDE/>
        <w:autoSpaceDN/>
        <w:bidi w:val="0"/>
        <w:adjustRightInd/>
        <w:snapToGrid/>
        <w:spacing w:line="480" w:lineRule="exact"/>
        <w:ind w:left="0"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 xml:space="preserve">第六条 </w:t>
      </w:r>
      <w:r>
        <w:rPr>
          <w:rFonts w:hint="eastAsia" w:ascii="仿宋" w:hAnsi="仿宋" w:eastAsia="仿宋" w:cs="仿宋"/>
          <w:color w:val="auto"/>
          <w:sz w:val="30"/>
          <w:szCs w:val="30"/>
        </w:rPr>
        <w:t>乙方履行本合同过程中发生事故，包括但不限于在对甲方所确定的放射诊疗设备和放射工作场所防护开展质量控制和防护监测过程中发生事故，给甲方、乙方或第三方人身、财产造成的所有损失，均由乙方负责处理和承担全部法律责任、经济赔偿。</w:t>
      </w:r>
    </w:p>
    <w:p w14:paraId="118C1AC1">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如甲方因乙方服务等原因涉及纠纷、诉讼或被处以行政处罚，由乙方承担甲方因纠纷、诉讼、罚款等造成的全部经济损失</w:t>
      </w:r>
      <w:r>
        <w:rPr>
          <w:rFonts w:hint="eastAsia" w:ascii="仿宋" w:hAnsi="仿宋" w:eastAsia="仿宋" w:cs="仿宋"/>
          <w:color w:val="auto"/>
          <w:sz w:val="30"/>
          <w:szCs w:val="30"/>
        </w:rPr>
        <w:t>。</w:t>
      </w:r>
    </w:p>
    <w:p w14:paraId="3FA55743">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第七条</w:t>
      </w:r>
      <w:r>
        <w:rPr>
          <w:rFonts w:hint="eastAsia" w:ascii="仿宋" w:hAnsi="仿宋" w:eastAsia="仿宋" w:cs="仿宋"/>
          <w:color w:val="auto"/>
          <w:sz w:val="30"/>
          <w:szCs w:val="30"/>
        </w:rPr>
        <w:t xml:space="preserve"> 本合同的变更必须由双方协商一致，并以书面形式签订补充协议书确定。</w:t>
      </w:r>
    </w:p>
    <w:p w14:paraId="77B20931">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第八条 廉洁条款</w:t>
      </w:r>
    </w:p>
    <w:p w14:paraId="29AFC6D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8.1</w:t>
      </w:r>
      <w:r>
        <w:rPr>
          <w:rFonts w:hint="eastAsia" w:ascii="仿宋" w:hAnsi="仿宋" w:eastAsia="仿宋" w:cs="仿宋"/>
          <w:color w:val="auto"/>
          <w:sz w:val="30"/>
          <w:szCs w:val="30"/>
          <w:lang w:val="en-US" w:eastAsia="zh-CN"/>
        </w:rPr>
        <w:t xml:space="preserve"> 乙方应严格遵守国家相关法律法规，涉及合同的有关业务活动必须坚持公开、公平、公正、诚信原则，不得为获取不正当利益，损害国家、集体和甲方利益。</w:t>
      </w:r>
    </w:p>
    <w:p w14:paraId="6722512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right="0" w:firstLine="602" w:firstLineChars="200"/>
        <w:jc w:val="both"/>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 xml:space="preserve">8.2 </w:t>
      </w:r>
      <w:r>
        <w:rPr>
          <w:rFonts w:hint="eastAsia" w:ascii="仿宋" w:hAnsi="仿宋" w:eastAsia="仿宋" w:cs="仿宋"/>
          <w:b/>
          <w:bCs/>
          <w:color w:val="auto"/>
          <w:sz w:val="30"/>
          <w:szCs w:val="30"/>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D697BC9">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第九条 保密条款</w:t>
      </w:r>
    </w:p>
    <w:p w14:paraId="29599C6B">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9.1 本合同订立、履行、变更等产生的研究、商讨、交流等信息，履行本合同获悉的甲方商业秘密、运营信息、工作人员信息、个人信息等，均属保密信息。</w:t>
      </w:r>
    </w:p>
    <w:p w14:paraId="27B2090E">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9.2 乙方应对保密信息采取有效手段严格保密，不得用于非本合同之目的或向第三方泄露。如政府部门、法院或其他有权部门要求乙方提供保密信息，乙方应当立即向甲方通报。</w:t>
      </w:r>
    </w:p>
    <w:p w14:paraId="00579F76">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9.3 因乙方未履行本合同保密义务造成甲方或第三方损失的，由乙方承担全部赔偿责任。</w:t>
      </w:r>
    </w:p>
    <w:p w14:paraId="64FD6226">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9.4 本合同保密条款在合同被认定无效、被撤销或终止、解除后仍然有效。</w:t>
      </w:r>
    </w:p>
    <w:p w14:paraId="65CFBCD7">
      <w:pPr>
        <w:keepNext w:val="0"/>
        <w:keepLines w:val="0"/>
        <w:pageBreakBefore w:val="0"/>
        <w:widowControl w:val="0"/>
        <w:kinsoku/>
        <w:overflowPunct/>
        <w:topLinePunct/>
        <w:autoSpaceDE/>
        <w:autoSpaceDN/>
        <w:bidi w:val="0"/>
        <w:adjustRightInd/>
        <w:snapToGrid/>
        <w:spacing w:line="480" w:lineRule="exact"/>
        <w:ind w:left="0"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十</w:t>
      </w:r>
      <w:r>
        <w:rPr>
          <w:rFonts w:hint="eastAsia" w:ascii="仿宋" w:hAnsi="仿宋" w:eastAsia="仿宋" w:cs="仿宋"/>
          <w:b/>
          <w:bCs/>
          <w:color w:val="auto"/>
          <w:sz w:val="30"/>
          <w:szCs w:val="30"/>
        </w:rPr>
        <w:t>条</w:t>
      </w:r>
      <w:r>
        <w:rPr>
          <w:rFonts w:hint="eastAsia" w:ascii="仿宋" w:hAnsi="仿宋" w:eastAsia="仿宋" w:cs="仿宋"/>
          <w:color w:val="auto"/>
          <w:sz w:val="30"/>
          <w:szCs w:val="30"/>
        </w:rPr>
        <w:t>双方确定，按以下标准和方式对乙方提交的技术服务工作成果进行验收：</w:t>
      </w:r>
    </w:p>
    <w:p w14:paraId="23B5EEA7">
      <w:pPr>
        <w:keepNext w:val="0"/>
        <w:keepLines w:val="0"/>
        <w:pageBreakBefore w:val="0"/>
        <w:widowControl w:val="0"/>
        <w:kinsoku/>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.1乙方提交技术服务工作成果的形式：</w:t>
      </w:r>
      <w:r>
        <w:rPr>
          <w:rFonts w:hint="eastAsia" w:ascii="仿宋" w:hAnsi="仿宋" w:eastAsia="仿宋" w:cs="仿宋"/>
          <w:color w:val="auto"/>
          <w:sz w:val="30"/>
          <w:szCs w:val="30"/>
          <w:u w:val="single"/>
          <w:lang w:val="en-US" w:eastAsia="zh-CN"/>
        </w:rPr>
        <w:t>完成4台放射诊疗设备环评、预评报告编制及评审批复，所有评价项目取得</w:t>
      </w:r>
      <w:r>
        <w:rPr>
          <w:rFonts w:hint="eastAsia" w:ascii="仿宋" w:hAnsi="仿宋" w:eastAsia="仿宋" w:cs="仿宋"/>
          <w:color w:val="auto"/>
          <w:sz w:val="30"/>
          <w:szCs w:val="30"/>
          <w:u w:val="single"/>
        </w:rPr>
        <w:t>《放射诊疗许可证》《辐射安全许可证》</w:t>
      </w:r>
      <w:r>
        <w:rPr>
          <w:rFonts w:hint="eastAsia" w:ascii="仿宋" w:hAnsi="仿宋" w:eastAsia="仿宋" w:cs="仿宋"/>
          <w:color w:val="auto"/>
          <w:sz w:val="30"/>
          <w:szCs w:val="30"/>
          <w:u w:val="single"/>
          <w:lang w:val="en-US" w:eastAsia="zh-CN"/>
        </w:rPr>
        <w:t>及合格批复文件并交付甲方。</w:t>
      </w:r>
    </w:p>
    <w:p w14:paraId="530F6B4F">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.2技术服务工作成果的验收标准：</w:t>
      </w:r>
      <w:r>
        <w:rPr>
          <w:rFonts w:hint="eastAsia" w:ascii="仿宋" w:hAnsi="仿宋" w:eastAsia="仿宋" w:cs="仿宋"/>
          <w:bCs/>
          <w:color w:val="auto"/>
          <w:sz w:val="30"/>
          <w:szCs w:val="30"/>
          <w:u w:val="single"/>
        </w:rPr>
        <w:t xml:space="preserve"> 符合《职业病防治法》《放射性污染防治法》《环境影响评价法》《放射诊疗管理规定》及GB18871</w:t>
      </w:r>
      <w:r>
        <w:rPr>
          <w:rFonts w:hint="eastAsia" w:ascii="仿宋" w:hAnsi="仿宋" w:eastAsia="仿宋" w:cs="仿宋"/>
          <w:bCs/>
          <w:color w:val="auto"/>
          <w:sz w:val="30"/>
          <w:szCs w:val="30"/>
          <w:u w:val="single"/>
        </w:rPr>
        <w:noBreakHyphen/>
      </w:r>
      <w:r>
        <w:rPr>
          <w:rFonts w:hint="eastAsia" w:ascii="仿宋" w:hAnsi="仿宋" w:eastAsia="仿宋" w:cs="仿宋"/>
          <w:bCs/>
          <w:color w:val="auto"/>
          <w:sz w:val="30"/>
          <w:szCs w:val="30"/>
          <w:u w:val="single"/>
        </w:rPr>
        <w:t>2002、GBZ130</w:t>
      </w:r>
      <w:r>
        <w:rPr>
          <w:rFonts w:hint="eastAsia" w:ascii="仿宋" w:hAnsi="仿宋" w:eastAsia="仿宋" w:cs="仿宋"/>
          <w:bCs/>
          <w:color w:val="auto"/>
          <w:sz w:val="30"/>
          <w:szCs w:val="30"/>
          <w:u w:val="single"/>
        </w:rPr>
        <w:noBreakHyphen/>
      </w:r>
      <w:r>
        <w:rPr>
          <w:rFonts w:hint="eastAsia" w:ascii="仿宋" w:hAnsi="仿宋" w:eastAsia="仿宋" w:cs="仿宋"/>
          <w:bCs/>
          <w:color w:val="auto"/>
          <w:sz w:val="30"/>
          <w:szCs w:val="30"/>
          <w:u w:val="single"/>
        </w:rPr>
        <w:t>2020等规范。</w:t>
      </w:r>
    </w:p>
    <w:p w14:paraId="516A18E1">
      <w:pPr>
        <w:keepNext w:val="0"/>
        <w:keepLines w:val="0"/>
        <w:pageBreakBefore w:val="0"/>
        <w:widowControl w:val="0"/>
        <w:kinsoku/>
        <w:overflowPunct/>
        <w:topLinePunct/>
        <w:autoSpaceDE/>
        <w:autoSpaceDN/>
        <w:bidi w:val="0"/>
        <w:adjustRightInd/>
        <w:snapToGrid/>
        <w:spacing w:line="480" w:lineRule="exact"/>
        <w:ind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十一</w:t>
      </w:r>
      <w:r>
        <w:rPr>
          <w:rFonts w:hint="eastAsia" w:ascii="仿宋" w:hAnsi="仿宋" w:eastAsia="仿宋" w:cs="仿宋"/>
          <w:b/>
          <w:bCs/>
          <w:color w:val="auto"/>
          <w:sz w:val="30"/>
          <w:szCs w:val="30"/>
        </w:rPr>
        <w:t>条</w:t>
      </w:r>
      <w:r>
        <w:rPr>
          <w:rFonts w:hint="eastAsia" w:ascii="仿宋" w:hAnsi="仿宋" w:eastAsia="仿宋" w:cs="仿宋"/>
          <w:color w:val="auto"/>
          <w:sz w:val="30"/>
          <w:szCs w:val="30"/>
        </w:rPr>
        <w:t xml:space="preserve"> 双方确定，按以下约定承担各自的违约责任：</w:t>
      </w:r>
    </w:p>
    <w:p w14:paraId="3862F81A">
      <w:pPr>
        <w:keepNext w:val="0"/>
        <w:keepLines w:val="0"/>
        <w:pageBreakBefore w:val="0"/>
        <w:widowControl w:val="0"/>
        <w:kinsoku/>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11</w:t>
      </w: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1 如</w:t>
      </w:r>
      <w:r>
        <w:rPr>
          <w:rFonts w:hint="eastAsia" w:ascii="仿宋" w:hAnsi="仿宋" w:eastAsia="仿宋" w:cs="仿宋"/>
          <w:color w:val="auto"/>
          <w:sz w:val="30"/>
          <w:szCs w:val="30"/>
        </w:rPr>
        <w:t>乙方</w:t>
      </w:r>
      <w:r>
        <w:rPr>
          <w:rFonts w:hint="eastAsia" w:ascii="仿宋" w:hAnsi="仿宋" w:eastAsia="仿宋" w:cs="仿宋"/>
          <w:color w:val="auto"/>
          <w:sz w:val="30"/>
          <w:szCs w:val="30"/>
          <w:lang w:val="en-US" w:eastAsia="zh-CN"/>
        </w:rPr>
        <w:t>未</w:t>
      </w:r>
      <w:r>
        <w:rPr>
          <w:rFonts w:hint="eastAsia" w:ascii="仿宋" w:hAnsi="仿宋" w:eastAsia="仿宋" w:cs="仿宋"/>
          <w:color w:val="auto"/>
          <w:sz w:val="30"/>
          <w:szCs w:val="30"/>
        </w:rPr>
        <w:t>按本合同</w:t>
      </w:r>
      <w:r>
        <w:rPr>
          <w:rFonts w:hint="eastAsia" w:ascii="仿宋" w:hAnsi="仿宋" w:eastAsia="仿宋" w:cs="仿宋"/>
          <w:color w:val="auto"/>
          <w:sz w:val="30"/>
          <w:szCs w:val="30"/>
          <w:lang w:val="en-US" w:eastAsia="zh-CN"/>
        </w:rPr>
        <w:t>约定时间完成</w:t>
      </w:r>
      <w:r>
        <w:rPr>
          <w:rFonts w:hint="eastAsia" w:ascii="仿宋" w:hAnsi="仿宋" w:eastAsia="仿宋" w:cs="仿宋"/>
          <w:color w:val="auto"/>
          <w:sz w:val="30"/>
          <w:szCs w:val="30"/>
        </w:rPr>
        <w:t>，每延误一天</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乙方应</w:t>
      </w:r>
      <w:r>
        <w:rPr>
          <w:rFonts w:hint="eastAsia" w:ascii="仿宋" w:hAnsi="仿宋" w:eastAsia="仿宋" w:cs="仿宋"/>
          <w:color w:val="auto"/>
          <w:sz w:val="30"/>
          <w:szCs w:val="30"/>
          <w:lang w:val="en-US" w:eastAsia="zh-CN"/>
        </w:rPr>
        <w:t>按本合同约定</w:t>
      </w:r>
      <w:r>
        <w:rPr>
          <w:rFonts w:hint="eastAsia" w:ascii="仿宋" w:hAnsi="仿宋" w:eastAsia="仿宋" w:cs="仿宋"/>
          <w:color w:val="auto"/>
          <w:sz w:val="30"/>
          <w:szCs w:val="30"/>
        </w:rPr>
        <w:t>服务费的</w:t>
      </w:r>
      <w:r>
        <w:rPr>
          <w:rFonts w:hint="eastAsia" w:ascii="仿宋" w:hAnsi="仿宋" w:eastAsia="仿宋" w:cs="仿宋"/>
          <w:b/>
          <w:bCs/>
          <w:color w:val="auto"/>
          <w:sz w:val="30"/>
          <w:szCs w:val="30"/>
          <w:u w:val="single"/>
        </w:rPr>
        <w:t>千分之五</w:t>
      </w:r>
      <w:r>
        <w:rPr>
          <w:rFonts w:hint="eastAsia" w:ascii="仿宋" w:hAnsi="仿宋" w:eastAsia="仿宋" w:cs="仿宋"/>
          <w:b/>
          <w:bCs/>
          <w:color w:val="auto"/>
          <w:sz w:val="30"/>
          <w:szCs w:val="30"/>
          <w:u w:val="single"/>
          <w:lang w:val="en-US" w:eastAsia="zh-CN"/>
        </w:rPr>
        <w:t>向甲方支付</w:t>
      </w:r>
      <w:r>
        <w:rPr>
          <w:rFonts w:hint="eastAsia" w:ascii="仿宋" w:hAnsi="仿宋" w:eastAsia="仿宋" w:cs="仿宋"/>
          <w:b/>
          <w:bCs/>
          <w:color w:val="auto"/>
          <w:sz w:val="30"/>
          <w:szCs w:val="30"/>
          <w:u w:val="single"/>
        </w:rPr>
        <w:t>违约金。</w:t>
      </w:r>
    </w:p>
    <w:p w14:paraId="2259C04D">
      <w:pPr>
        <w:keepNext w:val="0"/>
        <w:keepLines w:val="0"/>
        <w:pageBreakBefore w:val="0"/>
        <w:widowControl w:val="0"/>
        <w:kinsoku/>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11</w:t>
      </w: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2 如</w:t>
      </w:r>
      <w:r>
        <w:rPr>
          <w:rFonts w:hint="eastAsia" w:ascii="仿宋" w:hAnsi="仿宋" w:eastAsia="仿宋" w:cs="仿宋"/>
          <w:color w:val="auto"/>
          <w:sz w:val="30"/>
          <w:szCs w:val="30"/>
        </w:rPr>
        <w:t>乙方</w:t>
      </w:r>
      <w:r>
        <w:rPr>
          <w:rFonts w:hint="eastAsia" w:ascii="仿宋" w:hAnsi="仿宋" w:eastAsia="仿宋" w:cs="仿宋"/>
          <w:color w:val="auto"/>
          <w:sz w:val="30"/>
          <w:szCs w:val="30"/>
          <w:lang w:val="en-US" w:eastAsia="zh-CN"/>
        </w:rPr>
        <w:t>擅自</w:t>
      </w:r>
      <w:r>
        <w:rPr>
          <w:rFonts w:hint="eastAsia" w:ascii="仿宋" w:hAnsi="仿宋" w:eastAsia="仿宋" w:cs="仿宋"/>
          <w:color w:val="auto"/>
          <w:sz w:val="30"/>
          <w:szCs w:val="30"/>
        </w:rPr>
        <w:t>单方解除</w:t>
      </w:r>
      <w:r>
        <w:rPr>
          <w:rFonts w:hint="eastAsia" w:ascii="仿宋" w:hAnsi="仿宋" w:eastAsia="仿宋" w:cs="仿宋"/>
          <w:color w:val="auto"/>
          <w:sz w:val="30"/>
          <w:szCs w:val="30"/>
          <w:lang w:val="en-US" w:eastAsia="zh-CN"/>
        </w:rPr>
        <w:t>本</w:t>
      </w:r>
      <w:r>
        <w:rPr>
          <w:rFonts w:hint="eastAsia" w:ascii="仿宋" w:hAnsi="仿宋" w:eastAsia="仿宋" w:cs="仿宋"/>
          <w:color w:val="auto"/>
          <w:sz w:val="30"/>
          <w:szCs w:val="30"/>
        </w:rPr>
        <w:t>合同</w:t>
      </w:r>
      <w:r>
        <w:rPr>
          <w:rFonts w:hint="eastAsia" w:ascii="仿宋" w:hAnsi="仿宋" w:eastAsia="仿宋" w:cs="仿宋"/>
          <w:color w:val="auto"/>
          <w:sz w:val="30"/>
          <w:szCs w:val="30"/>
          <w:lang w:val="en-US" w:eastAsia="zh-CN"/>
        </w:rPr>
        <w:t>或甲方因乙方原因解除合同的</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乙方除赔偿甲方由此造成的经济损失外，还</w:t>
      </w:r>
      <w:r>
        <w:rPr>
          <w:rFonts w:hint="eastAsia" w:ascii="仿宋" w:hAnsi="仿宋" w:eastAsia="仿宋" w:cs="仿宋"/>
          <w:color w:val="auto"/>
          <w:sz w:val="30"/>
          <w:szCs w:val="30"/>
        </w:rPr>
        <w:t>应按</w:t>
      </w:r>
      <w:r>
        <w:rPr>
          <w:rFonts w:hint="eastAsia" w:ascii="仿宋" w:hAnsi="仿宋" w:eastAsia="仿宋" w:cs="仿宋"/>
          <w:color w:val="auto"/>
          <w:sz w:val="30"/>
          <w:szCs w:val="30"/>
          <w:lang w:val="en-US" w:eastAsia="zh-CN"/>
        </w:rPr>
        <w:t>本</w:t>
      </w:r>
      <w:r>
        <w:rPr>
          <w:rFonts w:hint="eastAsia" w:ascii="仿宋" w:hAnsi="仿宋" w:eastAsia="仿宋" w:cs="仿宋"/>
          <w:color w:val="auto"/>
          <w:sz w:val="30"/>
          <w:szCs w:val="30"/>
        </w:rPr>
        <w:t>合同</w:t>
      </w:r>
      <w:r>
        <w:rPr>
          <w:rFonts w:hint="eastAsia" w:ascii="仿宋" w:hAnsi="仿宋" w:eastAsia="仿宋" w:cs="仿宋"/>
          <w:color w:val="auto"/>
          <w:sz w:val="30"/>
          <w:szCs w:val="30"/>
          <w:lang w:val="en-US" w:eastAsia="zh-CN"/>
        </w:rPr>
        <w:t>服务费</w:t>
      </w:r>
      <w:r>
        <w:rPr>
          <w:rFonts w:hint="eastAsia" w:ascii="仿宋" w:hAnsi="仿宋" w:eastAsia="仿宋" w:cs="仿宋"/>
          <w:color w:val="auto"/>
          <w:sz w:val="30"/>
          <w:szCs w:val="30"/>
        </w:rPr>
        <w:t>总金额的</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0%</w:t>
      </w:r>
      <w:r>
        <w:rPr>
          <w:rFonts w:hint="eastAsia" w:ascii="仿宋" w:hAnsi="仿宋" w:eastAsia="仿宋" w:cs="仿宋"/>
          <w:color w:val="auto"/>
          <w:sz w:val="30"/>
          <w:szCs w:val="30"/>
          <w:lang w:val="en-US" w:eastAsia="zh-CN"/>
        </w:rPr>
        <w:t>向</w:t>
      </w:r>
      <w:r>
        <w:rPr>
          <w:rFonts w:hint="eastAsia" w:ascii="仿宋" w:hAnsi="仿宋" w:eastAsia="仿宋" w:cs="仿宋"/>
          <w:color w:val="auto"/>
          <w:sz w:val="30"/>
          <w:szCs w:val="30"/>
        </w:rPr>
        <w:t>甲方</w:t>
      </w:r>
      <w:r>
        <w:rPr>
          <w:rFonts w:hint="eastAsia" w:ascii="仿宋" w:hAnsi="仿宋" w:eastAsia="仿宋" w:cs="仿宋"/>
          <w:color w:val="auto"/>
          <w:sz w:val="30"/>
          <w:szCs w:val="30"/>
          <w:lang w:val="en-US" w:eastAsia="zh-CN"/>
        </w:rPr>
        <w:t>支付</w:t>
      </w:r>
      <w:r>
        <w:rPr>
          <w:rFonts w:hint="eastAsia" w:ascii="仿宋" w:hAnsi="仿宋" w:eastAsia="仿宋" w:cs="仿宋"/>
          <w:color w:val="auto"/>
          <w:sz w:val="30"/>
          <w:szCs w:val="30"/>
        </w:rPr>
        <w:t>违约金。</w:t>
      </w:r>
    </w:p>
    <w:p w14:paraId="1DEBDE2C">
      <w:pPr>
        <w:keepNext w:val="0"/>
        <w:keepLines w:val="0"/>
        <w:pageBreakBefore w:val="0"/>
        <w:widowControl w:val="0"/>
        <w:kinsoku/>
        <w:overflowPunct/>
        <w:topLinePunct/>
        <w:autoSpaceDE/>
        <w:autoSpaceDN/>
        <w:bidi w:val="0"/>
        <w:adjustRightInd/>
        <w:snapToGrid/>
        <w:spacing w:line="480" w:lineRule="exact"/>
        <w:ind w:left="0" w:firstLine="602" w:firstLineChars="200"/>
        <w:jc w:val="both"/>
        <w:textAlignment w:val="auto"/>
        <w:rPr>
          <w:rFonts w:hint="eastAsia" w:ascii="仿宋" w:hAnsi="仿宋" w:eastAsia="仿宋" w:cs="仿宋"/>
          <w:b/>
          <w:bCs/>
          <w:color w:val="auto"/>
          <w:sz w:val="30"/>
          <w:szCs w:val="30"/>
          <w:u w:val="single"/>
          <w:lang w:val="en-US" w:eastAsia="zh-CN"/>
        </w:rPr>
      </w:pPr>
      <w:r>
        <w:rPr>
          <w:rFonts w:hint="eastAsia" w:ascii="仿宋" w:hAnsi="仿宋" w:eastAsia="仿宋" w:cs="仿宋"/>
          <w:b/>
          <w:bCs/>
          <w:color w:val="auto"/>
          <w:sz w:val="30"/>
          <w:szCs w:val="30"/>
          <w:u w:val="single"/>
          <w:lang w:val="en-US" w:eastAsia="zh-CN"/>
        </w:rPr>
        <w:t>11.3 无论甲方在任意时候（不限于本合同履行期间）发现存在违反本合同廉洁条款约定的行为，乙方须按本合同总费用的10%向甲方支付一次性惩罚性违约金。如乙方除需承担违反廉洁条款的违约责任外，同时存在其他违约行为，乙方仍须就其他违约行为承担相应违约责任。</w:t>
      </w:r>
    </w:p>
    <w:p w14:paraId="529E2E5C">
      <w:pPr>
        <w:keepNext w:val="0"/>
        <w:keepLines w:val="0"/>
        <w:pageBreakBefore w:val="0"/>
        <w:widowControl w:val="0"/>
        <w:kinsoku/>
        <w:overflowPunct/>
        <w:topLinePunct/>
        <w:autoSpaceDE/>
        <w:autoSpaceDN/>
        <w:bidi w:val="0"/>
        <w:adjustRightInd/>
        <w:snapToGrid/>
        <w:spacing w:line="480" w:lineRule="exact"/>
        <w:ind w:left="0"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u w:val="single"/>
          <w:lang w:val="en-US" w:eastAsia="zh-CN"/>
        </w:rPr>
        <w:t>11.4 依据本合同约定乙方应支付给甲方的违约金，甲方有权在应支付给乙方的任意价款中直接予以扣除，如扣除部分不足，乙方应在接到甲方通知后3日内补足。</w:t>
      </w:r>
    </w:p>
    <w:p w14:paraId="05632719">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b/>
          <w:bCs/>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十二</w:t>
      </w:r>
      <w:r>
        <w:rPr>
          <w:rFonts w:hint="eastAsia" w:ascii="仿宋" w:hAnsi="仿宋" w:eastAsia="仿宋" w:cs="仿宋"/>
          <w:b/>
          <w:bCs/>
          <w:color w:val="auto"/>
          <w:sz w:val="30"/>
          <w:szCs w:val="30"/>
        </w:rPr>
        <w:t>条</w:t>
      </w:r>
      <w:r>
        <w:rPr>
          <w:rFonts w:hint="eastAsia" w:ascii="仿宋" w:hAnsi="仿宋" w:eastAsia="仿宋" w:cs="仿宋"/>
          <w:color w:val="auto"/>
          <w:sz w:val="30"/>
          <w:szCs w:val="30"/>
        </w:rPr>
        <w:t xml:space="preserve"> </w:t>
      </w:r>
      <w:r>
        <w:rPr>
          <w:rFonts w:hint="eastAsia" w:ascii="仿宋" w:hAnsi="仿宋" w:eastAsia="仿宋" w:cs="仿宋"/>
          <w:b/>
          <w:bCs/>
          <w:color w:val="auto"/>
          <w:sz w:val="30"/>
          <w:szCs w:val="30"/>
          <w:lang w:val="en-US" w:eastAsia="zh-CN"/>
        </w:rPr>
        <w:t>其他</w:t>
      </w:r>
    </w:p>
    <w:p w14:paraId="16952A36">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outlineLvl w:val="0"/>
        <w:rPr>
          <w:rFonts w:hint="eastAsia"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.1当放射诊疗设备和放射工作场所监测结果可疑或超标时，</w:t>
      </w:r>
      <w:r>
        <w:rPr>
          <w:rFonts w:hint="eastAsia" w:ascii="仿宋" w:hAnsi="仿宋" w:eastAsia="仿宋" w:cs="仿宋"/>
          <w:color w:val="auto"/>
          <w:sz w:val="30"/>
          <w:szCs w:val="30"/>
          <w:lang w:val="en-US" w:eastAsia="zh-CN"/>
        </w:rPr>
        <w:t>乙方应告知</w:t>
      </w:r>
      <w:r>
        <w:rPr>
          <w:rFonts w:hint="eastAsia" w:ascii="仿宋" w:hAnsi="仿宋" w:eastAsia="仿宋" w:cs="仿宋"/>
          <w:color w:val="auto"/>
          <w:sz w:val="30"/>
          <w:szCs w:val="30"/>
        </w:rPr>
        <w:t>甲方应对相关设备进行维修或整改，</w:t>
      </w:r>
      <w:r>
        <w:rPr>
          <w:rFonts w:hint="eastAsia" w:ascii="仿宋" w:hAnsi="仿宋" w:eastAsia="仿宋" w:cs="仿宋"/>
          <w:color w:val="auto"/>
          <w:sz w:val="30"/>
          <w:szCs w:val="30"/>
          <w:lang w:val="en-US" w:eastAsia="zh-CN"/>
        </w:rPr>
        <w:t>并在甲方维修或整改完后再</w:t>
      </w:r>
      <w:r>
        <w:rPr>
          <w:rFonts w:hint="eastAsia" w:ascii="仿宋" w:hAnsi="仿宋" w:eastAsia="仿宋" w:cs="仿宋"/>
          <w:color w:val="auto"/>
          <w:sz w:val="30"/>
          <w:szCs w:val="30"/>
        </w:rPr>
        <w:t>进行监测</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再次</w:t>
      </w:r>
      <w:r>
        <w:rPr>
          <w:rFonts w:hint="eastAsia" w:ascii="仿宋" w:hAnsi="仿宋" w:eastAsia="仿宋" w:cs="仿宋"/>
          <w:color w:val="auto"/>
          <w:sz w:val="30"/>
          <w:szCs w:val="30"/>
        </w:rPr>
        <w:t>监测费用已经包含在本合同费用中，不</w:t>
      </w:r>
      <w:r>
        <w:rPr>
          <w:rFonts w:hint="eastAsia" w:ascii="仿宋" w:hAnsi="仿宋" w:eastAsia="仿宋" w:cs="仿宋"/>
          <w:color w:val="auto"/>
          <w:sz w:val="30"/>
          <w:szCs w:val="30"/>
          <w:lang w:val="en-US" w:eastAsia="zh-CN"/>
        </w:rPr>
        <w:t>再</w:t>
      </w:r>
      <w:r>
        <w:rPr>
          <w:rFonts w:hint="eastAsia" w:ascii="仿宋" w:hAnsi="仿宋" w:eastAsia="仿宋" w:cs="仿宋"/>
          <w:color w:val="auto"/>
          <w:sz w:val="30"/>
          <w:szCs w:val="30"/>
        </w:rPr>
        <w:t>另</w:t>
      </w:r>
      <w:r>
        <w:rPr>
          <w:rFonts w:hint="eastAsia" w:ascii="仿宋" w:hAnsi="仿宋" w:eastAsia="仿宋" w:cs="仿宋"/>
          <w:color w:val="auto"/>
          <w:sz w:val="30"/>
          <w:szCs w:val="30"/>
          <w:lang w:val="en-US" w:eastAsia="zh-CN"/>
        </w:rPr>
        <w:t>行支付</w:t>
      </w:r>
      <w:r>
        <w:rPr>
          <w:rFonts w:hint="eastAsia" w:ascii="仿宋" w:hAnsi="仿宋" w:eastAsia="仿宋" w:cs="仿宋"/>
          <w:color w:val="auto"/>
          <w:sz w:val="30"/>
          <w:szCs w:val="30"/>
        </w:rPr>
        <w:t>。</w:t>
      </w:r>
    </w:p>
    <w:p w14:paraId="547A1C1C">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outlineLvl w:val="0"/>
        <w:rPr>
          <w:rFonts w:hint="eastAsia"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.2因甲方不接受整改意见或不予整改时，乙方无法提供监测结果的，造成的损失由甲方负责。</w:t>
      </w:r>
    </w:p>
    <w:p w14:paraId="17AD344C">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第十</w:t>
      </w:r>
      <w:r>
        <w:rPr>
          <w:rFonts w:hint="eastAsia" w:ascii="仿宋" w:hAnsi="仿宋" w:eastAsia="仿宋" w:cs="仿宋"/>
          <w:b/>
          <w:bCs/>
          <w:color w:val="auto"/>
          <w:sz w:val="30"/>
          <w:szCs w:val="30"/>
          <w:lang w:val="en-US" w:eastAsia="zh-CN"/>
        </w:rPr>
        <w:t>三</w:t>
      </w:r>
      <w:r>
        <w:rPr>
          <w:rFonts w:hint="eastAsia" w:ascii="仿宋" w:hAnsi="仿宋" w:eastAsia="仿宋" w:cs="仿宋"/>
          <w:b/>
          <w:bCs/>
          <w:color w:val="auto"/>
          <w:sz w:val="30"/>
          <w:szCs w:val="30"/>
        </w:rPr>
        <w:t xml:space="preserve">条 </w:t>
      </w:r>
      <w:r>
        <w:rPr>
          <w:rFonts w:hint="eastAsia" w:ascii="仿宋" w:hAnsi="仿宋" w:eastAsia="仿宋" w:cs="仿宋"/>
          <w:color w:val="auto"/>
          <w:sz w:val="30"/>
          <w:szCs w:val="30"/>
        </w:rPr>
        <w:t>双方确定，在本合同有效期内，甲方指定</w:t>
      </w:r>
      <w:r>
        <w:rPr>
          <w:rFonts w:hint="eastAsia" w:ascii="仿宋" w:hAnsi="仿宋" w:eastAsia="仿宋" w:cs="仿宋"/>
          <w:color w:val="auto"/>
          <w:sz w:val="30"/>
          <w:szCs w:val="30"/>
          <w:u w:val="single"/>
        </w:rPr>
        <w:t xml:space="preserve"> 朱尹华</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、联系电话</w:t>
      </w:r>
      <w:r>
        <w:rPr>
          <w:rFonts w:hint="eastAsia" w:ascii="仿宋" w:hAnsi="仿宋" w:eastAsia="仿宋" w:cs="仿宋"/>
          <w:color w:val="auto"/>
          <w:sz w:val="30"/>
          <w:szCs w:val="30"/>
          <w:u w:val="single"/>
          <w:lang w:val="en-US" w:eastAsia="zh-CN"/>
        </w:rPr>
        <w:t xml:space="preserve"> 18890579233 </w:t>
      </w:r>
      <w:r>
        <w:rPr>
          <w:rFonts w:hint="eastAsia" w:ascii="仿宋" w:hAnsi="仿宋" w:eastAsia="仿宋" w:cs="仿宋"/>
          <w:color w:val="auto"/>
          <w:sz w:val="30"/>
          <w:szCs w:val="30"/>
        </w:rPr>
        <w:t>为甲方项目联系人，乙方指定</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none"/>
          <w:lang w:val="en-US" w:eastAsia="zh-CN"/>
        </w:rPr>
        <w:t>联系电话</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rPr>
        <w:t>为乙方项目联系人。</w:t>
      </w:r>
    </w:p>
    <w:p w14:paraId="1053543D">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第十</w:t>
      </w:r>
      <w:r>
        <w:rPr>
          <w:rFonts w:hint="eastAsia" w:ascii="仿宋" w:hAnsi="仿宋" w:eastAsia="仿宋" w:cs="仿宋"/>
          <w:b/>
          <w:bCs/>
          <w:color w:val="auto"/>
          <w:sz w:val="30"/>
          <w:szCs w:val="30"/>
          <w:lang w:val="en-US" w:eastAsia="zh-CN"/>
        </w:rPr>
        <w:t>四</w:t>
      </w:r>
      <w:r>
        <w:rPr>
          <w:rFonts w:hint="eastAsia" w:ascii="仿宋" w:hAnsi="仿宋" w:eastAsia="仿宋" w:cs="仿宋"/>
          <w:b/>
          <w:bCs/>
          <w:color w:val="auto"/>
          <w:sz w:val="30"/>
          <w:szCs w:val="30"/>
        </w:rPr>
        <w:t>条</w:t>
      </w:r>
      <w:r>
        <w:rPr>
          <w:rFonts w:hint="eastAsia" w:ascii="仿宋" w:hAnsi="仿宋" w:eastAsia="仿宋" w:cs="仿宋"/>
          <w:color w:val="auto"/>
          <w:sz w:val="30"/>
          <w:szCs w:val="30"/>
        </w:rPr>
        <w:t xml:space="preserve"> 双方确定，出现下列情形，致使本合同的履行成为不必要或不可能的，可以解除本合同：</w:t>
      </w:r>
    </w:p>
    <w:p w14:paraId="09DDE1A9">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1．</w:t>
      </w:r>
      <w:r>
        <w:rPr>
          <w:rFonts w:hint="eastAsia" w:ascii="仿宋" w:hAnsi="仿宋" w:eastAsia="仿宋" w:cs="仿宋"/>
          <w:color w:val="auto"/>
          <w:sz w:val="30"/>
          <w:szCs w:val="30"/>
          <w:u w:val="single"/>
        </w:rPr>
        <w:t>发生不可</w:t>
      </w:r>
      <w:r>
        <w:rPr>
          <w:rFonts w:hint="eastAsia" w:ascii="仿宋" w:hAnsi="仿宋" w:eastAsia="仿宋" w:cs="仿宋"/>
          <w:color w:val="auto"/>
          <w:sz w:val="30"/>
          <w:szCs w:val="30"/>
          <w:u w:val="single"/>
          <w:lang w:val="en-US" w:eastAsia="zh-CN"/>
        </w:rPr>
        <w:t>抗力</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w:t>
      </w:r>
    </w:p>
    <w:p w14:paraId="6A3BF311">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u w:val="single"/>
        </w:rPr>
        <w:t xml:space="preserve"> 一方提出解除合同并经另一方同意，双方</w:t>
      </w:r>
      <w:r>
        <w:rPr>
          <w:rFonts w:hint="eastAsia" w:ascii="仿宋" w:hAnsi="仿宋" w:eastAsia="仿宋" w:cs="仿宋"/>
          <w:color w:val="auto"/>
          <w:sz w:val="30"/>
          <w:szCs w:val="30"/>
          <w:u w:val="single"/>
          <w:lang w:eastAsia="zh-CN"/>
        </w:rPr>
        <w:t>签订书面</w:t>
      </w:r>
      <w:r>
        <w:rPr>
          <w:rFonts w:hint="eastAsia" w:ascii="仿宋" w:hAnsi="仿宋" w:eastAsia="仿宋" w:cs="仿宋"/>
          <w:color w:val="auto"/>
          <w:sz w:val="30"/>
          <w:szCs w:val="30"/>
          <w:u w:val="single"/>
        </w:rPr>
        <w:t>解除合同协议</w:t>
      </w:r>
      <w:r>
        <w:rPr>
          <w:rFonts w:hint="eastAsia" w:ascii="仿宋" w:hAnsi="仿宋" w:eastAsia="仿宋" w:cs="仿宋"/>
          <w:color w:val="auto"/>
          <w:sz w:val="30"/>
          <w:szCs w:val="30"/>
        </w:rPr>
        <w:t>。</w:t>
      </w:r>
    </w:p>
    <w:p w14:paraId="4E4FD772">
      <w:pPr>
        <w:keepNext w:val="0"/>
        <w:keepLines w:val="0"/>
        <w:pageBreakBefore w:val="0"/>
        <w:widowControl w:val="0"/>
        <w:kinsoku/>
        <w:overflowPunct/>
        <w:topLinePunct/>
        <w:autoSpaceDE/>
        <w:autoSpaceDN/>
        <w:bidi w:val="0"/>
        <w:adjustRightInd/>
        <w:snapToGrid/>
        <w:spacing w:line="480" w:lineRule="exact"/>
        <w:ind w:left="0"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第十</w:t>
      </w:r>
      <w:r>
        <w:rPr>
          <w:rFonts w:hint="eastAsia" w:ascii="仿宋" w:hAnsi="仿宋" w:eastAsia="仿宋" w:cs="仿宋"/>
          <w:b/>
          <w:bCs/>
          <w:color w:val="auto"/>
          <w:sz w:val="30"/>
          <w:szCs w:val="30"/>
          <w:lang w:val="en-US" w:eastAsia="zh-CN"/>
        </w:rPr>
        <w:t>五</w:t>
      </w:r>
      <w:r>
        <w:rPr>
          <w:rFonts w:hint="eastAsia" w:ascii="仿宋" w:hAnsi="仿宋" w:eastAsia="仿宋" w:cs="仿宋"/>
          <w:b/>
          <w:bCs/>
          <w:color w:val="auto"/>
          <w:sz w:val="30"/>
          <w:szCs w:val="30"/>
        </w:rPr>
        <w:t xml:space="preserve">条 </w:t>
      </w:r>
      <w:r>
        <w:rPr>
          <w:rFonts w:hint="eastAsia" w:ascii="仿宋" w:hAnsi="仿宋" w:eastAsia="仿宋" w:cs="仿宋"/>
          <w:color w:val="auto"/>
          <w:sz w:val="30"/>
          <w:szCs w:val="30"/>
        </w:rPr>
        <w:t>乙方出现以下违约情形之一的，甲方有权单方面解除合同：</w:t>
      </w:r>
    </w:p>
    <w:p w14:paraId="27930FAD">
      <w:pPr>
        <w:keepNext w:val="0"/>
        <w:keepLines w:val="0"/>
        <w:pageBreakBefore w:val="0"/>
        <w:widowControl w:val="0"/>
        <w:kinsoku/>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.1 乙</w:t>
      </w:r>
      <w:r>
        <w:rPr>
          <w:rFonts w:hint="eastAsia" w:ascii="仿宋" w:hAnsi="仿宋" w:eastAsia="仿宋" w:cs="仿宋"/>
          <w:color w:val="auto"/>
          <w:sz w:val="30"/>
          <w:szCs w:val="30"/>
          <w:lang w:val="en-US" w:eastAsia="zh-CN"/>
        </w:rPr>
        <w:t>方超过10日未向甲方交付符合本合同约定成果</w:t>
      </w:r>
      <w:r>
        <w:rPr>
          <w:rFonts w:hint="eastAsia" w:ascii="仿宋" w:hAnsi="仿宋" w:eastAsia="仿宋" w:cs="仿宋"/>
          <w:color w:val="auto"/>
          <w:sz w:val="30"/>
          <w:szCs w:val="30"/>
        </w:rPr>
        <w:t>的；</w:t>
      </w:r>
    </w:p>
    <w:p w14:paraId="606953E0">
      <w:pPr>
        <w:keepNext w:val="0"/>
        <w:keepLines w:val="0"/>
        <w:pageBreakBefore w:val="0"/>
        <w:widowControl w:val="0"/>
        <w:kinsoku/>
        <w:overflowPunct/>
        <w:topLinePunct/>
        <w:autoSpaceDE/>
        <w:autoSpaceDN/>
        <w:bidi w:val="0"/>
        <w:adjustRightInd/>
        <w:snapToGrid/>
        <w:spacing w:line="480" w:lineRule="exact"/>
        <w:ind w:lef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.2 乙方将服务转包、分包给第三方；</w:t>
      </w:r>
    </w:p>
    <w:p w14:paraId="2F3328FC">
      <w:pPr>
        <w:keepNext w:val="0"/>
        <w:keepLines w:val="0"/>
        <w:pageBreakBefore w:val="0"/>
        <w:widowControl w:val="0"/>
        <w:kinsoku/>
        <w:overflowPunct/>
        <w:autoSpaceDE/>
        <w:autoSpaceDN/>
        <w:bidi w:val="0"/>
        <w:adjustRightInd/>
        <w:snapToGrid/>
        <w:spacing w:line="480" w:lineRule="exact"/>
        <w:ind w:firstLine="600" w:firstLineChars="200"/>
        <w:jc w:val="both"/>
        <w:textAlignment w:val="auto"/>
        <w:rPr>
          <w:rFonts w:hint="eastAsia" w:ascii="仿宋" w:hAnsi="仿宋" w:eastAsia="仿宋" w:cs="仿宋"/>
          <w:b/>
          <w:bCs/>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.3其他根本违约的情形。</w:t>
      </w:r>
    </w:p>
    <w:p w14:paraId="00C9A142">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第十</w:t>
      </w:r>
      <w:r>
        <w:rPr>
          <w:rFonts w:hint="eastAsia" w:ascii="仿宋" w:hAnsi="仿宋" w:eastAsia="仿宋" w:cs="仿宋"/>
          <w:b/>
          <w:bCs/>
          <w:color w:val="auto"/>
          <w:sz w:val="30"/>
          <w:szCs w:val="30"/>
          <w:lang w:val="en-US" w:eastAsia="zh-CN"/>
        </w:rPr>
        <w:t>六</w:t>
      </w:r>
      <w:r>
        <w:rPr>
          <w:rFonts w:hint="eastAsia" w:ascii="仿宋" w:hAnsi="仿宋" w:eastAsia="仿宋" w:cs="仿宋"/>
          <w:b/>
          <w:bCs/>
          <w:color w:val="auto"/>
          <w:sz w:val="30"/>
          <w:szCs w:val="30"/>
        </w:rPr>
        <w:t>条</w:t>
      </w:r>
      <w:r>
        <w:rPr>
          <w:rFonts w:hint="eastAsia" w:ascii="仿宋" w:hAnsi="仿宋" w:eastAsia="仿宋" w:cs="仿宋"/>
          <w:color w:val="auto"/>
          <w:sz w:val="30"/>
          <w:szCs w:val="30"/>
        </w:rPr>
        <w:t xml:space="preserve"> 双方因履行本合同而发生的争议，应协商、调解解决。协商、调解不成的，依法向甲方所在地有管辖权的人民法院起诉。</w:t>
      </w:r>
    </w:p>
    <w:p w14:paraId="3B6D65C1">
      <w:pPr>
        <w:keepNext w:val="0"/>
        <w:keepLines w:val="0"/>
        <w:pageBreakBefore w:val="0"/>
        <w:widowControl w:val="0"/>
        <w:kinsoku/>
        <w:overflowPunct/>
        <w:topLinePunct/>
        <w:autoSpaceDE/>
        <w:autoSpaceDN/>
        <w:bidi w:val="0"/>
        <w:adjustRightInd/>
        <w:snapToGrid/>
        <w:spacing w:line="480" w:lineRule="exact"/>
        <w:ind w:left="0"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第十</w:t>
      </w:r>
      <w:r>
        <w:rPr>
          <w:rFonts w:hint="eastAsia" w:ascii="仿宋" w:hAnsi="仿宋" w:eastAsia="仿宋" w:cs="仿宋"/>
          <w:b/>
          <w:bCs/>
          <w:color w:val="auto"/>
          <w:sz w:val="30"/>
          <w:szCs w:val="30"/>
          <w:lang w:val="en-US" w:eastAsia="zh-CN"/>
        </w:rPr>
        <w:t>七</w:t>
      </w:r>
      <w:r>
        <w:rPr>
          <w:rFonts w:hint="eastAsia" w:ascii="仿宋" w:hAnsi="仿宋" w:eastAsia="仿宋" w:cs="仿宋"/>
          <w:b/>
          <w:bCs/>
          <w:color w:val="auto"/>
          <w:sz w:val="30"/>
          <w:szCs w:val="30"/>
        </w:rPr>
        <w:t>条</w:t>
      </w:r>
      <w:r>
        <w:rPr>
          <w:rFonts w:hint="eastAsia" w:ascii="仿宋" w:hAnsi="仿宋" w:eastAsia="仿宋" w:cs="仿宋"/>
          <w:color w:val="auto"/>
          <w:sz w:val="30"/>
          <w:szCs w:val="30"/>
        </w:rPr>
        <w:t xml:space="preserve"> 本合同组成文件和优先解释权：</w:t>
      </w:r>
      <w:r>
        <w:rPr>
          <w:rFonts w:hint="eastAsia" w:ascii="仿宋" w:hAnsi="仿宋" w:eastAsia="仿宋" w:cs="仿宋"/>
          <w:color w:val="auto"/>
          <w:sz w:val="30"/>
          <w:szCs w:val="30"/>
          <w:lang w:eastAsia="zh-CN"/>
        </w:rPr>
        <w:t>乙方在履行本合同中作出的书面承诺；</w:t>
      </w:r>
      <w:r>
        <w:rPr>
          <w:rFonts w:hint="eastAsia" w:ascii="仿宋" w:hAnsi="仿宋" w:eastAsia="仿宋" w:cs="仿宋"/>
          <w:color w:val="auto"/>
          <w:sz w:val="30"/>
          <w:szCs w:val="30"/>
        </w:rPr>
        <w:t>本合同补充协议；本合同及附件；</w:t>
      </w:r>
      <w:r>
        <w:rPr>
          <w:rFonts w:hint="eastAsia" w:ascii="仿宋" w:hAnsi="仿宋" w:eastAsia="仿宋" w:cs="仿宋"/>
          <w:color w:val="auto"/>
          <w:sz w:val="30"/>
          <w:szCs w:val="30"/>
          <w:lang w:eastAsia="zh-CN"/>
        </w:rPr>
        <w:t>中标通知书</w:t>
      </w:r>
      <w:r>
        <w:rPr>
          <w:rFonts w:hint="eastAsia" w:ascii="仿宋" w:hAnsi="仿宋" w:eastAsia="仿宋" w:cs="仿宋"/>
          <w:color w:val="auto"/>
          <w:sz w:val="30"/>
          <w:szCs w:val="30"/>
          <w:lang w:val="en-US" w:eastAsia="zh-CN"/>
        </w:rPr>
        <w:t>/成交通知书/</w:t>
      </w:r>
      <w:r>
        <w:rPr>
          <w:rFonts w:hint="eastAsia" w:ascii="仿宋" w:hAnsi="仿宋" w:eastAsia="仿宋" w:cs="仿宋"/>
          <w:color w:val="auto"/>
          <w:sz w:val="30"/>
          <w:szCs w:val="30"/>
        </w:rPr>
        <w:t>议价结果公示</w:t>
      </w:r>
      <w:r>
        <w:rPr>
          <w:rFonts w:hint="eastAsia" w:ascii="仿宋" w:hAnsi="仿宋" w:eastAsia="仿宋" w:cs="仿宋"/>
          <w:color w:val="auto"/>
          <w:sz w:val="30"/>
          <w:szCs w:val="30"/>
          <w:lang w:val="en-US" w:eastAsia="zh-CN"/>
        </w:rPr>
        <w:t>/成交公告</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投标文件</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响应文件；</w:t>
      </w:r>
      <w:r>
        <w:rPr>
          <w:rFonts w:hint="eastAsia" w:ascii="仿宋" w:hAnsi="仿宋" w:eastAsia="仿宋" w:cs="仿宋"/>
          <w:color w:val="auto"/>
          <w:sz w:val="30"/>
          <w:szCs w:val="30"/>
          <w:lang w:eastAsia="zh-CN"/>
        </w:rPr>
        <w:t>招标文件</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采购文件</w:t>
      </w:r>
      <w:r>
        <w:rPr>
          <w:rFonts w:hint="eastAsia" w:ascii="仿宋" w:hAnsi="仿宋" w:eastAsia="仿宋" w:cs="仿宋"/>
          <w:color w:val="auto"/>
          <w:sz w:val="30"/>
          <w:szCs w:val="30"/>
          <w:lang w:val="en-US" w:eastAsia="zh-CN"/>
        </w:rPr>
        <w:t>/采购需求</w:t>
      </w:r>
      <w:r>
        <w:rPr>
          <w:rFonts w:hint="eastAsia" w:ascii="仿宋" w:hAnsi="仿宋" w:eastAsia="仿宋" w:cs="仿宋"/>
          <w:color w:val="auto"/>
          <w:sz w:val="30"/>
          <w:szCs w:val="30"/>
        </w:rPr>
        <w:t>；其他与本合同有关的资料。</w:t>
      </w:r>
    </w:p>
    <w:p w14:paraId="7102A8F8">
      <w:pPr>
        <w:keepNext w:val="0"/>
        <w:keepLines w:val="0"/>
        <w:pageBreakBefore w:val="0"/>
        <w:widowControl w:val="0"/>
        <w:kinsoku/>
        <w:overflowPunct/>
        <w:autoSpaceDE/>
        <w:autoSpaceDN/>
        <w:bidi w:val="0"/>
        <w:adjustRightInd/>
        <w:snapToGrid/>
        <w:spacing w:line="480" w:lineRule="exact"/>
        <w:ind w:firstLine="602" w:firstLineChars="200"/>
        <w:jc w:val="both"/>
        <w:textAlignment w:val="auto"/>
        <w:rPr>
          <w:rFonts w:hint="eastAsia" w:ascii="仿宋" w:hAnsi="仿宋" w:eastAsia="仿宋" w:cs="仿宋"/>
          <w:color w:val="auto"/>
          <w:sz w:val="30"/>
          <w:szCs w:val="30"/>
        </w:rPr>
      </w:pPr>
      <w:r>
        <w:rPr>
          <w:rFonts w:hint="eastAsia" w:ascii="仿宋" w:hAnsi="仿宋" w:eastAsia="仿宋" w:cs="仿宋"/>
          <w:b/>
          <w:bCs/>
          <w:color w:val="auto"/>
          <w:sz w:val="30"/>
          <w:szCs w:val="30"/>
        </w:rPr>
        <w:t>第十</w:t>
      </w:r>
      <w:r>
        <w:rPr>
          <w:rFonts w:hint="eastAsia" w:ascii="仿宋" w:hAnsi="仿宋" w:eastAsia="仿宋" w:cs="仿宋"/>
          <w:b/>
          <w:bCs/>
          <w:color w:val="auto"/>
          <w:sz w:val="30"/>
          <w:szCs w:val="30"/>
          <w:lang w:val="en-US" w:eastAsia="zh-CN"/>
        </w:rPr>
        <w:t>八</w:t>
      </w:r>
      <w:r>
        <w:rPr>
          <w:rFonts w:hint="eastAsia" w:ascii="仿宋" w:hAnsi="仿宋" w:eastAsia="仿宋" w:cs="仿宋"/>
          <w:b/>
          <w:bCs/>
          <w:color w:val="auto"/>
          <w:sz w:val="30"/>
          <w:szCs w:val="30"/>
        </w:rPr>
        <w:t>条</w:t>
      </w:r>
      <w:r>
        <w:rPr>
          <w:rFonts w:hint="eastAsia" w:ascii="仿宋" w:hAnsi="仿宋" w:eastAsia="仿宋" w:cs="仿宋"/>
          <w:color w:val="auto"/>
          <w:sz w:val="30"/>
          <w:szCs w:val="30"/>
        </w:rPr>
        <w:t xml:space="preserve"> 本合同经双方签字盖章后生效。本合同一式</w:t>
      </w:r>
      <w:r>
        <w:rPr>
          <w:rFonts w:hint="eastAsia" w:ascii="仿宋" w:hAnsi="仿宋" w:eastAsia="仿宋" w:cs="仿宋"/>
          <w:color w:val="auto"/>
          <w:sz w:val="30"/>
          <w:szCs w:val="30"/>
          <w:u w:val="single"/>
        </w:rPr>
        <w:t xml:space="preserve"> </w:t>
      </w:r>
      <w:r>
        <w:rPr>
          <w:rFonts w:hint="eastAsia" w:ascii="仿宋" w:hAnsi="仿宋" w:eastAsia="仿宋" w:cs="仿宋"/>
          <w:b/>
          <w:color w:val="auto"/>
          <w:sz w:val="30"/>
          <w:szCs w:val="30"/>
          <w:u w:val="single"/>
        </w:rPr>
        <w:t>伍</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份，具有同等法律效力。本合同甲方执叁份、乙方执贰份。</w:t>
      </w:r>
    </w:p>
    <w:p w14:paraId="26F7EB95">
      <w:pPr>
        <w:pageBreakBefore w:val="0"/>
        <w:kinsoku/>
        <w:overflowPunct/>
        <w:bidi w:val="0"/>
        <w:spacing w:line="460" w:lineRule="exact"/>
        <w:textAlignment w:val="auto"/>
        <w:rPr>
          <w:rFonts w:hint="eastAsia" w:ascii="仿宋" w:hAnsi="仿宋" w:eastAsia="仿宋" w:cs="仿宋"/>
          <w:color w:val="auto"/>
          <w:sz w:val="30"/>
          <w:szCs w:val="30"/>
        </w:rPr>
      </w:pPr>
    </w:p>
    <w:p w14:paraId="69D416C8">
      <w:pPr>
        <w:pageBreakBefore w:val="0"/>
        <w:kinsoku/>
        <w:overflowPunct/>
        <w:bidi w:val="0"/>
        <w:spacing w:line="460" w:lineRule="exact"/>
        <w:ind w:left="8348" w:leftChars="261" w:hanging="7800" w:hangingChars="2600"/>
        <w:jc w:val="left"/>
        <w:textAlignment w:val="auto"/>
        <w:rPr>
          <w:rFonts w:hint="eastAsia" w:ascii="仿宋" w:hAnsi="仿宋" w:eastAsia="仿宋" w:cs="仿宋"/>
          <w:color w:val="auto"/>
          <w:sz w:val="30"/>
          <w:szCs w:val="30"/>
        </w:rPr>
      </w:pPr>
    </w:p>
    <w:p w14:paraId="07A7A528">
      <w:pPr>
        <w:pageBreakBefore w:val="0"/>
        <w:kinsoku/>
        <w:overflowPunct/>
        <w:bidi w:val="0"/>
        <w:spacing w:line="460" w:lineRule="exact"/>
        <w:ind w:left="8348" w:leftChars="261" w:hanging="7800" w:hangingChars="26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甲方（盖章）：</w:t>
      </w:r>
      <w:r>
        <w:rPr>
          <w:rFonts w:hint="eastAsia" w:ascii="仿宋" w:hAnsi="仿宋" w:eastAsia="仿宋" w:cs="仿宋"/>
          <w:color w:val="auto"/>
          <w:sz w:val="30"/>
          <w:szCs w:val="30"/>
          <w:u w:val="single"/>
        </w:rPr>
        <w:t xml:space="preserve">      娄底市中心医院                 </w:t>
      </w:r>
    </w:p>
    <w:p w14:paraId="51F6841B">
      <w:pPr>
        <w:pStyle w:val="6"/>
        <w:pageBreakBefore w:val="0"/>
        <w:kinsoku/>
        <w:overflowPunct/>
        <w:bidi w:val="0"/>
        <w:spacing w:line="460" w:lineRule="exact"/>
        <w:textAlignment w:val="auto"/>
        <w:rPr>
          <w:rFonts w:hint="eastAsia" w:ascii="仿宋" w:hAnsi="仿宋" w:eastAsia="仿宋" w:cs="仿宋"/>
          <w:color w:val="auto"/>
          <w:sz w:val="30"/>
          <w:szCs w:val="30"/>
        </w:rPr>
      </w:pPr>
    </w:p>
    <w:p w14:paraId="7D6135E9">
      <w:pPr>
        <w:pageBreakBefore w:val="0"/>
        <w:kinsoku/>
        <w:overflowPunct/>
        <w:bidi w:val="0"/>
        <w:spacing w:line="460" w:lineRule="exact"/>
        <w:ind w:firstLine="56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法定代表人／委托代理人（签名）：</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p>
    <w:p w14:paraId="46D6D4E8">
      <w:pPr>
        <w:pageBreakBefore w:val="0"/>
        <w:kinsoku/>
        <w:overflowPunct/>
        <w:bidi w:val="0"/>
        <w:spacing w:line="460" w:lineRule="exact"/>
        <w:ind w:firstLine="56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 xml:space="preserve"> 年</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月</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日</w:t>
      </w:r>
    </w:p>
    <w:p w14:paraId="62E35553">
      <w:pPr>
        <w:pageBreakBefore w:val="0"/>
        <w:kinsoku/>
        <w:overflowPunct/>
        <w:bidi w:val="0"/>
        <w:spacing w:line="460" w:lineRule="exact"/>
        <w:textAlignment w:val="auto"/>
        <w:rPr>
          <w:rFonts w:hint="eastAsia" w:ascii="仿宋" w:hAnsi="仿宋" w:eastAsia="仿宋" w:cs="仿宋"/>
          <w:color w:val="auto"/>
          <w:sz w:val="30"/>
          <w:szCs w:val="30"/>
        </w:rPr>
      </w:pPr>
    </w:p>
    <w:p w14:paraId="318530E5">
      <w:pPr>
        <w:pageBreakBefore w:val="0"/>
        <w:kinsoku/>
        <w:overflowPunct/>
        <w:bidi w:val="0"/>
        <w:spacing w:line="460" w:lineRule="exact"/>
        <w:ind w:firstLine="549"/>
        <w:textAlignment w:val="auto"/>
        <w:rPr>
          <w:rFonts w:hint="eastAsia" w:ascii="仿宋" w:hAnsi="仿宋" w:eastAsia="仿宋" w:cs="仿宋"/>
          <w:color w:val="auto"/>
          <w:sz w:val="30"/>
          <w:szCs w:val="30"/>
        </w:rPr>
      </w:pPr>
    </w:p>
    <w:p w14:paraId="0D9AB9D7">
      <w:pPr>
        <w:pageBreakBefore w:val="0"/>
        <w:kinsoku/>
        <w:overflowPunct/>
        <w:bidi w:val="0"/>
        <w:spacing w:line="460" w:lineRule="exact"/>
        <w:ind w:firstLine="54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乙方（盖章）：</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rPr>
        <w:t xml:space="preserve"> </w:t>
      </w:r>
    </w:p>
    <w:p w14:paraId="1E5B01D6">
      <w:pPr>
        <w:pageBreakBefore w:val="0"/>
        <w:kinsoku/>
        <w:overflowPunct/>
        <w:bidi w:val="0"/>
        <w:spacing w:line="460" w:lineRule="exact"/>
        <w:ind w:left="8348" w:leftChars="261" w:hanging="7800" w:hangingChars="26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p>
    <w:p w14:paraId="4486A917">
      <w:pPr>
        <w:pageBreakBefore w:val="0"/>
        <w:kinsoku/>
        <w:overflowPunct/>
        <w:bidi w:val="0"/>
        <w:spacing w:line="460" w:lineRule="exact"/>
        <w:ind w:left="8348" w:leftChars="261" w:hanging="7800" w:hangingChars="2600"/>
        <w:textAlignment w:val="auto"/>
        <w:rPr>
          <w:rFonts w:hint="eastAsia" w:ascii="仿宋" w:hAnsi="仿宋" w:eastAsia="仿宋" w:cs="仿宋"/>
          <w:color w:val="auto"/>
          <w:sz w:val="30"/>
          <w:szCs w:val="30"/>
          <w:u w:val="single"/>
        </w:rPr>
      </w:pPr>
    </w:p>
    <w:p w14:paraId="7E441EF0">
      <w:pPr>
        <w:pageBreakBefore w:val="0"/>
        <w:kinsoku/>
        <w:overflowPunct/>
        <w:bidi w:val="0"/>
        <w:spacing w:line="460" w:lineRule="exac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 xml:space="preserve">    法定代表人／委托代理人（签名）：</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78CC1BF6">
      <w:pPr>
        <w:pageBreakBefore w:val="0"/>
        <w:kinsoku/>
        <w:overflowPunct/>
        <w:bidi w:val="0"/>
        <w:spacing w:line="46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p>
    <w:p w14:paraId="2064447A">
      <w:pPr>
        <w:pStyle w:val="13"/>
        <w:pageBreakBefore w:val="0"/>
        <w:kinsoku/>
        <w:overflowPunct/>
        <w:bidi w:val="0"/>
        <w:spacing w:line="460" w:lineRule="exact"/>
        <w:textAlignment w:val="auto"/>
        <w:rPr>
          <w:rFonts w:hint="eastAsia" w:ascii="仿宋" w:hAnsi="仿宋" w:eastAsia="仿宋" w:cs="仿宋"/>
          <w:color w:val="auto"/>
          <w:sz w:val="30"/>
          <w:szCs w:val="30"/>
        </w:rPr>
      </w:pPr>
    </w:p>
    <w:p w14:paraId="79504C02">
      <w:pPr>
        <w:pageBreakBefore w:val="0"/>
        <w:kinsoku/>
        <w:overflowPunct/>
        <w:bidi w:val="0"/>
        <w:spacing w:line="460" w:lineRule="exact"/>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合同履行地签订地：娄底市娄星区</w:t>
      </w:r>
      <w:r>
        <w:rPr>
          <w:rFonts w:hint="eastAsia" w:ascii="仿宋" w:hAnsi="仿宋" w:eastAsia="仿宋" w:cs="仿宋"/>
          <w:color w:val="auto"/>
          <w:sz w:val="30"/>
          <w:szCs w:val="30"/>
          <w:lang w:val="en-US" w:eastAsia="zh-CN"/>
        </w:rPr>
        <w:t xml:space="preserve">    签订时间：   年  月  日</w:t>
      </w:r>
    </w:p>
    <w:p w14:paraId="3FB1759F">
      <w:pPr>
        <w:rPr>
          <w:rFonts w:hint="default"/>
          <w:color w:val="auto"/>
          <w:lang w:val="en-US" w:eastAsia="zh-CN"/>
        </w:rPr>
      </w:pPr>
    </w:p>
    <w:p w14:paraId="6D2272C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1630ECF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552392A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74B5D8D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附件2</w:t>
      </w:r>
    </w:p>
    <w:p w14:paraId="3B3F229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drawing>
          <wp:inline distT="0" distB="0" distL="114300" distR="114300">
            <wp:extent cx="5682615" cy="8084185"/>
            <wp:effectExtent l="0" t="0" r="13335" b="12065"/>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
                    <pic:cNvPicPr>
                      <a:picLocks noChangeAspect="1"/>
                    </pic:cNvPicPr>
                  </pic:nvPicPr>
                  <pic:blipFill>
                    <a:blip r:embed="rId13"/>
                    <a:stretch>
                      <a:fillRect/>
                    </a:stretch>
                  </pic:blipFill>
                  <pic:spPr>
                    <a:xfrm>
                      <a:off x="0" y="0"/>
                      <a:ext cx="5682615" cy="8084185"/>
                    </a:xfrm>
                    <a:prstGeom prst="rect">
                      <a:avLst/>
                    </a:prstGeom>
                  </pic:spPr>
                </pic:pic>
              </a:graphicData>
            </a:graphic>
          </wp:inline>
        </w:drawing>
      </w:r>
      <w:r>
        <w:rPr>
          <w:rFonts w:hint="default" w:ascii="宋体" w:hAnsi="宋体" w:eastAsia="宋体" w:cs="宋体"/>
          <w:color w:val="auto"/>
          <w:sz w:val="24"/>
          <w:szCs w:val="24"/>
          <w:lang w:val="en-US" w:eastAsia="zh-CN"/>
        </w:rPr>
        <w:drawing>
          <wp:inline distT="0" distB="0" distL="114300" distR="114300">
            <wp:extent cx="5906135" cy="8448675"/>
            <wp:effectExtent l="0" t="0" r="18415" b="9525"/>
            <wp:docPr id="4"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
                    <pic:cNvPicPr>
                      <a:picLocks noChangeAspect="1"/>
                    </pic:cNvPicPr>
                  </pic:nvPicPr>
                  <pic:blipFill>
                    <a:blip r:embed="rId14"/>
                    <a:stretch>
                      <a:fillRect/>
                    </a:stretch>
                  </pic:blipFill>
                  <pic:spPr>
                    <a:xfrm>
                      <a:off x="0" y="0"/>
                      <a:ext cx="5906135" cy="8448675"/>
                    </a:xfrm>
                    <a:prstGeom prst="rect">
                      <a:avLst/>
                    </a:prstGeom>
                  </pic:spPr>
                </pic:pic>
              </a:graphicData>
            </a:graphic>
          </wp:inline>
        </w:drawing>
      </w:r>
      <w:r>
        <w:rPr>
          <w:rFonts w:hint="default" w:ascii="宋体" w:hAnsi="宋体" w:eastAsia="宋体" w:cs="宋体"/>
          <w:color w:val="auto"/>
          <w:sz w:val="24"/>
          <w:szCs w:val="24"/>
          <w:lang w:val="en-US" w:eastAsia="zh-CN"/>
        </w:rPr>
        <w:drawing>
          <wp:inline distT="0" distB="0" distL="114300" distR="114300">
            <wp:extent cx="5897880" cy="8319135"/>
            <wp:effectExtent l="0" t="0" r="7620" b="5715"/>
            <wp:docPr id="8" name="图片 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
                    <pic:cNvPicPr>
                      <a:picLocks noChangeAspect="1"/>
                    </pic:cNvPicPr>
                  </pic:nvPicPr>
                  <pic:blipFill>
                    <a:blip r:embed="rId15"/>
                    <a:stretch>
                      <a:fillRect/>
                    </a:stretch>
                  </pic:blipFill>
                  <pic:spPr>
                    <a:xfrm>
                      <a:off x="0" y="0"/>
                      <a:ext cx="5897880" cy="8319135"/>
                    </a:xfrm>
                    <a:prstGeom prst="rect">
                      <a:avLst/>
                    </a:prstGeom>
                  </pic:spPr>
                </pic:pic>
              </a:graphicData>
            </a:graphic>
          </wp:inline>
        </w:drawing>
      </w:r>
      <w:r>
        <w:rPr>
          <w:rFonts w:hint="default" w:ascii="宋体" w:hAnsi="宋体" w:eastAsia="宋体" w:cs="宋体"/>
          <w:color w:val="auto"/>
          <w:sz w:val="24"/>
          <w:szCs w:val="24"/>
          <w:lang w:val="en-US" w:eastAsia="zh-CN"/>
        </w:rPr>
        <w:drawing>
          <wp:inline distT="0" distB="0" distL="114300" distR="114300">
            <wp:extent cx="5936615" cy="8377555"/>
            <wp:effectExtent l="0" t="0" r="6985" b="4445"/>
            <wp:docPr id="9" name="图片 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
                    <pic:cNvPicPr>
                      <a:picLocks noChangeAspect="1"/>
                    </pic:cNvPicPr>
                  </pic:nvPicPr>
                  <pic:blipFill>
                    <a:blip r:embed="rId16"/>
                    <a:stretch>
                      <a:fillRect/>
                    </a:stretch>
                  </pic:blipFill>
                  <pic:spPr>
                    <a:xfrm>
                      <a:off x="0" y="0"/>
                      <a:ext cx="5936615" cy="8377555"/>
                    </a:xfrm>
                    <a:prstGeom prst="rect">
                      <a:avLst/>
                    </a:prstGeom>
                  </pic:spPr>
                </pic:pic>
              </a:graphicData>
            </a:graphic>
          </wp:inline>
        </w:drawing>
      </w:r>
    </w:p>
    <w:p w14:paraId="71A45D00">
      <w:pPr>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br w:type="page"/>
      </w:r>
    </w:p>
    <w:p w14:paraId="3C23EC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第三章</w:t>
      </w:r>
      <w:bookmarkStart w:id="1" w:name="_Toc16523573"/>
      <w:r>
        <w:rPr>
          <w:rFonts w:hint="eastAsia" w:ascii="方正小标宋简体" w:hAnsi="方正小标宋简体" w:eastAsia="方正小标宋简体" w:cs="方正小标宋简体"/>
          <w:color w:val="auto"/>
          <w:sz w:val="44"/>
          <w:szCs w:val="44"/>
          <w:lang w:val="en-US" w:eastAsia="zh-CN"/>
        </w:rPr>
        <w:t>评标方法及标准</w:t>
      </w:r>
      <w:bookmarkEnd w:id="1"/>
    </w:p>
    <w:p w14:paraId="1FF950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宋体" w:hAnsi="宋体" w:cs="宋体"/>
          <w:color w:val="auto"/>
          <w:sz w:val="28"/>
          <w:szCs w:val="28"/>
          <w:lang w:val="en-US" w:eastAsia="zh-CN"/>
        </w:rPr>
        <w:t>本项目采用综合评分法，评标方法及标准见下表：</w:t>
      </w:r>
    </w:p>
    <w:tbl>
      <w:tblPr>
        <w:tblStyle w:val="14"/>
        <w:tblW w:w="84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45" w:type="dxa"/>
          <w:left w:w="96" w:type="dxa"/>
          <w:bottom w:w="45" w:type="dxa"/>
          <w:right w:w="96" w:type="dxa"/>
        </w:tblCellMar>
      </w:tblPr>
      <w:tblGrid>
        <w:gridCol w:w="765"/>
        <w:gridCol w:w="1860"/>
        <w:gridCol w:w="4494"/>
        <w:gridCol w:w="1290"/>
      </w:tblGrid>
      <w:tr w14:paraId="3ACDD0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tblHeader/>
          <w:jc w:val="center"/>
        </w:trPr>
        <w:tc>
          <w:tcPr>
            <w:tcW w:w="765" w:type="dxa"/>
            <w:tcBorders>
              <w:tl2br w:val="nil"/>
              <w:tr2bl w:val="nil"/>
            </w:tcBorders>
            <w:noWrap w:val="0"/>
            <w:vAlign w:val="center"/>
          </w:tcPr>
          <w:p w14:paraId="4B0C96D6">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b/>
                <w:color w:val="auto"/>
                <w:sz w:val="24"/>
                <w:szCs w:val="24"/>
                <w:lang w:eastAsia="zh-CN"/>
              </w:rPr>
            </w:pPr>
            <w:r>
              <w:rPr>
                <w:rFonts w:hint="eastAsia" w:ascii="仿宋" w:hAnsi="仿宋" w:eastAsia="仿宋" w:cs="仿宋"/>
                <w:b/>
                <w:bCs/>
                <w:color w:val="auto"/>
                <w:sz w:val="24"/>
                <w:szCs w:val="24"/>
                <w:lang w:eastAsia="zh-CN"/>
              </w:rPr>
              <w:t>评审因素</w:t>
            </w:r>
          </w:p>
        </w:tc>
        <w:tc>
          <w:tcPr>
            <w:tcW w:w="1860" w:type="dxa"/>
            <w:tcBorders>
              <w:tl2br w:val="nil"/>
              <w:tr2bl w:val="nil"/>
            </w:tcBorders>
            <w:noWrap w:val="0"/>
            <w:vAlign w:val="center"/>
          </w:tcPr>
          <w:p w14:paraId="69723CC8">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评审项目</w:t>
            </w:r>
          </w:p>
        </w:tc>
        <w:tc>
          <w:tcPr>
            <w:tcW w:w="4494" w:type="dxa"/>
            <w:tcBorders>
              <w:tl2br w:val="nil"/>
              <w:tr2bl w:val="nil"/>
            </w:tcBorders>
            <w:noWrap w:val="0"/>
            <w:vAlign w:val="center"/>
          </w:tcPr>
          <w:p w14:paraId="69F3609E">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b/>
                <w:color w:val="auto"/>
                <w:sz w:val="24"/>
                <w:szCs w:val="24"/>
                <w:lang w:eastAsia="zh-CN"/>
              </w:rPr>
            </w:pPr>
            <w:r>
              <w:rPr>
                <w:rFonts w:hint="eastAsia" w:ascii="仿宋" w:hAnsi="仿宋" w:eastAsia="仿宋" w:cs="仿宋"/>
                <w:b/>
                <w:bCs/>
                <w:color w:val="auto"/>
                <w:sz w:val="24"/>
                <w:szCs w:val="24"/>
                <w:lang w:eastAsia="zh-CN"/>
              </w:rPr>
              <w:t>评分标准</w:t>
            </w:r>
          </w:p>
        </w:tc>
        <w:tc>
          <w:tcPr>
            <w:tcW w:w="1290" w:type="dxa"/>
            <w:tcBorders>
              <w:tl2br w:val="nil"/>
              <w:tr2bl w:val="nil"/>
            </w:tcBorders>
            <w:noWrap w:val="0"/>
            <w:vAlign w:val="center"/>
          </w:tcPr>
          <w:p w14:paraId="6459B964">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en-US" w:eastAsia="zh-CN"/>
              </w:rPr>
              <w:t>分值</w:t>
            </w:r>
          </w:p>
        </w:tc>
      </w:tr>
      <w:tr w14:paraId="4DACE6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765" w:type="dxa"/>
            <w:tcBorders>
              <w:tl2br w:val="nil"/>
              <w:tr2bl w:val="nil"/>
            </w:tcBorders>
            <w:noWrap w:val="0"/>
            <w:vAlign w:val="center"/>
          </w:tcPr>
          <w:p w14:paraId="3CBE9D48">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w:t>
            </w:r>
          </w:p>
          <w:p w14:paraId="478D3295">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20分</w:t>
            </w:r>
            <w:r>
              <w:rPr>
                <w:rFonts w:hint="eastAsia" w:ascii="仿宋" w:hAnsi="仿宋" w:eastAsia="仿宋" w:cs="仿宋"/>
                <w:color w:val="auto"/>
                <w:sz w:val="24"/>
                <w:szCs w:val="24"/>
                <w:highlight w:val="none"/>
                <w:lang w:eastAsia="zh-CN"/>
              </w:rPr>
              <w:t>）</w:t>
            </w:r>
          </w:p>
        </w:tc>
        <w:tc>
          <w:tcPr>
            <w:tcW w:w="1860" w:type="dxa"/>
            <w:tcBorders>
              <w:tl2br w:val="nil"/>
              <w:tr2bl w:val="nil"/>
            </w:tcBorders>
            <w:noWrap w:val="0"/>
            <w:vAlign w:val="center"/>
          </w:tcPr>
          <w:p w14:paraId="7537DA6C">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bidi="ar-SA"/>
              </w:rPr>
              <w:t>投标报价</w:t>
            </w:r>
          </w:p>
        </w:tc>
        <w:tc>
          <w:tcPr>
            <w:tcW w:w="4494" w:type="dxa"/>
            <w:tcBorders>
              <w:tl2br w:val="nil"/>
              <w:tr2bl w:val="nil"/>
            </w:tcBorders>
            <w:noWrap w:val="0"/>
            <w:vAlign w:val="center"/>
          </w:tcPr>
          <w:p w14:paraId="6C7E7791">
            <w:pPr>
              <w:pStyle w:val="7"/>
              <w:keepNext w:val="0"/>
              <w:keepLines w:val="0"/>
              <w:pageBreakBefore w:val="0"/>
              <w:widowControl w:val="0"/>
              <w:kinsoku/>
              <w:wordWrap/>
              <w:overflowPunct/>
              <w:topLinePunct w:val="0"/>
              <w:autoSpaceDE/>
              <w:autoSpaceDN/>
              <w:bidi w:val="0"/>
              <w:adjustRightInd w:val="0"/>
              <w:snapToGrid w:val="0"/>
              <w:spacing w:after="0" w:line="240" w:lineRule="auto"/>
              <w:ind w:right="105" w:rightChars="5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以经评标委员会一致认为满足招标文件要求且经评审后的最低投标报价为评标基准价，</w:t>
            </w:r>
            <w:r>
              <w:rPr>
                <w:rFonts w:hint="eastAsia" w:ascii="仿宋" w:hAnsi="仿宋" w:eastAsia="仿宋" w:cs="仿宋"/>
                <w:color w:val="auto"/>
                <w:sz w:val="24"/>
                <w:szCs w:val="24"/>
              </w:rPr>
              <w:t>其价格分为满分</w:t>
            </w:r>
            <w:r>
              <w:rPr>
                <w:rFonts w:hint="eastAsia" w:ascii="仿宋" w:hAnsi="仿宋" w:eastAsia="仿宋" w:cs="仿宋"/>
                <w:color w:val="auto"/>
                <w:sz w:val="24"/>
                <w:szCs w:val="24"/>
                <w:lang w:eastAsia="zh-CN"/>
              </w:rPr>
              <w:t>。</w:t>
            </w:r>
            <w:r>
              <w:rPr>
                <w:rFonts w:hint="eastAsia" w:ascii="仿宋" w:hAnsi="仿宋" w:eastAsia="仿宋" w:cs="仿宋"/>
                <w:color w:val="auto"/>
                <w:kern w:val="2"/>
                <w:sz w:val="24"/>
                <w:szCs w:val="24"/>
                <w:highlight w:val="none"/>
                <w:lang w:val="en-US" w:eastAsia="zh-CN" w:bidi="ar-SA"/>
              </w:rPr>
              <w:t>其他投标人的价格得分统一按公式计算：报价得分＝（评标基准价÷投标报价）×投标报价权重。</w:t>
            </w:r>
          </w:p>
          <w:p w14:paraId="033A3219">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kern w:val="2"/>
                <w:sz w:val="24"/>
                <w:szCs w:val="24"/>
                <w:highlight w:val="none"/>
                <w:lang w:val="en-US" w:eastAsia="zh-CN" w:bidi="ar-SA"/>
              </w:rPr>
              <w:t>注</w:t>
            </w:r>
            <w:r>
              <w:rPr>
                <w:rFonts w:hint="eastAsia" w:ascii="仿宋" w:hAnsi="仿宋" w:eastAsia="仿宋" w:cs="仿宋"/>
                <w:color w:val="auto"/>
                <w:sz w:val="24"/>
                <w:szCs w:val="24"/>
                <w:lang w:val="en-US" w:eastAsia="zh-CN"/>
              </w:rPr>
              <w:t>：评标委员会认为投标人的报价明显低于其他投标人的报价，有可能影响产品质量或者不能诚信履约的，有权要求其在评标现场合理的时间内提供书面说明，必要时提交相关证明材料；投标人不能证明其报价合理性的，评标委员会可将其作为无效投标处理。</w:t>
            </w:r>
          </w:p>
        </w:tc>
        <w:tc>
          <w:tcPr>
            <w:tcW w:w="1290" w:type="dxa"/>
            <w:tcBorders>
              <w:tl2br w:val="nil"/>
              <w:tr2bl w:val="nil"/>
            </w:tcBorders>
            <w:noWrap w:val="0"/>
            <w:vAlign w:val="center"/>
          </w:tcPr>
          <w:p w14:paraId="6545046D">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20</w:t>
            </w:r>
          </w:p>
        </w:tc>
      </w:tr>
      <w:tr w14:paraId="229D95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765" w:type="dxa"/>
            <w:vMerge w:val="restart"/>
            <w:tcBorders>
              <w:tl2br w:val="nil"/>
              <w:tr2bl w:val="nil"/>
            </w:tcBorders>
            <w:noWrap w:val="0"/>
            <w:vAlign w:val="center"/>
          </w:tcPr>
          <w:p w14:paraId="31870DB5">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商务</w:t>
            </w:r>
          </w:p>
          <w:p w14:paraId="468BFF3D">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分）</w:t>
            </w:r>
          </w:p>
        </w:tc>
        <w:tc>
          <w:tcPr>
            <w:tcW w:w="1860" w:type="dxa"/>
            <w:tcBorders>
              <w:tl2br w:val="nil"/>
              <w:tr2bl w:val="nil"/>
            </w:tcBorders>
            <w:noWrap w:val="0"/>
            <w:vAlign w:val="center"/>
          </w:tcPr>
          <w:p w14:paraId="2DD5B66C">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类似业绩</w:t>
            </w:r>
          </w:p>
        </w:tc>
        <w:tc>
          <w:tcPr>
            <w:tcW w:w="4494" w:type="dxa"/>
            <w:tcBorders>
              <w:tl2br w:val="nil"/>
              <w:tr2bl w:val="nil"/>
            </w:tcBorders>
            <w:noWrap w:val="0"/>
            <w:vAlign w:val="center"/>
          </w:tcPr>
          <w:p w14:paraId="0E7027D0">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投标单位自2023年1月1日以来的类似业绩，合同内容具有环评、验收或预评、控评其中至少两项目内容的，每个计3分；最高计12分。（须提供合同复印件否则不计分。）</w:t>
            </w:r>
          </w:p>
        </w:tc>
        <w:tc>
          <w:tcPr>
            <w:tcW w:w="1290" w:type="dxa"/>
            <w:tcBorders>
              <w:tl2br w:val="nil"/>
              <w:tr2bl w:val="nil"/>
            </w:tcBorders>
            <w:noWrap w:val="0"/>
            <w:vAlign w:val="center"/>
          </w:tcPr>
          <w:p w14:paraId="59E77CFF">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12</w:t>
            </w:r>
          </w:p>
        </w:tc>
      </w:tr>
      <w:tr w14:paraId="039A0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765" w:type="dxa"/>
            <w:vMerge w:val="continue"/>
            <w:tcBorders>
              <w:tl2br w:val="nil"/>
              <w:tr2bl w:val="nil"/>
            </w:tcBorders>
            <w:noWrap w:val="0"/>
            <w:vAlign w:val="center"/>
          </w:tcPr>
          <w:p w14:paraId="3FF4FD68">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sz w:val="24"/>
                <w:szCs w:val="24"/>
              </w:rPr>
            </w:pPr>
          </w:p>
        </w:tc>
        <w:tc>
          <w:tcPr>
            <w:tcW w:w="1860" w:type="dxa"/>
            <w:tcBorders>
              <w:tl2br w:val="nil"/>
              <w:tr2bl w:val="nil"/>
            </w:tcBorders>
            <w:noWrap w:val="0"/>
            <w:vAlign w:val="center"/>
          </w:tcPr>
          <w:p w14:paraId="74D3FB6F">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人员实力</w:t>
            </w:r>
          </w:p>
        </w:tc>
        <w:tc>
          <w:tcPr>
            <w:tcW w:w="4494" w:type="dxa"/>
            <w:tcBorders>
              <w:tl2br w:val="nil"/>
              <w:tr2bl w:val="nil"/>
            </w:tcBorders>
            <w:noWrap w:val="0"/>
            <w:vAlign w:val="center"/>
          </w:tcPr>
          <w:p w14:paraId="69691A4C">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1、拟任项目团队成员具有注册核安全工程师资质每提供一人计5分，最多计15分。</w:t>
            </w:r>
          </w:p>
          <w:p w14:paraId="11C64048">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注：提供技术人员资格证书、投标人为其缴纳近三个月社保缴费证明（或提供可不交社保证明），以上材料提供复印件并加盖公章，否则不计分。</w:t>
            </w:r>
          </w:p>
          <w:p w14:paraId="250AE2C9">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在生态环境部“环境影响评价信用平台”注册成功，计4分。</w:t>
            </w:r>
          </w:p>
          <w:p w14:paraId="655C8C84">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（提供注册网页截图并加盖公章，未提供不计分）</w:t>
            </w:r>
          </w:p>
          <w:p w14:paraId="79866544">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具备CMA电离辐射检测能力，计3分。</w:t>
            </w:r>
          </w:p>
          <w:p w14:paraId="0C0B276E">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lang w:val="en-US" w:eastAsia="zh-CN"/>
              </w:rPr>
            </w:pPr>
            <w:r>
              <w:rPr>
                <w:rFonts w:hint="eastAsia" w:ascii="仿宋" w:hAnsi="仿宋" w:eastAsia="仿宋" w:cs="仿宋"/>
                <w:color w:val="auto"/>
                <w:sz w:val="24"/>
                <w:szCs w:val="24"/>
                <w:highlight w:val="none"/>
                <w:lang w:val="en-US" w:eastAsia="zh-CN"/>
              </w:rPr>
              <w:t>（提供CMA资质能力表并加盖公章，未提供不计分）</w:t>
            </w:r>
          </w:p>
        </w:tc>
        <w:tc>
          <w:tcPr>
            <w:tcW w:w="1290" w:type="dxa"/>
            <w:tcBorders>
              <w:tl2br w:val="nil"/>
              <w:tr2bl w:val="nil"/>
            </w:tcBorders>
            <w:noWrap w:val="0"/>
            <w:vAlign w:val="center"/>
          </w:tcPr>
          <w:p w14:paraId="124A789A">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22</w:t>
            </w:r>
          </w:p>
        </w:tc>
      </w:tr>
      <w:tr w14:paraId="1FF346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765" w:type="dxa"/>
            <w:vMerge w:val="continue"/>
            <w:tcBorders>
              <w:tl2br w:val="nil"/>
              <w:tr2bl w:val="nil"/>
            </w:tcBorders>
            <w:noWrap w:val="0"/>
            <w:vAlign w:val="center"/>
          </w:tcPr>
          <w:p w14:paraId="5DE503BE">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sz w:val="24"/>
                <w:szCs w:val="24"/>
              </w:rPr>
            </w:pPr>
          </w:p>
        </w:tc>
        <w:tc>
          <w:tcPr>
            <w:tcW w:w="1860" w:type="dxa"/>
            <w:tcBorders>
              <w:tl2br w:val="nil"/>
              <w:tr2bl w:val="nil"/>
            </w:tcBorders>
            <w:noWrap w:val="0"/>
            <w:vAlign w:val="center"/>
          </w:tcPr>
          <w:p w14:paraId="36799E23">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投标文件</w:t>
            </w:r>
          </w:p>
          <w:p w14:paraId="50E35917">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编制</w:t>
            </w:r>
          </w:p>
        </w:tc>
        <w:tc>
          <w:tcPr>
            <w:tcW w:w="4494" w:type="dxa"/>
            <w:tcBorders>
              <w:tl2br w:val="nil"/>
              <w:tr2bl w:val="nil"/>
            </w:tcBorders>
            <w:noWrap w:val="0"/>
            <w:vAlign w:val="center"/>
          </w:tcPr>
          <w:p w14:paraId="3F683BBC">
            <w:pPr>
              <w:keepNext w:val="0"/>
              <w:keepLines w:val="0"/>
              <w:pageBreakBefore w:val="0"/>
              <w:kinsoku/>
              <w:wordWrap/>
              <w:overflowPunct/>
              <w:topLinePunct w:val="0"/>
              <w:autoSpaceDE/>
              <w:autoSpaceDN/>
              <w:bidi w:val="0"/>
              <w:adjustRightInd w:val="0"/>
              <w:snapToGrid w:val="0"/>
              <w:spacing w:after="0" w:line="24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投标文件按招标文件规定</w:t>
            </w:r>
            <w:r>
              <w:rPr>
                <w:rFonts w:hint="eastAsia" w:ascii="仿宋" w:hAnsi="仿宋" w:eastAsia="仿宋" w:cs="仿宋"/>
                <w:color w:val="auto"/>
                <w:sz w:val="24"/>
                <w:szCs w:val="24"/>
                <w:highlight w:val="none"/>
                <w:lang w:val="en-US" w:eastAsia="zh-CN"/>
              </w:rPr>
              <w:t>完全符合要求的</w:t>
            </w:r>
            <w:r>
              <w:rPr>
                <w:rFonts w:hint="eastAsia" w:ascii="仿宋" w:hAnsi="仿宋" w:eastAsia="仿宋" w:cs="仿宋"/>
                <w:color w:val="auto"/>
                <w:sz w:val="24"/>
                <w:szCs w:val="24"/>
                <w:highlight w:val="none"/>
              </w:rPr>
              <w:t>，计</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分；不符合要求的，每处扣</w:t>
            </w:r>
            <w:r>
              <w:rPr>
                <w:rFonts w:hint="eastAsia" w:ascii="仿宋" w:hAnsi="仿宋" w:eastAsia="仿宋" w:cs="仿宋"/>
                <w:color w:val="auto"/>
                <w:sz w:val="24"/>
                <w:szCs w:val="24"/>
                <w:highlight w:val="none"/>
                <w:lang w:val="en-US" w:eastAsia="zh-CN"/>
              </w:rPr>
              <w:t>0.5</w:t>
            </w:r>
            <w:r>
              <w:rPr>
                <w:rFonts w:hint="eastAsia" w:ascii="仿宋" w:hAnsi="仿宋" w:eastAsia="仿宋" w:cs="仿宋"/>
                <w:color w:val="auto"/>
                <w:sz w:val="24"/>
                <w:szCs w:val="24"/>
                <w:highlight w:val="none"/>
              </w:rPr>
              <w:t>分，扣完为止。</w:t>
            </w:r>
          </w:p>
        </w:tc>
        <w:tc>
          <w:tcPr>
            <w:tcW w:w="1290" w:type="dxa"/>
            <w:tcBorders>
              <w:tl2br w:val="nil"/>
              <w:tr2bl w:val="nil"/>
            </w:tcBorders>
            <w:noWrap w:val="0"/>
            <w:vAlign w:val="center"/>
          </w:tcPr>
          <w:p w14:paraId="7D73FD64">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p>
        </w:tc>
      </w:tr>
      <w:tr w14:paraId="22A63F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765" w:type="dxa"/>
            <w:vMerge w:val="restart"/>
            <w:tcBorders>
              <w:tl2br w:val="nil"/>
              <w:tr2bl w:val="nil"/>
            </w:tcBorders>
            <w:noWrap w:val="0"/>
            <w:vAlign w:val="center"/>
          </w:tcPr>
          <w:p w14:paraId="3C04E487">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技术</w:t>
            </w:r>
          </w:p>
          <w:p w14:paraId="3F15CFE2">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分）</w:t>
            </w:r>
          </w:p>
        </w:tc>
        <w:tc>
          <w:tcPr>
            <w:tcW w:w="1860" w:type="dxa"/>
            <w:tcBorders>
              <w:tl2br w:val="nil"/>
              <w:tr2bl w:val="nil"/>
            </w:tcBorders>
            <w:noWrap w:val="0"/>
            <w:vAlign w:val="center"/>
          </w:tcPr>
          <w:p w14:paraId="442B72AC">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项目整体技术</w:t>
            </w:r>
          </w:p>
          <w:p w14:paraId="0E06B5FA">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服务方案</w:t>
            </w:r>
          </w:p>
        </w:tc>
        <w:tc>
          <w:tcPr>
            <w:tcW w:w="4494" w:type="dxa"/>
            <w:tcBorders>
              <w:tl2br w:val="nil"/>
              <w:tr2bl w:val="nil"/>
            </w:tcBorders>
            <w:noWrap w:val="0"/>
            <w:vAlign w:val="center"/>
          </w:tcPr>
          <w:p w14:paraId="54DEC5F8">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根据投标人对项目提供的整体技术服务方案等方面进行综合评分：</w:t>
            </w:r>
          </w:p>
          <w:p w14:paraId="6815F822">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1、方案完整、科学合理、可行性良的计20分；</w:t>
            </w:r>
          </w:p>
          <w:p w14:paraId="54BDC902">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2、方案一般，措施一般，可行性一般的计15分；</w:t>
            </w:r>
          </w:p>
          <w:p w14:paraId="2A1E1419">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3、方案有欠缺或欠合理或可行性差的计5分；</w:t>
            </w:r>
          </w:p>
          <w:p w14:paraId="5FB92570">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val="en-US" w:eastAsia="zh-CN"/>
              </w:rPr>
              <w:t>4、未提供不计分。</w:t>
            </w:r>
          </w:p>
        </w:tc>
        <w:tc>
          <w:tcPr>
            <w:tcW w:w="1290" w:type="dxa"/>
            <w:tcBorders>
              <w:tl2br w:val="nil"/>
              <w:tr2bl w:val="nil"/>
            </w:tcBorders>
            <w:noWrap w:val="0"/>
            <w:vAlign w:val="center"/>
          </w:tcPr>
          <w:p w14:paraId="1F0044E6">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w:t>
            </w:r>
          </w:p>
        </w:tc>
      </w:tr>
      <w:tr w14:paraId="72074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765" w:type="dxa"/>
            <w:vMerge w:val="continue"/>
            <w:tcBorders>
              <w:tl2br w:val="nil"/>
              <w:tr2bl w:val="nil"/>
            </w:tcBorders>
            <w:noWrap w:val="0"/>
            <w:vAlign w:val="center"/>
          </w:tcPr>
          <w:p w14:paraId="37DF2D5C">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p>
        </w:tc>
        <w:tc>
          <w:tcPr>
            <w:tcW w:w="1860" w:type="dxa"/>
            <w:tcBorders>
              <w:tl2br w:val="nil"/>
              <w:tr2bl w:val="nil"/>
            </w:tcBorders>
            <w:shd w:val="clear" w:color="auto" w:fill="auto"/>
            <w:noWrap w:val="0"/>
            <w:vAlign w:val="center"/>
          </w:tcPr>
          <w:p w14:paraId="0C7E2FC4">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人员组织</w:t>
            </w:r>
          </w:p>
        </w:tc>
        <w:tc>
          <w:tcPr>
            <w:tcW w:w="4494" w:type="dxa"/>
            <w:tcBorders>
              <w:tl2br w:val="nil"/>
              <w:tr2bl w:val="nil"/>
            </w:tcBorders>
            <w:shd w:val="clear" w:color="auto" w:fill="auto"/>
            <w:noWrap w:val="0"/>
            <w:vAlign w:val="center"/>
          </w:tcPr>
          <w:p w14:paraId="692342D7">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根据投标人提供的人员组织方案，横向对比进行综合评分：</w:t>
            </w:r>
          </w:p>
          <w:p w14:paraId="74FB9D42">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1、人员组织技术结构完整、技术能力强的计5分</w:t>
            </w:r>
            <w:r>
              <w:rPr>
                <w:rFonts w:hint="eastAsia" w:ascii="仿宋" w:hAnsi="仿宋" w:eastAsia="仿宋" w:cs="仿宋"/>
                <w:color w:val="auto"/>
                <w:sz w:val="24"/>
                <w:szCs w:val="24"/>
                <w:highlight w:val="none"/>
              </w:rPr>
              <w:t>。</w:t>
            </w:r>
          </w:p>
          <w:p w14:paraId="13740397">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2、人员组织技术结构一般、技术能力一般的计3分；</w:t>
            </w:r>
          </w:p>
          <w:p w14:paraId="7700C450">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3、有欠缺或欠合理或可行性差计2分；</w:t>
            </w:r>
          </w:p>
          <w:p w14:paraId="6D97E5DB">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4、未提供不计分。</w:t>
            </w:r>
          </w:p>
        </w:tc>
        <w:tc>
          <w:tcPr>
            <w:tcW w:w="1290" w:type="dxa"/>
            <w:tcBorders>
              <w:tl2br w:val="nil"/>
              <w:tr2bl w:val="nil"/>
            </w:tcBorders>
            <w:noWrap w:val="0"/>
            <w:vAlign w:val="center"/>
          </w:tcPr>
          <w:p w14:paraId="5C9572A8">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14:paraId="4E37D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765" w:type="dxa"/>
            <w:vMerge w:val="continue"/>
            <w:tcBorders>
              <w:tl2br w:val="nil"/>
              <w:tr2bl w:val="nil"/>
            </w:tcBorders>
            <w:noWrap w:val="0"/>
            <w:vAlign w:val="center"/>
          </w:tcPr>
          <w:p w14:paraId="2EABC3AD">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p>
        </w:tc>
        <w:tc>
          <w:tcPr>
            <w:tcW w:w="1860" w:type="dxa"/>
            <w:tcBorders>
              <w:tl2br w:val="nil"/>
              <w:tr2bl w:val="nil"/>
            </w:tcBorders>
            <w:shd w:val="clear" w:color="auto" w:fill="auto"/>
            <w:noWrap w:val="0"/>
            <w:vAlign w:val="center"/>
          </w:tcPr>
          <w:p w14:paraId="65D68C09">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工作计划</w:t>
            </w:r>
          </w:p>
        </w:tc>
        <w:tc>
          <w:tcPr>
            <w:tcW w:w="4494" w:type="dxa"/>
            <w:tcBorders>
              <w:tl2br w:val="nil"/>
              <w:tr2bl w:val="nil"/>
            </w:tcBorders>
            <w:shd w:val="clear" w:color="auto" w:fill="auto"/>
            <w:noWrap w:val="0"/>
            <w:vAlign w:val="center"/>
          </w:tcPr>
          <w:p w14:paraId="49E06B01">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根据投标人提供的工作计划详实程度、可操作性、合理性等，横向对比进行综合评分：</w:t>
            </w:r>
          </w:p>
          <w:p w14:paraId="1EAE7067">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1、工作计划完整、科学合理、可操作性强的计5分</w:t>
            </w:r>
            <w:r>
              <w:rPr>
                <w:rFonts w:hint="eastAsia" w:ascii="仿宋" w:hAnsi="仿宋" w:eastAsia="仿宋" w:cs="仿宋"/>
                <w:color w:val="auto"/>
                <w:sz w:val="24"/>
                <w:szCs w:val="24"/>
                <w:highlight w:val="none"/>
              </w:rPr>
              <w:t>。</w:t>
            </w:r>
          </w:p>
          <w:p w14:paraId="0EF9ED36">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2、工作计划一般，措施一般，可操作性一般的计3分；</w:t>
            </w:r>
          </w:p>
          <w:p w14:paraId="57699C43">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3、有欠缺或欠合理或可行性差计2分；</w:t>
            </w:r>
          </w:p>
          <w:p w14:paraId="667C0DF1">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4、未提供不计分。</w:t>
            </w:r>
          </w:p>
        </w:tc>
        <w:tc>
          <w:tcPr>
            <w:tcW w:w="1290" w:type="dxa"/>
            <w:tcBorders>
              <w:tl2br w:val="nil"/>
              <w:tr2bl w:val="nil"/>
            </w:tcBorders>
            <w:noWrap w:val="0"/>
            <w:vAlign w:val="center"/>
          </w:tcPr>
          <w:p w14:paraId="47FE89D9">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14:paraId="7FFC3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0" w:hRule="atLeast"/>
          <w:jc w:val="center"/>
        </w:trPr>
        <w:tc>
          <w:tcPr>
            <w:tcW w:w="765" w:type="dxa"/>
            <w:vMerge w:val="continue"/>
            <w:tcBorders>
              <w:tl2br w:val="nil"/>
              <w:tr2bl w:val="nil"/>
            </w:tcBorders>
            <w:noWrap w:val="0"/>
            <w:vAlign w:val="center"/>
          </w:tcPr>
          <w:p w14:paraId="05C3D473">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p>
        </w:tc>
        <w:tc>
          <w:tcPr>
            <w:tcW w:w="1860" w:type="dxa"/>
            <w:tcBorders>
              <w:tl2br w:val="nil"/>
              <w:tr2bl w:val="nil"/>
            </w:tcBorders>
            <w:shd w:val="clear" w:color="auto" w:fill="auto"/>
            <w:noWrap w:val="0"/>
            <w:vAlign w:val="center"/>
          </w:tcPr>
          <w:p w14:paraId="105AFCFE">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实施措施</w:t>
            </w:r>
          </w:p>
        </w:tc>
        <w:tc>
          <w:tcPr>
            <w:tcW w:w="4494" w:type="dxa"/>
            <w:tcBorders>
              <w:tl2br w:val="nil"/>
              <w:tr2bl w:val="nil"/>
            </w:tcBorders>
            <w:shd w:val="clear" w:color="auto" w:fill="auto"/>
            <w:noWrap w:val="0"/>
            <w:vAlign w:val="center"/>
          </w:tcPr>
          <w:p w14:paraId="4A708927">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根据投标人提供的实施措施详实程度、可操作性、合理性等，横向对比进行综合评分：</w:t>
            </w:r>
          </w:p>
          <w:p w14:paraId="399754B8">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1、实施措施完整、科学合理、可操作性强的计5分</w:t>
            </w:r>
            <w:r>
              <w:rPr>
                <w:rFonts w:hint="eastAsia" w:ascii="仿宋" w:hAnsi="仿宋" w:eastAsia="仿宋" w:cs="仿宋"/>
                <w:color w:val="auto"/>
                <w:sz w:val="24"/>
                <w:szCs w:val="24"/>
                <w:highlight w:val="none"/>
              </w:rPr>
              <w:t>。</w:t>
            </w:r>
          </w:p>
          <w:p w14:paraId="4083F5E1">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2、实施措施一般，措施一般，可操作性一般的计3分；</w:t>
            </w:r>
          </w:p>
          <w:p w14:paraId="2108F71E">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3、有欠缺或欠合理或可行性差计2分；</w:t>
            </w:r>
          </w:p>
          <w:p w14:paraId="702DFADE">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4、未提供不计分。</w:t>
            </w:r>
          </w:p>
        </w:tc>
        <w:tc>
          <w:tcPr>
            <w:tcW w:w="1290" w:type="dxa"/>
            <w:tcBorders>
              <w:tl2br w:val="nil"/>
              <w:tr2bl w:val="nil"/>
            </w:tcBorders>
            <w:noWrap w:val="0"/>
            <w:vAlign w:val="center"/>
          </w:tcPr>
          <w:p w14:paraId="09618D1B">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14:paraId="3CB200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45" w:type="dxa"/>
            <w:left w:w="96" w:type="dxa"/>
            <w:bottom w:w="45" w:type="dxa"/>
            <w:right w:w="96" w:type="dxa"/>
          </w:tblCellMar>
        </w:tblPrEx>
        <w:trPr>
          <w:trHeight w:val="1897" w:hRule="atLeast"/>
          <w:jc w:val="center"/>
        </w:trPr>
        <w:tc>
          <w:tcPr>
            <w:tcW w:w="765" w:type="dxa"/>
            <w:vMerge w:val="continue"/>
            <w:tcBorders>
              <w:tl2br w:val="nil"/>
              <w:tr2bl w:val="nil"/>
            </w:tcBorders>
            <w:noWrap w:val="0"/>
            <w:vAlign w:val="center"/>
          </w:tcPr>
          <w:p w14:paraId="4B54C3B2">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sz w:val="24"/>
                <w:szCs w:val="24"/>
              </w:rPr>
            </w:pPr>
          </w:p>
        </w:tc>
        <w:tc>
          <w:tcPr>
            <w:tcW w:w="1860" w:type="dxa"/>
            <w:tcBorders>
              <w:tl2br w:val="nil"/>
              <w:tr2bl w:val="nil"/>
            </w:tcBorders>
            <w:noWrap w:val="0"/>
            <w:vAlign w:val="center"/>
          </w:tcPr>
          <w:p w14:paraId="447C685F">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应急措施</w:t>
            </w:r>
          </w:p>
        </w:tc>
        <w:tc>
          <w:tcPr>
            <w:tcW w:w="4494" w:type="dxa"/>
            <w:tcBorders>
              <w:tl2br w:val="nil"/>
              <w:tr2bl w:val="nil"/>
            </w:tcBorders>
            <w:noWrap w:val="0"/>
            <w:vAlign w:val="center"/>
          </w:tcPr>
          <w:p w14:paraId="64B51D0B">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根据投标人提供的应急措施及应急预案详实程度、可操作性、合理性等，横向对比进行综合评分：</w:t>
            </w:r>
          </w:p>
          <w:p w14:paraId="34998AA5">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1、应急措施及应急预完整、科学合理、可操作性强的计5分</w:t>
            </w:r>
            <w:r>
              <w:rPr>
                <w:rFonts w:hint="eastAsia" w:ascii="仿宋" w:hAnsi="仿宋" w:eastAsia="仿宋" w:cs="仿宋"/>
                <w:color w:val="auto"/>
                <w:sz w:val="24"/>
                <w:szCs w:val="24"/>
                <w:highlight w:val="none"/>
              </w:rPr>
              <w:t>。</w:t>
            </w:r>
          </w:p>
          <w:p w14:paraId="400D9884">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2、应急措施及应急预一般，措施一般，可操作性一般的计3分；</w:t>
            </w:r>
          </w:p>
          <w:p w14:paraId="79782756">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3、有欠缺或欠合理或可行性差计2分；</w:t>
            </w:r>
          </w:p>
          <w:p w14:paraId="40F9D610">
            <w:pPr>
              <w:keepNext w:val="0"/>
              <w:keepLines w:val="0"/>
              <w:pageBreakBefore w:val="0"/>
              <w:kinsoku/>
              <w:wordWrap/>
              <w:overflowPunct/>
              <w:topLinePunct w:val="0"/>
              <w:autoSpaceDE/>
              <w:autoSpaceDN/>
              <w:bidi w:val="0"/>
              <w:adjustRightInd w:val="0"/>
              <w:snapToGrid w:val="0"/>
              <w:spacing w:after="0" w:line="240" w:lineRule="auto"/>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lang w:val="en-US" w:eastAsia="zh-CN"/>
              </w:rPr>
              <w:t>4、未提供不计分。</w:t>
            </w:r>
          </w:p>
        </w:tc>
        <w:tc>
          <w:tcPr>
            <w:tcW w:w="1290" w:type="dxa"/>
            <w:tcBorders>
              <w:tl2br w:val="nil"/>
              <w:tr2bl w:val="nil"/>
            </w:tcBorders>
            <w:noWrap w:val="0"/>
            <w:vAlign w:val="center"/>
          </w:tcPr>
          <w:p w14:paraId="274D98F2">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bl>
    <w:p w14:paraId="01E33B6F">
      <w:pPr>
        <w:rPr>
          <w:rFonts w:hint="eastAsia" w:ascii="仿宋" w:hAnsi="仿宋" w:eastAsia="仿宋" w:cs="仿宋"/>
          <w:color w:val="auto"/>
          <w:sz w:val="30"/>
          <w:szCs w:val="30"/>
          <w:lang w:val="en-US" w:eastAsia="zh-CN"/>
        </w:rPr>
      </w:pPr>
    </w:p>
    <w:p w14:paraId="4056C1E7">
      <w:pPr>
        <w:jc w:val="center"/>
        <w:rPr>
          <w:rFonts w:hint="eastAsia" w:ascii="仿宋" w:hAnsi="仿宋" w:eastAsia="仿宋" w:cs="仿宋"/>
          <w:color w:val="auto"/>
          <w:sz w:val="24"/>
          <w:szCs w:val="24"/>
        </w:rPr>
      </w:pPr>
    </w:p>
    <w:p w14:paraId="7974162D">
      <w:pPr>
        <w:jc w:val="center"/>
        <w:rPr>
          <w:rFonts w:hint="eastAsia" w:ascii="仿宋" w:hAnsi="仿宋" w:eastAsia="仿宋" w:cs="仿宋"/>
          <w:color w:val="auto"/>
          <w:sz w:val="24"/>
          <w:szCs w:val="24"/>
        </w:rPr>
      </w:pPr>
    </w:p>
    <w:p w14:paraId="02AEE61F">
      <w:pPr>
        <w:jc w:val="center"/>
        <w:rPr>
          <w:rFonts w:hint="eastAsia" w:ascii="仿宋" w:hAnsi="仿宋" w:eastAsia="仿宋" w:cs="仿宋"/>
          <w:color w:val="auto"/>
          <w:sz w:val="24"/>
          <w:szCs w:val="24"/>
        </w:rPr>
      </w:pPr>
    </w:p>
    <w:p w14:paraId="2B6B252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仿宋" w:hAnsi="仿宋" w:eastAsia="仿宋" w:cs="仿宋"/>
          <w:color w:val="auto"/>
          <w:sz w:val="24"/>
          <w:szCs w:val="24"/>
        </w:rPr>
        <w:br w:type="page"/>
      </w:r>
    </w:p>
    <w:p w14:paraId="7B7C070E">
      <w:pPr>
        <w:pStyle w:val="3"/>
        <w:numPr>
          <w:ilvl w:val="0"/>
          <w:numId w:val="0"/>
        </w:numPr>
        <w:spacing w:line="240" w:lineRule="auto"/>
        <w:ind w:left="2940" w:leftChars="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第四章   </w:t>
      </w:r>
      <w:r>
        <w:rPr>
          <w:rFonts w:hint="eastAsia" w:ascii="宋体" w:hAnsi="宋体" w:cs="宋体"/>
          <w:color w:val="auto"/>
          <w:sz w:val="30"/>
          <w:szCs w:val="30"/>
        </w:rPr>
        <w:t>投标文件的格式</w:t>
      </w:r>
    </w:p>
    <w:p w14:paraId="04EEB1BD">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7C808AD0">
      <w:pPr>
        <w:rPr>
          <w:rFonts w:hint="eastAsia" w:ascii="宋体" w:hAnsi="宋体" w:cs="宋体"/>
          <w:color w:val="auto"/>
        </w:rPr>
      </w:pPr>
    </w:p>
    <w:bookmarkEnd w:id="2"/>
    <w:p w14:paraId="5B5E9C93">
      <w:pPr>
        <w:rPr>
          <w:rFonts w:hint="eastAsia"/>
          <w:color w:val="auto"/>
        </w:rPr>
      </w:pPr>
    </w:p>
    <w:p w14:paraId="723D0C45">
      <w:pPr>
        <w:jc w:val="center"/>
        <w:rPr>
          <w:b/>
          <w:color w:val="auto"/>
          <w:sz w:val="24"/>
        </w:rPr>
      </w:pPr>
      <w:r>
        <w:rPr>
          <w:b/>
          <w:color w:val="auto"/>
          <w:sz w:val="28"/>
          <w:szCs w:val="28"/>
        </w:rPr>
        <w:t>第一部分、开标一览表</w:t>
      </w:r>
    </w:p>
    <w:p w14:paraId="24239725">
      <w:pPr>
        <w:jc w:val="center"/>
        <w:rPr>
          <w:b/>
          <w:color w:val="auto"/>
          <w:sz w:val="24"/>
        </w:rPr>
      </w:pPr>
    </w:p>
    <w:p w14:paraId="5893F606">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138468EC">
      <w:pPr>
        <w:pStyle w:val="24"/>
        <w:rPr>
          <w:color w:val="auto"/>
        </w:rPr>
      </w:pPr>
    </w:p>
    <w:p w14:paraId="33C0C235">
      <w:pPr>
        <w:adjustRightInd w:val="0"/>
        <w:snapToGrid w:val="0"/>
        <w:spacing w:line="360" w:lineRule="auto"/>
        <w:jc w:val="center"/>
        <w:rPr>
          <w:rFonts w:hint="eastAsia" w:ascii="宋体" w:hAnsi="宋体" w:cs="宋体"/>
          <w:b/>
          <w:color w:val="auto"/>
          <w:sz w:val="28"/>
          <w:szCs w:val="28"/>
        </w:rPr>
      </w:pPr>
    </w:p>
    <w:p w14:paraId="4ABC0B80">
      <w:pPr>
        <w:adjustRightInd w:val="0"/>
        <w:snapToGrid w:val="0"/>
        <w:spacing w:line="360" w:lineRule="auto"/>
        <w:jc w:val="center"/>
        <w:rPr>
          <w:rFonts w:hint="eastAsia" w:ascii="宋体" w:hAnsi="宋体" w:cs="宋体"/>
          <w:b/>
          <w:color w:val="auto"/>
          <w:sz w:val="28"/>
          <w:szCs w:val="28"/>
        </w:rPr>
      </w:pPr>
    </w:p>
    <w:p w14:paraId="6AFBCDDB">
      <w:pPr>
        <w:adjustRightInd w:val="0"/>
        <w:snapToGrid w:val="0"/>
        <w:spacing w:line="360" w:lineRule="auto"/>
        <w:jc w:val="center"/>
        <w:rPr>
          <w:rFonts w:hint="eastAsia" w:ascii="宋体" w:hAnsi="宋体" w:cs="宋体"/>
          <w:b/>
          <w:color w:val="auto"/>
          <w:sz w:val="28"/>
          <w:szCs w:val="28"/>
        </w:rPr>
      </w:pPr>
    </w:p>
    <w:p w14:paraId="2FBADA48">
      <w:pPr>
        <w:adjustRightInd w:val="0"/>
        <w:snapToGrid w:val="0"/>
        <w:spacing w:line="360" w:lineRule="auto"/>
        <w:jc w:val="center"/>
        <w:rPr>
          <w:rFonts w:hint="eastAsia" w:ascii="宋体" w:hAnsi="宋体" w:cs="宋体"/>
          <w:b/>
          <w:color w:val="auto"/>
          <w:sz w:val="28"/>
          <w:szCs w:val="28"/>
        </w:rPr>
      </w:pPr>
    </w:p>
    <w:p w14:paraId="11A8F835">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575C5CAE">
      <w:pPr>
        <w:pStyle w:val="23"/>
        <w:rPr>
          <w:rFonts w:hint="eastAsia"/>
          <w:color w:val="auto"/>
          <w:lang w:eastAsia="zh-CN"/>
        </w:rPr>
      </w:pPr>
    </w:p>
    <w:p w14:paraId="49CA7F92">
      <w:pPr>
        <w:adjustRightInd w:val="0"/>
        <w:snapToGrid w:val="0"/>
        <w:spacing w:line="360" w:lineRule="auto"/>
        <w:jc w:val="center"/>
        <w:rPr>
          <w:rFonts w:hint="eastAsia" w:ascii="宋体" w:hAnsi="宋体" w:cs="宋体"/>
          <w:b/>
          <w:color w:val="auto"/>
          <w:sz w:val="24"/>
          <w:szCs w:val="20"/>
        </w:rPr>
      </w:pPr>
    </w:p>
    <w:p w14:paraId="1435F7FB">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8AA142C">
      <w:pPr>
        <w:adjustRightInd w:val="0"/>
        <w:snapToGrid w:val="0"/>
        <w:spacing w:line="360" w:lineRule="auto"/>
        <w:rPr>
          <w:rFonts w:hint="eastAsia" w:ascii="宋体" w:hAnsi="宋体" w:cs="宋体"/>
          <w:b/>
          <w:color w:val="auto"/>
          <w:sz w:val="28"/>
          <w:szCs w:val="28"/>
        </w:rPr>
      </w:pPr>
    </w:p>
    <w:p w14:paraId="7D0FE43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E8F373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2AF609B9">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A1CFC3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B9B8963">
      <w:pPr>
        <w:adjustRightInd w:val="0"/>
        <w:snapToGrid w:val="0"/>
        <w:spacing w:line="360" w:lineRule="auto"/>
        <w:ind w:firstLine="480" w:firstLineChars="200"/>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5A3F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FE6553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4990A6ED">
      <w:pPr>
        <w:adjustRightInd w:val="0"/>
        <w:snapToGrid w:val="0"/>
        <w:spacing w:line="360" w:lineRule="auto"/>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B89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4B147CE">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2FC81EB">
      <w:pPr>
        <w:adjustRightInd w:val="0"/>
        <w:snapToGrid w:val="0"/>
        <w:spacing w:line="360" w:lineRule="auto"/>
        <w:rPr>
          <w:rFonts w:hint="eastAsia" w:ascii="宋体" w:hAnsi="宋体" w:cs="宋体"/>
          <w:color w:val="auto"/>
          <w:sz w:val="24"/>
        </w:rPr>
      </w:pPr>
    </w:p>
    <w:p w14:paraId="4A3EEB34">
      <w:pPr>
        <w:adjustRightInd w:val="0"/>
        <w:snapToGrid w:val="0"/>
        <w:spacing w:line="360" w:lineRule="auto"/>
        <w:rPr>
          <w:rFonts w:hint="eastAsia" w:ascii="宋体" w:hAnsi="宋体" w:cs="宋体"/>
          <w:color w:val="auto"/>
          <w:sz w:val="24"/>
        </w:rPr>
      </w:pPr>
    </w:p>
    <w:p w14:paraId="58C8F887">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72DF6099">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373623AB">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6DDD8A3E">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BC1CB2">
      <w:pPr>
        <w:adjustRightInd w:val="0"/>
        <w:snapToGrid w:val="0"/>
        <w:spacing w:line="360" w:lineRule="auto"/>
        <w:rPr>
          <w:rFonts w:hint="eastAsia" w:ascii="宋体" w:hAnsi="宋体" w:cs="宋体"/>
          <w:b/>
          <w:color w:val="auto"/>
          <w:sz w:val="28"/>
          <w:szCs w:val="28"/>
        </w:rPr>
      </w:pPr>
    </w:p>
    <w:p w14:paraId="773B4516">
      <w:pPr>
        <w:rPr>
          <w:rFonts w:hint="eastAsia" w:ascii="宋体" w:hAnsi="宋体" w:cs="宋体"/>
          <w:b/>
          <w:color w:val="auto"/>
          <w:sz w:val="24"/>
          <w:szCs w:val="20"/>
        </w:rPr>
      </w:pPr>
      <w:r>
        <w:rPr>
          <w:rFonts w:hint="eastAsia" w:ascii="宋体" w:hAnsi="宋体" w:cs="宋体"/>
          <w:b/>
          <w:color w:val="auto"/>
          <w:sz w:val="24"/>
          <w:szCs w:val="20"/>
        </w:rPr>
        <w:br w:type="page"/>
      </w:r>
    </w:p>
    <w:p w14:paraId="1ED3891F">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4E764EAA">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09CA6EBE">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7A64758B">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12A173A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1295FE5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48345D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3FC694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FE0934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10E123D">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1EA0908B">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4AA0129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2B0C94">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261D0F4B">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7118123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7DD993BF">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66167875">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4D8F3D85">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2A7F99B">
      <w:pPr>
        <w:adjustRightInd w:val="0"/>
        <w:snapToGrid w:val="0"/>
        <w:spacing w:line="360" w:lineRule="auto"/>
        <w:jc w:val="center"/>
        <w:rPr>
          <w:rFonts w:hint="eastAsia" w:ascii="宋体" w:hAnsi="宋体" w:cs="宋体"/>
          <w:b/>
          <w:color w:val="auto"/>
          <w:sz w:val="24"/>
          <w:szCs w:val="20"/>
        </w:rPr>
      </w:pPr>
    </w:p>
    <w:p w14:paraId="622B4561">
      <w:pPr>
        <w:adjustRightInd w:val="0"/>
        <w:snapToGrid w:val="0"/>
        <w:spacing w:line="360" w:lineRule="auto"/>
        <w:rPr>
          <w:rFonts w:hint="eastAsia" w:ascii="宋体" w:hAnsi="宋体" w:cs="宋体"/>
          <w:b/>
          <w:color w:val="auto"/>
          <w:sz w:val="24"/>
          <w:szCs w:val="20"/>
        </w:rPr>
      </w:pPr>
    </w:p>
    <w:p w14:paraId="08E69EE7">
      <w:pPr>
        <w:adjustRightInd w:val="0"/>
        <w:snapToGrid w:val="0"/>
        <w:spacing w:line="360" w:lineRule="auto"/>
        <w:rPr>
          <w:rFonts w:hint="eastAsia" w:ascii="宋体" w:hAnsi="宋体" w:cs="宋体"/>
          <w:b/>
          <w:color w:val="auto"/>
          <w:sz w:val="24"/>
          <w:szCs w:val="20"/>
        </w:rPr>
      </w:pPr>
    </w:p>
    <w:p w14:paraId="093CD207">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5FFB2465">
      <w:pPr>
        <w:adjustRightInd w:val="0"/>
        <w:snapToGrid w:val="0"/>
        <w:spacing w:line="360" w:lineRule="auto"/>
        <w:jc w:val="center"/>
        <w:rPr>
          <w:rFonts w:hint="eastAsia" w:ascii="宋体" w:hAnsi="宋体" w:cs="宋体"/>
          <w:b/>
          <w:color w:val="auto"/>
          <w:sz w:val="24"/>
          <w:szCs w:val="20"/>
        </w:rPr>
      </w:pPr>
    </w:p>
    <w:p w14:paraId="6B3BB398">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E302165">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1D25E0C4">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FF98A6C">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19345C7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B95CCB4">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15B5234D">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519CE3B3">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9D19DA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7102BCA7">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555FBA0D">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785B1EB4">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4B54136">
      <w:pPr>
        <w:jc w:val="left"/>
        <w:rPr>
          <w:rFonts w:hint="eastAsia" w:ascii="宋体" w:hAnsi="宋体" w:eastAsia="宋体" w:cs="Times New Roman"/>
          <w:b w:val="0"/>
          <w:bCs w:val="0"/>
          <w:color w:val="auto"/>
          <w:kern w:val="2"/>
          <w:sz w:val="24"/>
          <w:szCs w:val="24"/>
          <w:lang w:val="en-US" w:eastAsia="zh-CN" w:bidi="ar-SA"/>
        </w:rPr>
      </w:pPr>
    </w:p>
    <w:p w14:paraId="01DBFF5B">
      <w:pPr>
        <w:jc w:val="left"/>
        <w:rPr>
          <w:rFonts w:hint="eastAsia" w:ascii="宋体" w:hAnsi="宋体" w:eastAsia="宋体" w:cs="Times New Roman"/>
          <w:b w:val="0"/>
          <w:bCs w:val="0"/>
          <w:color w:val="auto"/>
          <w:kern w:val="2"/>
          <w:sz w:val="24"/>
          <w:szCs w:val="24"/>
          <w:lang w:val="en-US" w:eastAsia="zh-CN" w:bidi="ar-SA"/>
        </w:rPr>
      </w:pPr>
    </w:p>
    <w:p w14:paraId="10498A17">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0C097E52">
      <w:pPr>
        <w:jc w:val="center"/>
        <w:rPr>
          <w:rFonts w:hint="eastAsia" w:ascii="宋体" w:hAnsi="宋体" w:cs="宋体"/>
          <w:b/>
          <w:color w:val="auto"/>
          <w:sz w:val="24"/>
        </w:rPr>
        <w:sectPr>
          <w:headerReference r:id="rId9" w:type="default"/>
          <w:footerReference r:id="rId10" w:type="default"/>
          <w:pgSz w:w="11906" w:h="16838"/>
          <w:pgMar w:top="1440" w:right="1417" w:bottom="1440" w:left="1417" w:header="567" w:footer="283" w:gutter="0"/>
          <w:pgNumType w:fmt="decimal" w:start="1"/>
          <w:cols w:space="720" w:num="1"/>
          <w:docGrid w:linePitch="312" w:charSpace="0"/>
        </w:sectPr>
      </w:pPr>
    </w:p>
    <w:p w14:paraId="3A961E94">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55BCBFA4">
      <w:pPr>
        <w:pStyle w:val="23"/>
        <w:rPr>
          <w:rFonts w:hint="eastAsia"/>
          <w:color w:val="auto"/>
          <w:lang w:eastAsia="zh-CN"/>
        </w:rPr>
      </w:pPr>
    </w:p>
    <w:p w14:paraId="5D24C696">
      <w:pPr>
        <w:spacing w:before="120" w:beforeLines="50" w:after="120" w:afterLines="50" w:line="276" w:lineRule="auto"/>
        <w:jc w:val="center"/>
        <w:rPr>
          <w:b/>
          <w:color w:val="auto"/>
          <w:sz w:val="24"/>
        </w:rPr>
      </w:pPr>
      <w:r>
        <w:rPr>
          <w:b/>
          <w:color w:val="auto"/>
          <w:sz w:val="24"/>
        </w:rPr>
        <w:t>采购需求响应/偏离表</w:t>
      </w:r>
    </w:p>
    <w:p w14:paraId="29E8B025">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36ED76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41D21965">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9B616AF">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4FA2923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38B39FB9">
            <w:pPr>
              <w:adjustRightInd w:val="0"/>
              <w:snapToGrid w:val="0"/>
              <w:spacing w:before="50" w:line="360" w:lineRule="auto"/>
              <w:jc w:val="center"/>
              <w:rPr>
                <w:color w:val="auto"/>
              </w:rPr>
            </w:pPr>
            <w:r>
              <w:rPr>
                <w:color w:val="auto"/>
              </w:rPr>
              <w:t>投标文件应答</w:t>
            </w:r>
          </w:p>
        </w:tc>
        <w:tc>
          <w:tcPr>
            <w:tcW w:w="1513" w:type="dxa"/>
            <w:noWrap w:val="0"/>
            <w:vAlign w:val="center"/>
          </w:tcPr>
          <w:p w14:paraId="082F258F">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7E37011B">
            <w:pPr>
              <w:adjustRightInd w:val="0"/>
              <w:snapToGrid w:val="0"/>
              <w:spacing w:before="50" w:line="360" w:lineRule="auto"/>
              <w:ind w:left="-88" w:leftChars="-42"/>
              <w:jc w:val="center"/>
              <w:rPr>
                <w:color w:val="auto"/>
                <w:szCs w:val="21"/>
              </w:rPr>
            </w:pPr>
            <w:r>
              <w:rPr>
                <w:color w:val="auto"/>
                <w:szCs w:val="21"/>
              </w:rPr>
              <w:t>偏离说明</w:t>
            </w:r>
          </w:p>
        </w:tc>
      </w:tr>
      <w:tr w14:paraId="2413EA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D8C0D78">
            <w:pPr>
              <w:adjustRightInd w:val="0"/>
              <w:snapToGrid w:val="0"/>
              <w:spacing w:before="50" w:line="360" w:lineRule="auto"/>
              <w:ind w:left="-88" w:leftChars="-42"/>
              <w:jc w:val="center"/>
              <w:rPr>
                <w:color w:val="auto"/>
                <w:szCs w:val="21"/>
              </w:rPr>
            </w:pPr>
          </w:p>
        </w:tc>
        <w:tc>
          <w:tcPr>
            <w:tcW w:w="1877" w:type="dxa"/>
            <w:noWrap w:val="0"/>
            <w:vAlign w:val="center"/>
          </w:tcPr>
          <w:p w14:paraId="3B97111F">
            <w:pPr>
              <w:adjustRightInd w:val="0"/>
              <w:snapToGrid w:val="0"/>
              <w:spacing w:before="50" w:line="360" w:lineRule="auto"/>
              <w:ind w:left="-88" w:leftChars="-42"/>
              <w:jc w:val="center"/>
              <w:rPr>
                <w:color w:val="auto"/>
                <w:szCs w:val="21"/>
              </w:rPr>
            </w:pPr>
          </w:p>
        </w:tc>
        <w:tc>
          <w:tcPr>
            <w:tcW w:w="1671" w:type="dxa"/>
            <w:noWrap w:val="0"/>
            <w:vAlign w:val="center"/>
          </w:tcPr>
          <w:p w14:paraId="3C767129">
            <w:pPr>
              <w:adjustRightInd w:val="0"/>
              <w:snapToGrid w:val="0"/>
              <w:spacing w:before="50" w:line="360" w:lineRule="auto"/>
              <w:ind w:left="-88" w:leftChars="-42"/>
              <w:jc w:val="center"/>
              <w:rPr>
                <w:color w:val="auto"/>
                <w:szCs w:val="21"/>
              </w:rPr>
            </w:pPr>
          </w:p>
        </w:tc>
        <w:tc>
          <w:tcPr>
            <w:tcW w:w="1608" w:type="dxa"/>
            <w:noWrap w:val="0"/>
            <w:vAlign w:val="center"/>
          </w:tcPr>
          <w:p w14:paraId="10491CEC">
            <w:pPr>
              <w:adjustRightInd w:val="0"/>
              <w:snapToGrid w:val="0"/>
              <w:spacing w:before="50" w:line="360" w:lineRule="auto"/>
              <w:ind w:left="-88" w:leftChars="-42"/>
              <w:jc w:val="center"/>
              <w:rPr>
                <w:color w:val="auto"/>
                <w:szCs w:val="21"/>
              </w:rPr>
            </w:pPr>
          </w:p>
        </w:tc>
        <w:tc>
          <w:tcPr>
            <w:tcW w:w="1513" w:type="dxa"/>
            <w:noWrap w:val="0"/>
            <w:vAlign w:val="center"/>
          </w:tcPr>
          <w:p w14:paraId="0D2FA595">
            <w:pPr>
              <w:adjustRightInd w:val="0"/>
              <w:snapToGrid w:val="0"/>
              <w:spacing w:before="50" w:line="360" w:lineRule="auto"/>
              <w:ind w:left="-88" w:leftChars="-42"/>
              <w:jc w:val="center"/>
              <w:rPr>
                <w:color w:val="auto"/>
                <w:szCs w:val="21"/>
              </w:rPr>
            </w:pPr>
          </w:p>
        </w:tc>
        <w:tc>
          <w:tcPr>
            <w:tcW w:w="1061" w:type="dxa"/>
            <w:noWrap w:val="0"/>
            <w:vAlign w:val="center"/>
          </w:tcPr>
          <w:p w14:paraId="405E0687">
            <w:pPr>
              <w:adjustRightInd w:val="0"/>
              <w:snapToGrid w:val="0"/>
              <w:spacing w:before="50" w:line="360" w:lineRule="auto"/>
              <w:ind w:left="-88" w:leftChars="-42"/>
              <w:jc w:val="center"/>
              <w:rPr>
                <w:color w:val="auto"/>
                <w:szCs w:val="21"/>
              </w:rPr>
            </w:pPr>
          </w:p>
        </w:tc>
      </w:tr>
      <w:tr w14:paraId="785E89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8D93EAA">
            <w:pPr>
              <w:adjustRightInd w:val="0"/>
              <w:snapToGrid w:val="0"/>
              <w:spacing w:before="50" w:line="360" w:lineRule="auto"/>
              <w:ind w:left="-88" w:leftChars="-42"/>
              <w:jc w:val="center"/>
              <w:rPr>
                <w:color w:val="auto"/>
                <w:szCs w:val="21"/>
              </w:rPr>
            </w:pPr>
          </w:p>
        </w:tc>
        <w:tc>
          <w:tcPr>
            <w:tcW w:w="1877" w:type="dxa"/>
            <w:noWrap w:val="0"/>
            <w:vAlign w:val="center"/>
          </w:tcPr>
          <w:p w14:paraId="137A2751">
            <w:pPr>
              <w:adjustRightInd w:val="0"/>
              <w:snapToGrid w:val="0"/>
              <w:spacing w:before="50" w:line="360" w:lineRule="auto"/>
              <w:ind w:left="-88" w:leftChars="-42"/>
              <w:jc w:val="center"/>
              <w:rPr>
                <w:color w:val="auto"/>
                <w:szCs w:val="21"/>
              </w:rPr>
            </w:pPr>
          </w:p>
        </w:tc>
        <w:tc>
          <w:tcPr>
            <w:tcW w:w="1671" w:type="dxa"/>
            <w:noWrap w:val="0"/>
            <w:vAlign w:val="center"/>
          </w:tcPr>
          <w:p w14:paraId="6C388274">
            <w:pPr>
              <w:adjustRightInd w:val="0"/>
              <w:snapToGrid w:val="0"/>
              <w:spacing w:before="50" w:line="360" w:lineRule="auto"/>
              <w:ind w:left="-88" w:leftChars="-42"/>
              <w:jc w:val="center"/>
              <w:rPr>
                <w:color w:val="auto"/>
                <w:szCs w:val="21"/>
              </w:rPr>
            </w:pPr>
          </w:p>
        </w:tc>
        <w:tc>
          <w:tcPr>
            <w:tcW w:w="1608" w:type="dxa"/>
            <w:noWrap w:val="0"/>
            <w:vAlign w:val="center"/>
          </w:tcPr>
          <w:p w14:paraId="2C6473D1">
            <w:pPr>
              <w:adjustRightInd w:val="0"/>
              <w:snapToGrid w:val="0"/>
              <w:spacing w:before="50" w:line="360" w:lineRule="auto"/>
              <w:ind w:left="-88" w:leftChars="-42"/>
              <w:jc w:val="center"/>
              <w:rPr>
                <w:color w:val="auto"/>
                <w:szCs w:val="21"/>
              </w:rPr>
            </w:pPr>
          </w:p>
        </w:tc>
        <w:tc>
          <w:tcPr>
            <w:tcW w:w="1513" w:type="dxa"/>
            <w:noWrap w:val="0"/>
            <w:vAlign w:val="center"/>
          </w:tcPr>
          <w:p w14:paraId="1E6B0EBF">
            <w:pPr>
              <w:adjustRightInd w:val="0"/>
              <w:snapToGrid w:val="0"/>
              <w:spacing w:before="50" w:line="360" w:lineRule="auto"/>
              <w:ind w:left="-88" w:leftChars="-42"/>
              <w:jc w:val="center"/>
              <w:rPr>
                <w:color w:val="auto"/>
                <w:szCs w:val="21"/>
              </w:rPr>
            </w:pPr>
          </w:p>
        </w:tc>
        <w:tc>
          <w:tcPr>
            <w:tcW w:w="1061" w:type="dxa"/>
            <w:noWrap w:val="0"/>
            <w:vAlign w:val="center"/>
          </w:tcPr>
          <w:p w14:paraId="6CF580D9">
            <w:pPr>
              <w:adjustRightInd w:val="0"/>
              <w:snapToGrid w:val="0"/>
              <w:spacing w:before="50" w:line="360" w:lineRule="auto"/>
              <w:ind w:left="-88" w:leftChars="-42"/>
              <w:jc w:val="center"/>
              <w:rPr>
                <w:color w:val="auto"/>
                <w:szCs w:val="21"/>
              </w:rPr>
            </w:pPr>
          </w:p>
        </w:tc>
      </w:tr>
      <w:tr w14:paraId="2430BF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E8AA852">
            <w:pPr>
              <w:adjustRightInd w:val="0"/>
              <w:snapToGrid w:val="0"/>
              <w:spacing w:before="50" w:line="360" w:lineRule="auto"/>
              <w:ind w:left="-88" w:leftChars="-42"/>
              <w:jc w:val="center"/>
              <w:rPr>
                <w:color w:val="auto"/>
                <w:szCs w:val="21"/>
              </w:rPr>
            </w:pPr>
          </w:p>
        </w:tc>
        <w:tc>
          <w:tcPr>
            <w:tcW w:w="1877" w:type="dxa"/>
            <w:noWrap w:val="0"/>
            <w:vAlign w:val="center"/>
          </w:tcPr>
          <w:p w14:paraId="4075E40D">
            <w:pPr>
              <w:adjustRightInd w:val="0"/>
              <w:snapToGrid w:val="0"/>
              <w:spacing w:before="50" w:line="360" w:lineRule="auto"/>
              <w:ind w:left="-88" w:leftChars="-42"/>
              <w:jc w:val="center"/>
              <w:rPr>
                <w:color w:val="auto"/>
                <w:szCs w:val="21"/>
              </w:rPr>
            </w:pPr>
          </w:p>
        </w:tc>
        <w:tc>
          <w:tcPr>
            <w:tcW w:w="1671" w:type="dxa"/>
            <w:noWrap w:val="0"/>
            <w:vAlign w:val="center"/>
          </w:tcPr>
          <w:p w14:paraId="6C702BB2">
            <w:pPr>
              <w:adjustRightInd w:val="0"/>
              <w:snapToGrid w:val="0"/>
              <w:spacing w:before="50" w:line="360" w:lineRule="auto"/>
              <w:ind w:left="-88" w:leftChars="-42"/>
              <w:jc w:val="center"/>
              <w:rPr>
                <w:color w:val="auto"/>
                <w:szCs w:val="21"/>
              </w:rPr>
            </w:pPr>
          </w:p>
        </w:tc>
        <w:tc>
          <w:tcPr>
            <w:tcW w:w="1608" w:type="dxa"/>
            <w:noWrap w:val="0"/>
            <w:vAlign w:val="center"/>
          </w:tcPr>
          <w:p w14:paraId="727E8D5F">
            <w:pPr>
              <w:adjustRightInd w:val="0"/>
              <w:snapToGrid w:val="0"/>
              <w:spacing w:before="50" w:line="360" w:lineRule="auto"/>
              <w:ind w:left="-88" w:leftChars="-42"/>
              <w:jc w:val="center"/>
              <w:rPr>
                <w:color w:val="auto"/>
                <w:szCs w:val="21"/>
              </w:rPr>
            </w:pPr>
          </w:p>
        </w:tc>
        <w:tc>
          <w:tcPr>
            <w:tcW w:w="1513" w:type="dxa"/>
            <w:noWrap w:val="0"/>
            <w:vAlign w:val="center"/>
          </w:tcPr>
          <w:p w14:paraId="1CADE362">
            <w:pPr>
              <w:adjustRightInd w:val="0"/>
              <w:snapToGrid w:val="0"/>
              <w:spacing w:before="50" w:line="360" w:lineRule="auto"/>
              <w:ind w:left="-88" w:leftChars="-42"/>
              <w:jc w:val="center"/>
              <w:rPr>
                <w:color w:val="auto"/>
                <w:szCs w:val="21"/>
              </w:rPr>
            </w:pPr>
          </w:p>
        </w:tc>
        <w:tc>
          <w:tcPr>
            <w:tcW w:w="1061" w:type="dxa"/>
            <w:noWrap w:val="0"/>
            <w:vAlign w:val="center"/>
          </w:tcPr>
          <w:p w14:paraId="4C669EA3">
            <w:pPr>
              <w:adjustRightInd w:val="0"/>
              <w:snapToGrid w:val="0"/>
              <w:spacing w:before="50" w:line="360" w:lineRule="auto"/>
              <w:ind w:left="-88" w:leftChars="-42"/>
              <w:jc w:val="center"/>
              <w:rPr>
                <w:color w:val="auto"/>
                <w:szCs w:val="21"/>
              </w:rPr>
            </w:pPr>
          </w:p>
        </w:tc>
      </w:tr>
      <w:tr w14:paraId="24269C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2AF229AE">
            <w:pPr>
              <w:rPr>
                <w:b/>
                <w:color w:val="auto"/>
              </w:rPr>
            </w:pPr>
          </w:p>
        </w:tc>
      </w:tr>
    </w:tbl>
    <w:p w14:paraId="30277756">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14:paraId="2C3E146B">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21E58CA">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04EB0413">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本项目为综合评分法，所有参数必须在响应表中逐条应答。</w:t>
      </w:r>
    </w:p>
    <w:p w14:paraId="2C1FF301">
      <w:pPr>
        <w:pStyle w:val="24"/>
        <w:rPr>
          <w:color w:val="auto"/>
        </w:rPr>
      </w:pPr>
    </w:p>
    <w:p w14:paraId="4317B66E">
      <w:pPr>
        <w:pStyle w:val="23"/>
        <w:rPr>
          <w:rFonts w:hint="eastAsia"/>
          <w:color w:val="auto"/>
          <w:lang w:eastAsia="zh-CN"/>
        </w:rPr>
      </w:pPr>
    </w:p>
    <w:p w14:paraId="490EA7F6">
      <w:pPr>
        <w:rPr>
          <w:color w:val="auto"/>
        </w:rPr>
      </w:pPr>
    </w:p>
    <w:sectPr>
      <w:footerReference r:id="rId11"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B1"/>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Noto Sans Symbols2">
    <w:panose1 w:val="020B0502040504020204"/>
    <w:charset w:val="00"/>
    <w:family w:val="auto"/>
    <w:pitch w:val="default"/>
    <w:sig w:usb0="80000003" w:usb1="0200E3E4" w:usb2="00040020" w:usb3="0580A048" w:csb0="0000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7D09">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F1348A">
                          <w:pPr>
                            <w:pStyle w:val="10"/>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7CF1348A">
                    <w:pPr>
                      <w:pStyle w:val="10"/>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0198F">
    <w:pPr>
      <w:pStyle w:val="10"/>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14:paraId="07CB46CB">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6D0C2">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7D9A70">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17D9A70">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26267">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0AB456">
                          <w:pPr>
                            <w:pStyle w:val="10"/>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1E0AB456">
                    <w:pPr>
                      <w:pStyle w:val="10"/>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3F728">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C33519">
                          <w:pPr>
                            <w:pStyle w:val="10"/>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3sYQ8g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koieMWJ37+8f388/f51zeC&#10;PhSoD1Bj3mPAzDTc+AGTZz+gM/MeVLT5i4wIxhHrdJFXDomI/Gi1XK0qDAmMzRfEZ0/PQ4R0J70l&#10;2WhoxPkVWfnxHtKYOqfkas7famPKDI37y4GY2cNy72OP2UrDbpgI7Xx7Qj49jr6hDjedEvPRobLY&#10;X5qNOBu72TiEqPddWaNcD8KHQ8ImSm+5wgg7FcaZFXbTfuWleH4vWU//1OY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L97GEPIAQAAmwMAAA4AAAAAAAAAAQAgAAAAHgEAAGRycy9lMm9Eb2Mu&#10;eG1sUEsFBgAAAAAGAAYAWQEAAFgFAAAAAA==&#10;">
              <v:fill on="f" focussize="0,0"/>
              <v:stroke on="f"/>
              <v:imagedata o:title=""/>
              <o:lock v:ext="edit" aspectratio="f"/>
              <v:textbox inset="0mm,0mm,0mm,0mm" style="mso-fit-shape-to-text:t;">
                <w:txbxContent>
                  <w:p w14:paraId="20C33519">
                    <w:pPr>
                      <w:pStyle w:val="10"/>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80288">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5B3A1D">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5B3A1D">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14971896">
    <w:pPr>
      <w:adjustRightInd w:val="0"/>
      <w:snapToGrid w:val="0"/>
      <w:spacing w:line="260" w:lineRule="atLeast"/>
      <w:rPr>
        <w:rFonts w:hint="eastAsia"/>
        <w:kern w:val="0"/>
        <w:sz w:val="18"/>
        <w:szCs w:val="21"/>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BD61D">
    <w:pPr>
      <w:pStyle w:val="10"/>
      <w:rPr>
        <w:rFonts w:hint="eastAsia" w:ascii="仿宋_GB2312" w:eastAsia="仿宋_GB2312"/>
        <w:bCs/>
        <w:u w:val="single"/>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3B7A8">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7B3B7A8">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4BE9169C">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27AA8">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83597">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C53AFD51"/>
    <w:multiLevelType w:val="singleLevel"/>
    <w:tmpl w:val="C53AFD51"/>
    <w:lvl w:ilvl="0" w:tentative="0">
      <w:start w:val="1"/>
      <w:numFmt w:val="chineseCounting"/>
      <w:suff w:val="space"/>
      <w:lvlText w:val="第%1条"/>
      <w:lvlJc w:val="left"/>
      <w:rPr>
        <w:rFonts w:hint="eastAsia"/>
        <w:b/>
        <w:bCs/>
      </w:rPr>
    </w:lvl>
  </w:abstractNum>
  <w:abstractNum w:abstractNumId="2">
    <w:nsid w:val="EB67FE42"/>
    <w:multiLevelType w:val="singleLevel"/>
    <w:tmpl w:val="EB67FE42"/>
    <w:lvl w:ilvl="0" w:tentative="0">
      <w:start w:val="1"/>
      <w:numFmt w:val="decimal"/>
      <w:suff w:val="nothing"/>
      <w:lvlText w:val="%1、"/>
      <w:lvlJc w:val="left"/>
    </w:lvl>
  </w:abstractNum>
  <w:abstractNum w:abstractNumId="3">
    <w:nsid w:val="17F8307F"/>
    <w:multiLevelType w:val="multilevel"/>
    <w:tmpl w:val="17F8307F"/>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4608AD"/>
    <w:rsid w:val="00AE556A"/>
    <w:rsid w:val="01062C1A"/>
    <w:rsid w:val="01350E35"/>
    <w:rsid w:val="01F50B67"/>
    <w:rsid w:val="02390242"/>
    <w:rsid w:val="03E43FAE"/>
    <w:rsid w:val="04653F41"/>
    <w:rsid w:val="04B72FC8"/>
    <w:rsid w:val="04F57A38"/>
    <w:rsid w:val="050719CA"/>
    <w:rsid w:val="06934BAA"/>
    <w:rsid w:val="06E91EC4"/>
    <w:rsid w:val="07583825"/>
    <w:rsid w:val="086F75C9"/>
    <w:rsid w:val="09C0303A"/>
    <w:rsid w:val="09FFD9FE"/>
    <w:rsid w:val="0A3F4F3C"/>
    <w:rsid w:val="0A6D3244"/>
    <w:rsid w:val="0A8A74D4"/>
    <w:rsid w:val="0B3D36C6"/>
    <w:rsid w:val="0CAD77BD"/>
    <w:rsid w:val="0E331420"/>
    <w:rsid w:val="0EDD1643"/>
    <w:rsid w:val="0FB9029C"/>
    <w:rsid w:val="0FEDB676"/>
    <w:rsid w:val="10897B23"/>
    <w:rsid w:val="10914EF9"/>
    <w:rsid w:val="10B8663C"/>
    <w:rsid w:val="12080B62"/>
    <w:rsid w:val="12994AC5"/>
    <w:rsid w:val="129F447F"/>
    <w:rsid w:val="12C86253"/>
    <w:rsid w:val="14E40477"/>
    <w:rsid w:val="15060AC8"/>
    <w:rsid w:val="15125EAE"/>
    <w:rsid w:val="15675A4C"/>
    <w:rsid w:val="17F91BB8"/>
    <w:rsid w:val="193E7D91"/>
    <w:rsid w:val="1943608F"/>
    <w:rsid w:val="19E40286"/>
    <w:rsid w:val="19E91315"/>
    <w:rsid w:val="1AF56B46"/>
    <w:rsid w:val="1B6E7537"/>
    <w:rsid w:val="1BE628B9"/>
    <w:rsid w:val="1C795D39"/>
    <w:rsid w:val="1CE412C7"/>
    <w:rsid w:val="1D5071B5"/>
    <w:rsid w:val="1DD7486D"/>
    <w:rsid w:val="1E79119D"/>
    <w:rsid w:val="1F334F58"/>
    <w:rsid w:val="1F796B24"/>
    <w:rsid w:val="1FC602A8"/>
    <w:rsid w:val="1FE73549"/>
    <w:rsid w:val="2038045E"/>
    <w:rsid w:val="208F6E7F"/>
    <w:rsid w:val="20AF0900"/>
    <w:rsid w:val="20B41DA7"/>
    <w:rsid w:val="20BC6B8B"/>
    <w:rsid w:val="21C61C7A"/>
    <w:rsid w:val="2383771E"/>
    <w:rsid w:val="23F374DB"/>
    <w:rsid w:val="24881A32"/>
    <w:rsid w:val="25266F96"/>
    <w:rsid w:val="267547DF"/>
    <w:rsid w:val="272B6E6C"/>
    <w:rsid w:val="27CF2BB7"/>
    <w:rsid w:val="28E81B29"/>
    <w:rsid w:val="28FD390A"/>
    <w:rsid w:val="29B45A41"/>
    <w:rsid w:val="2A174DA9"/>
    <w:rsid w:val="2AB010A8"/>
    <w:rsid w:val="2AC66F99"/>
    <w:rsid w:val="2C0A2E19"/>
    <w:rsid w:val="2C7642D0"/>
    <w:rsid w:val="2CC97A35"/>
    <w:rsid w:val="2CDC672B"/>
    <w:rsid w:val="2DD77C64"/>
    <w:rsid w:val="2DDA1E78"/>
    <w:rsid w:val="2DE00B8C"/>
    <w:rsid w:val="2DFDE0B4"/>
    <w:rsid w:val="2E5B7158"/>
    <w:rsid w:val="2EAC037F"/>
    <w:rsid w:val="2EB67A5C"/>
    <w:rsid w:val="302741D2"/>
    <w:rsid w:val="308B184D"/>
    <w:rsid w:val="309C1E01"/>
    <w:rsid w:val="30BB11DD"/>
    <w:rsid w:val="31A202A5"/>
    <w:rsid w:val="31F17CD1"/>
    <w:rsid w:val="324F4D43"/>
    <w:rsid w:val="32E86B4C"/>
    <w:rsid w:val="33384C93"/>
    <w:rsid w:val="33EE6ABE"/>
    <w:rsid w:val="340F06E9"/>
    <w:rsid w:val="34C12F54"/>
    <w:rsid w:val="361110A5"/>
    <w:rsid w:val="366241E2"/>
    <w:rsid w:val="36B66AAC"/>
    <w:rsid w:val="36E47928"/>
    <w:rsid w:val="372F7378"/>
    <w:rsid w:val="37BA0809"/>
    <w:rsid w:val="38FF7404"/>
    <w:rsid w:val="397348CD"/>
    <w:rsid w:val="3A8E0AB7"/>
    <w:rsid w:val="3A994AB7"/>
    <w:rsid w:val="3B3B544D"/>
    <w:rsid w:val="3B654F2B"/>
    <w:rsid w:val="3BB72BAE"/>
    <w:rsid w:val="3BFC7D2B"/>
    <w:rsid w:val="3C7C799C"/>
    <w:rsid w:val="3C8A61A4"/>
    <w:rsid w:val="3D5E17FF"/>
    <w:rsid w:val="3DEF2E07"/>
    <w:rsid w:val="3DF93413"/>
    <w:rsid w:val="3DFD1951"/>
    <w:rsid w:val="3E1F0DA4"/>
    <w:rsid w:val="3E584E51"/>
    <w:rsid w:val="3E6E70D5"/>
    <w:rsid w:val="3EBE1ADE"/>
    <w:rsid w:val="3EDF7B37"/>
    <w:rsid w:val="3F7F17AA"/>
    <w:rsid w:val="3FEDE2F7"/>
    <w:rsid w:val="3FF8B4BB"/>
    <w:rsid w:val="3FFEB3BE"/>
    <w:rsid w:val="403B4B34"/>
    <w:rsid w:val="40681D02"/>
    <w:rsid w:val="4140452A"/>
    <w:rsid w:val="414D7889"/>
    <w:rsid w:val="41BB0BAE"/>
    <w:rsid w:val="425629F5"/>
    <w:rsid w:val="4284152B"/>
    <w:rsid w:val="429A4992"/>
    <w:rsid w:val="435B161D"/>
    <w:rsid w:val="43B25DAC"/>
    <w:rsid w:val="44771DFD"/>
    <w:rsid w:val="45D569C3"/>
    <w:rsid w:val="470C3EE0"/>
    <w:rsid w:val="479B74B7"/>
    <w:rsid w:val="48735221"/>
    <w:rsid w:val="49E92B05"/>
    <w:rsid w:val="4A354E62"/>
    <w:rsid w:val="4AEE1A11"/>
    <w:rsid w:val="4B7F39F4"/>
    <w:rsid w:val="4BAE646F"/>
    <w:rsid w:val="4C4D6AA3"/>
    <w:rsid w:val="4CAC1559"/>
    <w:rsid w:val="4D754257"/>
    <w:rsid w:val="4DCD6AB3"/>
    <w:rsid w:val="4EE7662F"/>
    <w:rsid w:val="4FF7C5CD"/>
    <w:rsid w:val="4FFE9990"/>
    <w:rsid w:val="50216DCD"/>
    <w:rsid w:val="50540C20"/>
    <w:rsid w:val="506258C6"/>
    <w:rsid w:val="51AC28BD"/>
    <w:rsid w:val="52183ACC"/>
    <w:rsid w:val="521E2A7F"/>
    <w:rsid w:val="53345ECB"/>
    <w:rsid w:val="53B55872"/>
    <w:rsid w:val="544055F2"/>
    <w:rsid w:val="54AD4386"/>
    <w:rsid w:val="55D8243C"/>
    <w:rsid w:val="56DBB049"/>
    <w:rsid w:val="581A7C72"/>
    <w:rsid w:val="583A4BD7"/>
    <w:rsid w:val="59907279"/>
    <w:rsid w:val="59C51B68"/>
    <w:rsid w:val="59C74B1F"/>
    <w:rsid w:val="5A886F59"/>
    <w:rsid w:val="5DB16F91"/>
    <w:rsid w:val="5DB23133"/>
    <w:rsid w:val="5EB75767"/>
    <w:rsid w:val="5F6F1CE6"/>
    <w:rsid w:val="604D5946"/>
    <w:rsid w:val="611B6B1B"/>
    <w:rsid w:val="6133560C"/>
    <w:rsid w:val="62C222C2"/>
    <w:rsid w:val="632D7C40"/>
    <w:rsid w:val="64133D6A"/>
    <w:rsid w:val="64245572"/>
    <w:rsid w:val="66C30AF5"/>
    <w:rsid w:val="672737CD"/>
    <w:rsid w:val="678E4F5D"/>
    <w:rsid w:val="67F3562A"/>
    <w:rsid w:val="680E122C"/>
    <w:rsid w:val="6A4E1D63"/>
    <w:rsid w:val="6AA026F2"/>
    <w:rsid w:val="6B592423"/>
    <w:rsid w:val="6B933190"/>
    <w:rsid w:val="6C3E0FF7"/>
    <w:rsid w:val="6C486FE4"/>
    <w:rsid w:val="6C973424"/>
    <w:rsid w:val="6CA409DF"/>
    <w:rsid w:val="6CED94EE"/>
    <w:rsid w:val="6DE375E4"/>
    <w:rsid w:val="6E8E5287"/>
    <w:rsid w:val="6FAC3B48"/>
    <w:rsid w:val="6FAD463B"/>
    <w:rsid w:val="6FBE332C"/>
    <w:rsid w:val="6FF5F45E"/>
    <w:rsid w:val="6FF7A685"/>
    <w:rsid w:val="70CE0BC9"/>
    <w:rsid w:val="71554367"/>
    <w:rsid w:val="71584067"/>
    <w:rsid w:val="71F26E91"/>
    <w:rsid w:val="72931CE4"/>
    <w:rsid w:val="732F3FEB"/>
    <w:rsid w:val="735201FF"/>
    <w:rsid w:val="736FB70C"/>
    <w:rsid w:val="737B50A4"/>
    <w:rsid w:val="73F40E72"/>
    <w:rsid w:val="73FAD14C"/>
    <w:rsid w:val="74331114"/>
    <w:rsid w:val="74566F5C"/>
    <w:rsid w:val="750117A8"/>
    <w:rsid w:val="755B2270"/>
    <w:rsid w:val="75E27514"/>
    <w:rsid w:val="7612420D"/>
    <w:rsid w:val="767D7510"/>
    <w:rsid w:val="76920D75"/>
    <w:rsid w:val="76C47877"/>
    <w:rsid w:val="76DF0684"/>
    <w:rsid w:val="77423DFF"/>
    <w:rsid w:val="775B3214"/>
    <w:rsid w:val="77F9A588"/>
    <w:rsid w:val="783B5EA9"/>
    <w:rsid w:val="79EB699D"/>
    <w:rsid w:val="79F871CC"/>
    <w:rsid w:val="7A1D1657"/>
    <w:rsid w:val="7ABF7A88"/>
    <w:rsid w:val="7AFF5E62"/>
    <w:rsid w:val="7B0620DE"/>
    <w:rsid w:val="7BBF44BB"/>
    <w:rsid w:val="7BDF3E3A"/>
    <w:rsid w:val="7BEFF571"/>
    <w:rsid w:val="7BF15CE4"/>
    <w:rsid w:val="7BF70CD8"/>
    <w:rsid w:val="7C3A27E5"/>
    <w:rsid w:val="7CECB5D4"/>
    <w:rsid w:val="7D9727DD"/>
    <w:rsid w:val="7DCB30EB"/>
    <w:rsid w:val="7DFF2018"/>
    <w:rsid w:val="7DFFA0F8"/>
    <w:rsid w:val="7E9F79F5"/>
    <w:rsid w:val="7EDCE1B7"/>
    <w:rsid w:val="7EFB4F6E"/>
    <w:rsid w:val="7EFE9F26"/>
    <w:rsid w:val="7F0CBA39"/>
    <w:rsid w:val="7F164138"/>
    <w:rsid w:val="7F1A5E95"/>
    <w:rsid w:val="7F1FD6E3"/>
    <w:rsid w:val="7F922751"/>
    <w:rsid w:val="7FBFA9B2"/>
    <w:rsid w:val="7FFB0877"/>
    <w:rsid w:val="7FFEE304"/>
    <w:rsid w:val="7FFF594A"/>
    <w:rsid w:val="8BECBEB3"/>
    <w:rsid w:val="95B770E5"/>
    <w:rsid w:val="9EFFF311"/>
    <w:rsid w:val="AB9FDD46"/>
    <w:rsid w:val="B2D5DB4B"/>
    <w:rsid w:val="B5FF8E94"/>
    <w:rsid w:val="B7FBE76E"/>
    <w:rsid w:val="BEB40868"/>
    <w:rsid w:val="BFFCC2E0"/>
    <w:rsid w:val="C3BFCD62"/>
    <w:rsid w:val="C57CABBF"/>
    <w:rsid w:val="C75FB21A"/>
    <w:rsid w:val="CD9D9EA6"/>
    <w:rsid w:val="D799369E"/>
    <w:rsid w:val="DBD50114"/>
    <w:rsid w:val="DE6EE3F1"/>
    <w:rsid w:val="DF7EF141"/>
    <w:rsid w:val="DF953E5F"/>
    <w:rsid w:val="DFF32547"/>
    <w:rsid w:val="DFFF5B66"/>
    <w:rsid w:val="E74FC7E2"/>
    <w:rsid w:val="ECEC3399"/>
    <w:rsid w:val="EEAD70DA"/>
    <w:rsid w:val="EF553F88"/>
    <w:rsid w:val="EFBFD66A"/>
    <w:rsid w:val="EFF357D4"/>
    <w:rsid w:val="EFF6B05A"/>
    <w:rsid w:val="EFFBD91A"/>
    <w:rsid w:val="F3CEC422"/>
    <w:rsid w:val="F5B7BB86"/>
    <w:rsid w:val="F7FFD445"/>
    <w:rsid w:val="FBFFEBDB"/>
    <w:rsid w:val="FBFFF2A5"/>
    <w:rsid w:val="FECDD586"/>
    <w:rsid w:val="FEFAE9AC"/>
    <w:rsid w:val="FEFB6F30"/>
    <w:rsid w:val="FEFFDD5A"/>
    <w:rsid w:val="FF546E23"/>
    <w:rsid w:val="FF7F2D05"/>
    <w:rsid w:val="FFE95227"/>
    <w:rsid w:val="FFF8645C"/>
    <w:rsid w:val="FFFB7665"/>
    <w:rsid w:val="FFFF9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2">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widowControl/>
      <w:ind w:firstLine="420"/>
      <w:jc w:val="left"/>
    </w:pPr>
    <w:rPr>
      <w:kern w:val="0"/>
      <w:sz w:val="20"/>
      <w:szCs w:val="20"/>
    </w:rPr>
  </w:style>
  <w:style w:type="paragraph" w:styleId="7">
    <w:name w:val="Body Text"/>
    <w:basedOn w:val="1"/>
    <w:unhideWhenUsed/>
    <w:qFormat/>
    <w:uiPriority w:val="99"/>
    <w:pPr>
      <w:spacing w:after="120"/>
    </w:p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Date"/>
    <w:basedOn w:val="1"/>
    <w:next w:val="1"/>
    <w:qFormat/>
    <w:uiPriority w:val="0"/>
    <w:rPr>
      <w:color w:val="000000"/>
      <w:kern w:val="0"/>
      <w:sz w:val="30"/>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8"/>
    <w:next w:val="6"/>
    <w:qFormat/>
    <w:uiPriority w:val="0"/>
    <w:pPr>
      <w:overflowPunct w:val="0"/>
      <w:adjustRightInd w:val="0"/>
      <w:spacing w:line="500" w:lineRule="exact"/>
      <w:ind w:firstLine="420" w:firstLineChars="200"/>
      <w:textAlignment w:val="baseline"/>
    </w:pPr>
    <w:rPr>
      <w:rFonts w:eastAsia="仿宋_GB2312"/>
      <w:kern w:val="28"/>
      <w:sz w:val="2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page number"/>
    <w:qFormat/>
    <w:uiPriority w:val="0"/>
  </w:style>
  <w:style w:type="character" w:styleId="19">
    <w:name w:val="Emphasis"/>
    <w:basedOn w:val="16"/>
    <w:qFormat/>
    <w:uiPriority w:val="20"/>
    <w:rPr>
      <w:i/>
    </w:rPr>
  </w:style>
  <w:style w:type="paragraph" w:customStyle="1" w:styleId="2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1">
    <w:name w:val="大标题"/>
    <w:basedOn w:val="1"/>
    <w:next w:val="13"/>
    <w:qFormat/>
    <w:uiPriority w:val="0"/>
    <w:pPr>
      <w:jc w:val="center"/>
    </w:pPr>
    <w:rPr>
      <w:rFonts w:ascii="Arial" w:hAnsi="Arial" w:eastAsia="宋体"/>
      <w:b/>
      <w:sz w:val="28"/>
      <w:szCs w:val="24"/>
    </w:rPr>
  </w:style>
  <w:style w:type="paragraph" w:customStyle="1" w:styleId="2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3">
    <w:name w:val="列出段落1"/>
    <w:basedOn w:val="1"/>
    <w:qFormat/>
    <w:uiPriority w:val="99"/>
    <w:pPr>
      <w:ind w:firstLine="420" w:firstLineChars="200"/>
    </w:pPr>
  </w:style>
  <w:style w:type="paragraph" w:customStyle="1" w:styleId="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34"/>
    <w:pPr>
      <w:ind w:firstLine="420" w:firstLineChars="200"/>
    </w:pPr>
    <w:rPr>
      <w:rFonts w:ascii="Calibri" w:hAnsi="Calibri"/>
      <w:szCs w:val="22"/>
    </w:rPr>
  </w:style>
  <w:style w:type="paragraph" w:customStyle="1" w:styleId="26">
    <w:name w:val="BodyText1I2"/>
    <w:basedOn w:val="27"/>
    <w:qFormat/>
    <w:uiPriority w:val="0"/>
    <w:pPr>
      <w:ind w:firstLine="420"/>
      <w:jc w:val="left"/>
    </w:pPr>
    <w:rPr>
      <w:rFonts w:ascii="Calibri" w:hAnsi="Calibri"/>
      <w:kern w:val="0"/>
    </w:rPr>
  </w:style>
  <w:style w:type="paragraph" w:customStyle="1" w:styleId="27">
    <w:name w:val="BodyText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8388</Words>
  <Characters>8690</Characters>
  <Lines>0</Lines>
  <Paragraphs>0</Paragraphs>
  <TotalTime>2</TotalTime>
  <ScaleCrop>false</ScaleCrop>
  <LinksUpToDate>false</LinksUpToDate>
  <CharactersWithSpaces>9965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2023-07-21T09:45:00Z</dcterms:created>
  <dc:creator>是小豹子</dc:creator>
  <cp:lastModifiedBy>沁sqr</cp:lastModifiedBy>
  <cp:lastPrinted>2026-01-10T07:57:00Z</cp:lastPrinted>
  <dcterms:modified xsi:type="dcterms:W3CDTF">2026-06-05T15:19:30Z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A961FDC6F7774A628D295D04CA2B721B_13</vt:lpwstr>
  </property>
  <property fmtid="{D5CDD505-2E9C-101B-9397-08002B2CF9AE}" pid="4" name="KSOTemplateDocerSaveRecord">
    <vt:lpwstr>eyJoZGlkIjoiMjI0YzkyZjA4NDE5ZWViZGEyZTVjOTNhYTg4ZmYzYTciLCJ1c2VySWQiOiIzMDQ3NTQ4MDUifQ==</vt:lpwstr>
  </property>
</Properties>
</file>