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7E43F9">
      <w:pPr>
        <w:pStyle w:val="6"/>
        <w:snapToGrid w:val="0"/>
        <w:jc w:val="center"/>
        <w:rPr>
          <w:rFonts w:ascii="Arial" w:hAnsi="Arial" w:eastAsia="方正小标宋简体" w:cs="Arial"/>
          <w:color w:val="auto"/>
          <w:sz w:val="72"/>
          <w:szCs w:val="72"/>
        </w:rPr>
      </w:pPr>
    </w:p>
    <w:p w14:paraId="16840ED3">
      <w:pPr>
        <w:pStyle w:val="6"/>
        <w:tabs>
          <w:tab w:val="left" w:pos="312"/>
        </w:tabs>
        <w:snapToGrid w:val="0"/>
        <w:spacing w:line="288" w:lineRule="auto"/>
        <w:jc w:val="center"/>
        <w:rPr>
          <w:rFonts w:ascii="Arial" w:hAnsi="Arial" w:eastAsia="方正小标宋简体" w:cs="Arial"/>
          <w:sz w:val="72"/>
          <w:szCs w:val="72"/>
        </w:rPr>
      </w:pPr>
      <w:bookmarkStart w:id="0" w:name="_Toc16523570"/>
      <w:r>
        <w:rPr>
          <w:rFonts w:hint="eastAsia" w:ascii="Arial" w:hAnsi="Arial" w:eastAsia="方正小标宋简体" w:cs="Arial"/>
          <w:sz w:val="72"/>
          <w:szCs w:val="72"/>
        </w:rPr>
        <w:t>娄底市中心医院院内</w:t>
      </w:r>
    </w:p>
    <w:p w14:paraId="62762BB7">
      <w:pPr>
        <w:pStyle w:val="6"/>
        <w:snapToGrid w:val="0"/>
        <w:jc w:val="center"/>
        <w:rPr>
          <w:rFonts w:ascii="Arial" w:hAnsi="Arial" w:eastAsia="方正小标宋简体" w:cs="Arial"/>
          <w:sz w:val="72"/>
          <w:szCs w:val="72"/>
        </w:rPr>
      </w:pPr>
    </w:p>
    <w:p w14:paraId="2C6D482E">
      <w:pPr>
        <w:pStyle w:val="6"/>
        <w:snapToGrid w:val="0"/>
        <w:jc w:val="center"/>
        <w:rPr>
          <w:rFonts w:ascii="Arial" w:hAnsi="Arial" w:eastAsia="方正小标宋简体" w:cs="Arial"/>
          <w:sz w:val="72"/>
          <w:szCs w:val="72"/>
        </w:rPr>
      </w:pPr>
    </w:p>
    <w:p w14:paraId="0C1B899A">
      <w:pPr>
        <w:pStyle w:val="6"/>
        <w:snapToGrid w:val="0"/>
        <w:jc w:val="center"/>
        <w:rPr>
          <w:rFonts w:ascii="Arial" w:hAnsi="Arial" w:eastAsia="方正小标宋简体" w:cs="Arial"/>
          <w:sz w:val="72"/>
          <w:szCs w:val="72"/>
        </w:rPr>
      </w:pPr>
    </w:p>
    <w:p w14:paraId="1A95871E">
      <w:pPr>
        <w:pStyle w:val="6"/>
        <w:snapToGrid w:val="0"/>
        <w:jc w:val="center"/>
        <w:rPr>
          <w:rFonts w:ascii="Arial" w:hAnsi="Arial" w:cs="Arial"/>
          <w:sz w:val="32"/>
          <w:szCs w:val="32"/>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2BAC077E">
      <w:pPr>
        <w:pStyle w:val="6"/>
        <w:snapToGrid w:val="0"/>
        <w:jc w:val="center"/>
        <w:rPr>
          <w:rFonts w:ascii="Arial" w:hAnsi="Arial" w:cs="Arial"/>
          <w:sz w:val="32"/>
          <w:szCs w:val="32"/>
        </w:rPr>
      </w:pPr>
    </w:p>
    <w:p w14:paraId="704AEA95">
      <w:pPr>
        <w:pStyle w:val="6"/>
        <w:snapToGrid w:val="0"/>
        <w:jc w:val="center"/>
        <w:rPr>
          <w:rFonts w:ascii="Arial" w:hAnsi="Arial" w:cs="Arial"/>
          <w:sz w:val="32"/>
          <w:szCs w:val="32"/>
        </w:rPr>
      </w:pPr>
    </w:p>
    <w:p w14:paraId="370692B7">
      <w:pPr>
        <w:pStyle w:val="6"/>
        <w:snapToGrid w:val="0"/>
        <w:jc w:val="center"/>
        <w:rPr>
          <w:rFonts w:ascii="Arial" w:hAnsi="Arial" w:cs="Arial"/>
          <w:sz w:val="32"/>
          <w:szCs w:val="32"/>
        </w:rPr>
      </w:pPr>
    </w:p>
    <w:p w14:paraId="3B433057">
      <w:pPr>
        <w:pStyle w:val="6"/>
        <w:snapToGrid w:val="0"/>
        <w:jc w:val="center"/>
        <w:rPr>
          <w:rFonts w:ascii="Arial" w:hAnsi="Arial" w:cs="Arial"/>
          <w:sz w:val="32"/>
          <w:szCs w:val="32"/>
        </w:rPr>
      </w:pPr>
    </w:p>
    <w:p w14:paraId="4682DD67">
      <w:pPr>
        <w:pStyle w:val="6"/>
        <w:snapToGrid w:val="0"/>
        <w:jc w:val="center"/>
        <w:rPr>
          <w:rFonts w:ascii="Arial" w:hAnsi="Arial" w:cs="Arial"/>
          <w:sz w:val="32"/>
          <w:szCs w:val="32"/>
        </w:rPr>
      </w:pPr>
    </w:p>
    <w:p w14:paraId="295EDADF">
      <w:pPr>
        <w:pStyle w:val="6"/>
        <w:snapToGrid w:val="0"/>
        <w:jc w:val="center"/>
        <w:rPr>
          <w:rFonts w:ascii="Arial" w:hAnsi="Arial" w:cs="Arial"/>
          <w:sz w:val="32"/>
          <w:szCs w:val="32"/>
        </w:rPr>
      </w:pPr>
    </w:p>
    <w:p w14:paraId="05545ADF">
      <w:pPr>
        <w:pStyle w:val="6"/>
        <w:snapToGrid w:val="0"/>
        <w:jc w:val="center"/>
        <w:rPr>
          <w:rFonts w:ascii="Arial" w:hAnsi="Arial" w:cs="Arial"/>
          <w:sz w:val="32"/>
          <w:szCs w:val="32"/>
        </w:rPr>
      </w:pPr>
    </w:p>
    <w:p w14:paraId="2B4B62AC">
      <w:pPr>
        <w:pStyle w:val="6"/>
        <w:snapToGrid w:val="0"/>
        <w:jc w:val="center"/>
        <w:rPr>
          <w:rFonts w:ascii="Arial" w:hAnsi="Arial" w:cs="Arial"/>
          <w:sz w:val="32"/>
          <w:szCs w:val="32"/>
        </w:rPr>
      </w:pPr>
    </w:p>
    <w:p w14:paraId="2E9C0262">
      <w:pPr>
        <w:pStyle w:val="6"/>
        <w:snapToGrid w:val="0"/>
        <w:jc w:val="center"/>
        <w:rPr>
          <w:rFonts w:ascii="Arial" w:hAnsi="Arial" w:cs="Arial"/>
          <w:sz w:val="32"/>
          <w:szCs w:val="32"/>
        </w:rPr>
      </w:pPr>
    </w:p>
    <w:p w14:paraId="33AD271B">
      <w:pPr>
        <w:pStyle w:val="6"/>
        <w:snapToGrid w:val="0"/>
        <w:jc w:val="center"/>
        <w:rPr>
          <w:rFonts w:ascii="Arial" w:hAnsi="Arial" w:cs="Arial"/>
          <w:sz w:val="32"/>
          <w:szCs w:val="32"/>
        </w:rPr>
      </w:pPr>
    </w:p>
    <w:p w14:paraId="0F619B18">
      <w:pPr>
        <w:pStyle w:val="6"/>
        <w:snapToGrid w:val="0"/>
        <w:jc w:val="center"/>
        <w:rPr>
          <w:rFonts w:ascii="Arial" w:hAnsi="Arial" w:cs="Arial"/>
          <w:sz w:val="32"/>
          <w:szCs w:val="32"/>
        </w:rPr>
      </w:pPr>
    </w:p>
    <w:p w14:paraId="6357A890">
      <w:pPr>
        <w:spacing w:line="360" w:lineRule="auto"/>
        <w:rPr>
          <w:rFonts w:hint="eastAsia"/>
          <w:bCs/>
          <w:sz w:val="32"/>
          <w:szCs w:val="32"/>
        </w:rPr>
      </w:pPr>
    </w:p>
    <w:p w14:paraId="218BAC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项目名称：娄底市中心医院</w:t>
      </w:r>
      <w:r>
        <w:rPr>
          <w:rFonts w:hint="eastAsia"/>
          <w:bCs/>
          <w:sz w:val="32"/>
          <w:szCs w:val="32"/>
          <w:lang w:eastAsia="zh-CN"/>
        </w:rPr>
        <w:t>部队医保报销规则接口</w:t>
      </w:r>
      <w:r>
        <w:rPr>
          <w:rFonts w:hint="eastAsia"/>
          <w:bCs/>
          <w:sz w:val="32"/>
          <w:szCs w:val="32"/>
        </w:rPr>
        <w:t>项目招标文件（院内</w:t>
      </w:r>
      <w:r>
        <w:rPr>
          <w:rFonts w:hint="eastAsia"/>
          <w:bCs/>
          <w:sz w:val="32"/>
          <w:szCs w:val="32"/>
          <w:lang w:eastAsia="zh-CN"/>
        </w:rPr>
        <w:t>单一来源</w:t>
      </w:r>
      <w:r>
        <w:rPr>
          <w:rFonts w:hint="eastAsia"/>
          <w:bCs/>
          <w:sz w:val="32"/>
          <w:szCs w:val="32"/>
        </w:rPr>
        <w:t>）</w:t>
      </w:r>
    </w:p>
    <w:p w14:paraId="02F110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p>
    <w:p w14:paraId="587C9C5A">
      <w:pPr>
        <w:spacing w:line="320" w:lineRule="exact"/>
        <w:jc w:val="left"/>
        <w:rPr>
          <w:sz w:val="24"/>
        </w:rPr>
      </w:pPr>
    </w:p>
    <w:p w14:paraId="1AB6346D">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六</w:t>
      </w:r>
      <w:r>
        <w:rPr>
          <w:rFonts w:hint="eastAsia" w:ascii="宋体" w:hAnsi="宋体" w:cs="宋体"/>
          <w:bCs/>
          <w:sz w:val="32"/>
          <w:szCs w:val="32"/>
        </w:rPr>
        <w:t>月</w:t>
      </w:r>
    </w:p>
    <w:p w14:paraId="0B00856B">
      <w:pPr>
        <w:rPr>
          <w:rFonts w:hint="eastAsia" w:ascii="宋体" w:hAnsi="宋体" w:cs="宋体"/>
          <w:color w:val="auto"/>
          <w:sz w:val="44"/>
          <w:szCs w:val="44"/>
          <w:lang w:val="en-US" w:eastAsia="zh-CN"/>
        </w:rPr>
      </w:pPr>
    </w:p>
    <w:p w14:paraId="364B36EC">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216CC19B">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第一章</w:t>
      </w:r>
      <w:r>
        <w:rPr>
          <w:rFonts w:hint="eastAsia" w:ascii="宋体" w:hAnsi="宋体" w:cs="宋体"/>
          <w:color w:val="auto"/>
          <w:sz w:val="44"/>
          <w:szCs w:val="44"/>
        </w:rPr>
        <w:t>投标邀请</w:t>
      </w:r>
      <w:bookmarkEnd w:id="0"/>
    </w:p>
    <w:p w14:paraId="1BF1FA8A">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娄底市中心医院的部队医保报销规则接口项目（项目名称）项目进行单一来源采购，现邀请你单位（卫宁健康科技集团股份有限公司）参加协商。</w:t>
      </w:r>
    </w:p>
    <w:p w14:paraId="068D625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43280D9A">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项目名称：部队医保报销规则接口项目</w:t>
      </w:r>
    </w:p>
    <w:p w14:paraId="23F25273">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二、采购方式</w:t>
      </w:r>
    </w:p>
    <w:p w14:paraId="52349D93">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1、院内单一来源议价，由院内组织议价小组谈判。</w:t>
      </w:r>
    </w:p>
    <w:p w14:paraId="739ED6D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55893B32">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1F42DD7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ACB140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21C808E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15D0942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12B2191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3B858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B89F27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27C4F67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67F7E3C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2BA1D7A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31DB0AF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5023AEF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57D4A94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14:paraId="4F1CE38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p>
    <w:p w14:paraId="7612871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14:paraId="4ED45752">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sectPr>
          <w:headerReference r:id="rId3" w:type="default"/>
          <w:footerReference r:id="rId4" w:type="default"/>
          <w:pgSz w:w="11906" w:h="16838"/>
          <w:pgMar w:top="1191" w:right="1587" w:bottom="1020" w:left="1587" w:header="567" w:footer="283" w:gutter="0"/>
          <w:pgNumType w:start="1"/>
          <w:cols w:space="720" w:num="1"/>
          <w:docGrid w:linePitch="312" w:charSpace="0"/>
        </w:sectPr>
      </w:pPr>
    </w:p>
    <w:p w14:paraId="4C207BAA">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3F4A22A0">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一、采购清单、采购项目交付或者实施的时间和地点</w:t>
      </w:r>
    </w:p>
    <w:p w14:paraId="493D040A">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1.采购项目</w:t>
      </w:r>
    </w:p>
    <w:tbl>
      <w:tblPr>
        <w:tblStyle w:val="17"/>
        <w:tblW w:w="9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4794"/>
        <w:gridCol w:w="1815"/>
        <w:gridCol w:w="1972"/>
      </w:tblGrid>
      <w:tr w14:paraId="4159F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14:paraId="1E6601D4">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序号</w:t>
            </w:r>
          </w:p>
        </w:tc>
        <w:tc>
          <w:tcPr>
            <w:tcW w:w="4794" w:type="dxa"/>
            <w:tcBorders>
              <w:top w:val="single" w:color="auto" w:sz="4" w:space="0"/>
              <w:left w:val="single" w:color="auto" w:sz="4" w:space="0"/>
              <w:bottom w:val="single" w:color="auto" w:sz="4" w:space="0"/>
              <w:right w:val="single" w:color="auto" w:sz="4" w:space="0"/>
            </w:tcBorders>
            <w:vAlign w:val="center"/>
          </w:tcPr>
          <w:p w14:paraId="2CE8C036">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项目名称</w:t>
            </w:r>
          </w:p>
        </w:tc>
        <w:tc>
          <w:tcPr>
            <w:tcW w:w="1815" w:type="dxa"/>
            <w:tcBorders>
              <w:top w:val="single" w:color="auto" w:sz="4" w:space="0"/>
              <w:left w:val="single" w:color="auto" w:sz="4" w:space="0"/>
              <w:bottom w:val="single" w:color="auto" w:sz="4" w:space="0"/>
              <w:right w:val="single" w:color="auto" w:sz="4" w:space="0"/>
            </w:tcBorders>
            <w:vAlign w:val="center"/>
          </w:tcPr>
          <w:p w14:paraId="6EE1500F">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数量</w:t>
            </w:r>
          </w:p>
        </w:tc>
        <w:tc>
          <w:tcPr>
            <w:tcW w:w="1972" w:type="dxa"/>
            <w:tcBorders>
              <w:top w:val="single" w:color="auto" w:sz="4" w:space="0"/>
              <w:left w:val="single" w:color="auto" w:sz="4" w:space="0"/>
              <w:bottom w:val="single" w:color="auto" w:sz="4" w:space="0"/>
              <w:right w:val="single" w:color="auto" w:sz="4" w:space="0"/>
            </w:tcBorders>
            <w:vAlign w:val="center"/>
          </w:tcPr>
          <w:p w14:paraId="080557CD">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预算（万元）</w:t>
            </w:r>
          </w:p>
        </w:tc>
      </w:tr>
      <w:tr w14:paraId="4AE40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14:paraId="0D8AC5E0">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1</w:t>
            </w:r>
          </w:p>
        </w:tc>
        <w:tc>
          <w:tcPr>
            <w:tcW w:w="4794" w:type="dxa"/>
            <w:tcBorders>
              <w:top w:val="single" w:color="auto" w:sz="4" w:space="0"/>
              <w:left w:val="single" w:color="auto" w:sz="4" w:space="0"/>
              <w:bottom w:val="single" w:color="auto" w:sz="4" w:space="0"/>
              <w:right w:val="single" w:color="auto" w:sz="4" w:space="0"/>
            </w:tcBorders>
            <w:vAlign w:val="center"/>
          </w:tcPr>
          <w:p w14:paraId="547880E0">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bCs/>
                <w:color w:val="auto"/>
                <w:sz w:val="28"/>
                <w:szCs w:val="28"/>
                <w:lang w:val="en-US" w:eastAsia="zh-CN"/>
              </w:rPr>
              <w:t>部队医保报销规则接口项目</w:t>
            </w:r>
          </w:p>
        </w:tc>
        <w:tc>
          <w:tcPr>
            <w:tcW w:w="1815" w:type="dxa"/>
            <w:tcBorders>
              <w:top w:val="single" w:color="auto" w:sz="4" w:space="0"/>
              <w:left w:val="single" w:color="auto" w:sz="4" w:space="0"/>
              <w:bottom w:val="single" w:color="auto" w:sz="4" w:space="0"/>
              <w:right w:val="single" w:color="auto" w:sz="4" w:space="0"/>
            </w:tcBorders>
            <w:vAlign w:val="center"/>
          </w:tcPr>
          <w:p w14:paraId="61900498">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1批</w:t>
            </w:r>
          </w:p>
        </w:tc>
        <w:tc>
          <w:tcPr>
            <w:tcW w:w="1972" w:type="dxa"/>
            <w:tcBorders>
              <w:top w:val="single" w:color="auto" w:sz="4" w:space="0"/>
              <w:left w:val="single" w:color="auto" w:sz="4" w:space="0"/>
              <w:bottom w:val="single" w:color="auto" w:sz="4" w:space="0"/>
              <w:right w:val="single" w:color="auto" w:sz="4" w:space="0"/>
            </w:tcBorders>
            <w:vAlign w:val="center"/>
          </w:tcPr>
          <w:p w14:paraId="4CE1DA79">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p>
        </w:tc>
      </w:tr>
    </w:tbl>
    <w:p w14:paraId="4E0E4728">
      <w:pPr>
        <w:spacing w:line="360" w:lineRule="auto"/>
        <w:rPr>
          <w:rFonts w:hint="default" w:ascii="仿宋_GB2312" w:hAnsi="Times New Roman" w:eastAsia="仿宋_GB2312" w:cs="仿宋_GB2312"/>
          <w:bCs/>
          <w:color w:val="auto"/>
          <w:kern w:val="0"/>
          <w:sz w:val="28"/>
          <w:szCs w:val="28"/>
          <w:lang w:val="en-US" w:eastAsia="zh-CN" w:bidi="ar-SA"/>
        </w:rPr>
      </w:pPr>
    </w:p>
    <w:p w14:paraId="5A0C8E27">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2</w:t>
      </w:r>
      <w:r>
        <w:rPr>
          <w:rFonts w:hint="eastAsia" w:ascii="仿宋_GB2312" w:hAnsi="Times New Roman" w:eastAsia="仿宋_GB2312" w:cs="仿宋_GB2312"/>
          <w:bCs/>
          <w:color w:val="auto"/>
          <w:kern w:val="0"/>
          <w:sz w:val="28"/>
          <w:szCs w:val="28"/>
          <w:lang w:val="en-US" w:eastAsia="zh-CN" w:bidi="ar-SA"/>
        </w:rPr>
        <w:t>、服务地点：娄底市中心医院。</w:t>
      </w:r>
    </w:p>
    <w:p w14:paraId="0C01D2BE">
      <w:pPr>
        <w:spacing w:line="360" w:lineRule="auto"/>
        <w:ind w:firstLine="560" w:firstLineChars="200"/>
        <w:rPr>
          <w:rFonts w:hint="eastAsia" w:ascii="仿宋_GB2312"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二、项目内容及要求</w:t>
      </w:r>
      <w:r>
        <w:rPr>
          <w:rFonts w:hint="eastAsia" w:ascii="仿宋_GB2312" w:eastAsia="仿宋_GB2312" w:cs="仿宋_GB2312"/>
          <w:bCs/>
          <w:color w:val="auto"/>
          <w:kern w:val="0"/>
          <w:sz w:val="28"/>
          <w:szCs w:val="28"/>
          <w:lang w:val="en-US" w:eastAsia="zh-CN" w:bidi="ar-SA"/>
        </w:rPr>
        <w:t>，以下内容均需满足</w:t>
      </w:r>
    </w:p>
    <w:p w14:paraId="561909EE">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本次接口改造以精准落实部队人员就医结算规则为核心，实现HIS系统全流程身份核验、差异化计费、单据与报表规范化，具体目标如下：</w:t>
      </w:r>
    </w:p>
    <w:p w14:paraId="4B955663">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w:t>
      </w:r>
      <w:r>
        <w:rPr>
          <w:rFonts w:hint="eastAsia" w:ascii="仿宋_GB2312" w:hAnsi="Times New Roman" w:eastAsia="仿宋_GB2312" w:cs="仿宋_GB2312"/>
          <w:bCs/>
          <w:color w:val="auto"/>
          <w:kern w:val="0"/>
          <w:sz w:val="28"/>
          <w:szCs w:val="28"/>
          <w:lang w:val="en-US" w:eastAsia="zh-CN" w:bidi="ar-SA"/>
        </w:rPr>
        <w:t>一</w:t>
      </w:r>
      <w:r>
        <w:rPr>
          <w:rFonts w:hint="eastAsia" w:ascii="仿宋_GB2312" w:eastAsia="仿宋_GB2312" w:cs="仿宋_GB2312"/>
          <w:bCs/>
          <w:color w:val="auto"/>
          <w:kern w:val="0"/>
          <w:sz w:val="28"/>
          <w:szCs w:val="28"/>
          <w:lang w:val="en-US" w:eastAsia="zh-CN" w:bidi="ar-SA"/>
        </w:rPr>
        <w:t>)</w:t>
      </w:r>
      <w:r>
        <w:rPr>
          <w:rFonts w:hint="eastAsia" w:ascii="仿宋_GB2312" w:hAnsi="Times New Roman" w:eastAsia="仿宋_GB2312" w:cs="仿宋_GB2312"/>
          <w:bCs/>
          <w:color w:val="auto"/>
          <w:kern w:val="0"/>
          <w:sz w:val="28"/>
          <w:szCs w:val="28"/>
          <w:lang w:val="en-US" w:eastAsia="zh-CN" w:bidi="ar-SA"/>
        </w:rPr>
        <w:t>是完成HIS系统门诊、住院结算流程改造，结算环节完成身份比对识别，按人员类型执行对应结算规则，实现现役军人、文职军人就医费用医院全额垫付，军人家属就医费用全额自费；</w:t>
      </w:r>
    </w:p>
    <w:p w14:paraId="51B1B6E4">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w:t>
      </w:r>
      <w:r>
        <w:rPr>
          <w:rFonts w:hint="eastAsia" w:ascii="仿宋_GB2312" w:hAnsi="Times New Roman" w:eastAsia="仿宋_GB2312" w:cs="仿宋_GB2312"/>
          <w:bCs/>
          <w:color w:val="auto"/>
          <w:kern w:val="0"/>
          <w:sz w:val="28"/>
          <w:szCs w:val="28"/>
          <w:lang w:val="en-US" w:eastAsia="zh-CN" w:bidi="ar-SA"/>
        </w:rPr>
        <w:t>二</w:t>
      </w:r>
      <w:r>
        <w:rPr>
          <w:rFonts w:hint="eastAsia" w:ascii="仿宋_GB2312" w:eastAsia="仿宋_GB2312" w:cs="仿宋_GB2312"/>
          <w:bCs/>
          <w:color w:val="auto"/>
          <w:kern w:val="0"/>
          <w:sz w:val="28"/>
          <w:szCs w:val="28"/>
          <w:lang w:val="en-US" w:eastAsia="zh-CN" w:bidi="ar-SA"/>
        </w:rPr>
        <w:t>)</w:t>
      </w:r>
      <w:r>
        <w:rPr>
          <w:rFonts w:hint="eastAsia" w:ascii="仿宋_GB2312" w:hAnsi="Times New Roman" w:eastAsia="仿宋_GB2312" w:cs="仿宋_GB2312"/>
          <w:bCs/>
          <w:color w:val="auto"/>
          <w:kern w:val="0"/>
          <w:sz w:val="28"/>
          <w:szCs w:val="28"/>
          <w:lang w:val="en-US" w:eastAsia="zh-CN" w:bidi="ar-SA"/>
        </w:rPr>
        <w:t>是改造门诊挂号缴费流程，挂号结算同步完成军区人员身份核验，同步执行差异化收费规则；</w:t>
      </w:r>
    </w:p>
    <w:p w14:paraId="42C522BD">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w:t>
      </w:r>
      <w:r>
        <w:rPr>
          <w:rFonts w:hint="eastAsia" w:ascii="仿宋_GB2312" w:hAnsi="Times New Roman" w:eastAsia="仿宋_GB2312" w:cs="仿宋_GB2312"/>
          <w:bCs/>
          <w:color w:val="auto"/>
          <w:kern w:val="0"/>
          <w:sz w:val="28"/>
          <w:szCs w:val="28"/>
          <w:lang w:val="en-US" w:eastAsia="zh-CN" w:bidi="ar-SA"/>
        </w:rPr>
        <w:t>三</w:t>
      </w:r>
      <w:r>
        <w:rPr>
          <w:rFonts w:hint="eastAsia" w:ascii="仿宋_GB2312" w:eastAsia="仿宋_GB2312" w:cs="仿宋_GB2312"/>
          <w:bCs/>
          <w:color w:val="auto"/>
          <w:kern w:val="0"/>
          <w:sz w:val="28"/>
          <w:szCs w:val="28"/>
          <w:lang w:val="en-US" w:eastAsia="zh-CN" w:bidi="ar-SA"/>
        </w:rPr>
        <w:t>)</w:t>
      </w:r>
      <w:r>
        <w:rPr>
          <w:rFonts w:hint="eastAsia" w:ascii="仿宋_GB2312" w:hAnsi="Times New Roman" w:eastAsia="仿宋_GB2312" w:cs="仿宋_GB2312"/>
          <w:bCs/>
          <w:color w:val="auto"/>
          <w:kern w:val="0"/>
          <w:sz w:val="28"/>
          <w:szCs w:val="28"/>
          <w:lang w:val="en-US" w:eastAsia="zh-CN" w:bidi="ar-SA"/>
        </w:rPr>
        <w:t>是优化门诊挂号凭条、住院结算清单模板，同步新增医院垫付金额统计报表，支撑医院与部队线下费用结算、对账工作，全程保障业务流程闭环、数据精准可溯。</w:t>
      </w:r>
    </w:p>
    <w:p w14:paraId="3E580945">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（四）系统需求说明：</w:t>
      </w:r>
    </w:p>
    <w:p w14:paraId="25FC3FF8">
      <w:pPr>
        <w:spacing w:line="360" w:lineRule="auto"/>
        <w:ind w:firstLine="482" w:firstLineChars="200"/>
        <w:rPr>
          <w:rFonts w:hint="eastAsia"/>
          <w:b/>
          <w:bCs/>
          <w:sz w:val="24"/>
          <w:szCs w:val="22"/>
        </w:rPr>
      </w:pPr>
      <w:r>
        <w:rPr>
          <w:rFonts w:hint="eastAsia"/>
          <w:b/>
          <w:bCs/>
          <w:sz w:val="24"/>
          <w:szCs w:val="22"/>
          <w:lang w:val="en-US" w:eastAsia="zh-CN"/>
        </w:rPr>
        <w:t>1、</w:t>
      </w:r>
      <w:r>
        <w:rPr>
          <w:rFonts w:hint="eastAsia"/>
          <w:b/>
          <w:bCs/>
          <w:sz w:val="24"/>
          <w:szCs w:val="22"/>
        </w:rPr>
        <w:t>菜单新增【军区人员管理菜单】</w:t>
      </w:r>
    </w:p>
    <w:p w14:paraId="3D2896A3">
      <w:pPr>
        <w:spacing w:line="360" w:lineRule="auto"/>
        <w:ind w:firstLine="480" w:firstLineChars="200"/>
        <w:rPr>
          <w:rFonts w:hint="eastAsia"/>
          <w:sz w:val="24"/>
          <w:szCs w:val="22"/>
        </w:rPr>
      </w:pPr>
      <w:r>
        <w:rPr>
          <w:rFonts w:hint="eastAsia"/>
          <w:sz w:val="24"/>
          <w:szCs w:val="22"/>
        </w:rPr>
        <w:t>列名：姓名、性别、年龄、证件类型、证件号、人员类别、状态；</w:t>
      </w:r>
    </w:p>
    <w:p w14:paraId="753FA0D2">
      <w:pPr>
        <w:spacing w:line="360" w:lineRule="auto"/>
        <w:ind w:firstLine="480" w:firstLineChars="200"/>
        <w:rPr>
          <w:rFonts w:hint="eastAsia"/>
          <w:sz w:val="24"/>
          <w:szCs w:val="22"/>
        </w:rPr>
      </w:pPr>
      <w:r>
        <w:rPr>
          <w:rFonts w:hint="eastAsia"/>
          <w:sz w:val="24"/>
          <w:szCs w:val="22"/>
        </w:rPr>
        <w:t>人员类别：现役军人、文职军人、军人家属；</w:t>
      </w:r>
    </w:p>
    <w:p w14:paraId="462FD810">
      <w:pPr>
        <w:spacing w:line="360" w:lineRule="auto"/>
        <w:ind w:firstLine="480" w:firstLineChars="200"/>
        <w:rPr>
          <w:rFonts w:hint="eastAsia" w:eastAsiaTheme="minorEastAsia"/>
          <w:sz w:val="24"/>
          <w:szCs w:val="22"/>
          <w:lang w:eastAsia="zh-CN"/>
        </w:rPr>
      </w:pPr>
      <w:r>
        <w:rPr>
          <w:rFonts w:hint="eastAsia"/>
          <w:sz w:val="24"/>
          <w:szCs w:val="22"/>
        </w:rPr>
        <w:t>界面操作优化：需要支持人员档案标准文档导入，状态批量修改</w:t>
      </w:r>
      <w:r>
        <w:rPr>
          <w:rFonts w:hint="eastAsia"/>
          <w:sz w:val="24"/>
          <w:szCs w:val="22"/>
          <w:lang w:eastAsia="zh-CN"/>
        </w:rPr>
        <w:t>。</w:t>
      </w:r>
    </w:p>
    <w:p w14:paraId="754F221F">
      <w:pPr>
        <w:spacing w:line="360" w:lineRule="auto"/>
        <w:ind w:firstLine="482" w:firstLineChars="200"/>
        <w:rPr>
          <w:rFonts w:hint="eastAsia"/>
          <w:b/>
          <w:bCs/>
          <w:sz w:val="24"/>
          <w:szCs w:val="22"/>
        </w:rPr>
      </w:pPr>
      <w:r>
        <w:rPr>
          <w:rFonts w:hint="eastAsia"/>
          <w:b/>
          <w:bCs/>
          <w:sz w:val="24"/>
          <w:szCs w:val="22"/>
          <w:lang w:val="en-US" w:eastAsia="zh-CN"/>
        </w:rPr>
        <w:t>2、</w:t>
      </w:r>
      <w:r>
        <w:rPr>
          <w:rFonts w:hint="eastAsia"/>
          <w:b/>
          <w:bCs/>
          <w:sz w:val="24"/>
          <w:szCs w:val="22"/>
        </w:rPr>
        <w:t>结算规则</w:t>
      </w:r>
    </w:p>
    <w:p w14:paraId="3F6FB1A0">
      <w:pPr>
        <w:spacing w:line="360" w:lineRule="auto"/>
        <w:ind w:firstLine="480" w:firstLineChars="200"/>
        <w:rPr>
          <w:rFonts w:hint="eastAsia"/>
          <w:sz w:val="24"/>
          <w:szCs w:val="22"/>
        </w:rPr>
      </w:pPr>
      <w:r>
        <w:rPr>
          <w:rFonts w:hint="eastAsia"/>
          <w:sz w:val="24"/>
          <w:szCs w:val="22"/>
        </w:rPr>
        <w:t>结算规则新增参数：是否启用军区人员结算新规（门诊,住院）-是，否；</w:t>
      </w:r>
    </w:p>
    <w:p w14:paraId="02654A61">
      <w:pPr>
        <w:spacing w:line="360" w:lineRule="auto"/>
        <w:ind w:firstLine="480" w:firstLineChars="200"/>
        <w:rPr>
          <w:rFonts w:hint="eastAsia" w:eastAsiaTheme="minorEastAsia"/>
          <w:sz w:val="24"/>
          <w:szCs w:val="22"/>
          <w:lang w:eastAsia="zh-CN"/>
        </w:rPr>
      </w:pPr>
      <w:r>
        <w:rPr>
          <w:rFonts w:hint="eastAsia"/>
          <w:sz w:val="24"/>
          <w:szCs w:val="22"/>
        </w:rPr>
        <w:t>结算清单列新增【医院垫付金额】：门诊/住院的费用明细中如有必要新增垫付金额或相关标记</w:t>
      </w:r>
      <w:r>
        <w:rPr>
          <w:rFonts w:hint="eastAsia"/>
          <w:sz w:val="24"/>
          <w:szCs w:val="22"/>
          <w:lang w:eastAsia="zh-CN"/>
        </w:rPr>
        <w:t>。</w:t>
      </w:r>
    </w:p>
    <w:p w14:paraId="189B893A">
      <w:pPr>
        <w:spacing w:line="360" w:lineRule="auto"/>
        <w:ind w:firstLine="482" w:firstLineChars="200"/>
        <w:rPr>
          <w:rFonts w:hint="eastAsia"/>
          <w:b/>
          <w:bCs/>
          <w:sz w:val="24"/>
          <w:szCs w:val="22"/>
          <w:lang w:eastAsia="zh-CN"/>
        </w:rPr>
      </w:pPr>
      <w:r>
        <w:rPr>
          <w:rFonts w:hint="eastAsia"/>
          <w:b/>
          <w:bCs/>
          <w:sz w:val="24"/>
          <w:szCs w:val="22"/>
          <w:lang w:val="en-US" w:eastAsia="zh-CN"/>
        </w:rPr>
        <w:t>3、</w:t>
      </w:r>
      <w:r>
        <w:rPr>
          <w:rFonts w:hint="eastAsia"/>
          <w:b/>
          <w:bCs/>
          <w:sz w:val="24"/>
          <w:szCs w:val="22"/>
          <w:lang w:eastAsia="zh-CN"/>
        </w:rPr>
        <w:t>军区人员结算规则</w:t>
      </w:r>
    </w:p>
    <w:p w14:paraId="16C6832C">
      <w:pPr>
        <w:spacing w:line="360" w:lineRule="auto"/>
        <w:ind w:firstLine="480" w:firstLineChars="200"/>
        <w:rPr>
          <w:rFonts w:hint="eastAsia"/>
          <w:sz w:val="24"/>
          <w:szCs w:val="22"/>
          <w:lang w:eastAsia="zh-CN"/>
        </w:rPr>
      </w:pPr>
      <w:r>
        <w:rPr>
          <w:rFonts w:hint="eastAsia"/>
          <w:sz w:val="24"/>
          <w:szCs w:val="22"/>
          <w:lang w:eastAsia="zh-CN"/>
        </w:rPr>
        <w:t>核心约束前提：所有军区人员走医保结算时，强制屏蔽医保卡余额支付渠道，仅允许医院垫付或自费现金/转账支付。</w:t>
      </w:r>
    </w:p>
    <w:tbl>
      <w:tblPr>
        <w:tblStyle w:val="18"/>
        <w:tblW w:w="834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7"/>
        <w:gridCol w:w="1332"/>
        <w:gridCol w:w="1822"/>
        <w:gridCol w:w="3848"/>
      </w:tblGrid>
      <w:tr w14:paraId="27517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 w:hRule="atLeast"/>
        </w:trPr>
        <w:tc>
          <w:tcPr>
            <w:tcW w:w="1347" w:type="dxa"/>
            <w:tcBorders>
              <w:bottom w:val="single" w:color="auto" w:sz="4" w:space="0"/>
            </w:tcBorders>
            <w:noWrap w:val="0"/>
            <w:vAlign w:val="top"/>
          </w:tcPr>
          <w:p w14:paraId="2DD6A103">
            <w:pPr>
              <w:spacing w:line="400" w:lineRule="exac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人员类型</w:t>
            </w:r>
          </w:p>
        </w:tc>
        <w:tc>
          <w:tcPr>
            <w:tcW w:w="1332" w:type="dxa"/>
            <w:tcBorders>
              <w:bottom w:val="single" w:color="auto" w:sz="4" w:space="0"/>
            </w:tcBorders>
            <w:noWrap w:val="0"/>
            <w:vAlign w:val="top"/>
          </w:tcPr>
          <w:p w14:paraId="7753727D">
            <w:pPr>
              <w:spacing w:line="400" w:lineRule="exac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结算场景</w:t>
            </w:r>
          </w:p>
        </w:tc>
        <w:tc>
          <w:tcPr>
            <w:tcW w:w="1822" w:type="dxa"/>
            <w:tcBorders>
              <w:bottom w:val="single" w:color="auto" w:sz="4" w:space="0"/>
            </w:tcBorders>
            <w:noWrap w:val="0"/>
            <w:vAlign w:val="top"/>
          </w:tcPr>
          <w:p w14:paraId="23CC6C99">
            <w:pPr>
              <w:spacing w:line="400" w:lineRule="exac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自费范围</w:t>
            </w:r>
          </w:p>
        </w:tc>
        <w:tc>
          <w:tcPr>
            <w:tcW w:w="3848" w:type="dxa"/>
            <w:tcBorders>
              <w:bottom w:val="single" w:color="auto" w:sz="4" w:space="0"/>
            </w:tcBorders>
            <w:noWrap w:val="0"/>
            <w:vAlign w:val="top"/>
          </w:tcPr>
          <w:p w14:paraId="5137C561">
            <w:pPr>
              <w:spacing w:line="400" w:lineRule="exac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报销/垫付规则</w:t>
            </w:r>
          </w:p>
        </w:tc>
      </w:tr>
      <w:tr w14:paraId="1ADA4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 w:hRule="atLeast"/>
        </w:trPr>
        <w:tc>
          <w:tcPr>
            <w:tcW w:w="1347" w:type="dxa"/>
            <w:tcBorders>
              <w:bottom w:val="single" w:color="auto" w:sz="4" w:space="0"/>
            </w:tcBorders>
            <w:noWrap w:val="0"/>
            <w:vAlign w:val="top"/>
          </w:tcPr>
          <w:p w14:paraId="3EC07B3F">
            <w:pPr>
              <w:spacing w:line="40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现役军人</w:t>
            </w:r>
          </w:p>
        </w:tc>
        <w:tc>
          <w:tcPr>
            <w:tcW w:w="1332" w:type="dxa"/>
            <w:tcBorders>
              <w:bottom w:val="single" w:color="auto" w:sz="4" w:space="0"/>
            </w:tcBorders>
            <w:noWrap w:val="0"/>
            <w:vAlign w:val="top"/>
          </w:tcPr>
          <w:p w14:paraId="750183BD">
            <w:pPr>
              <w:spacing w:line="40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门诊/住院</w:t>
            </w:r>
          </w:p>
        </w:tc>
        <w:tc>
          <w:tcPr>
            <w:tcW w:w="1822" w:type="dxa"/>
            <w:tcBorders>
              <w:bottom w:val="single" w:color="auto" w:sz="4" w:space="0"/>
            </w:tcBorders>
            <w:noWrap w:val="0"/>
            <w:vAlign w:val="top"/>
          </w:tcPr>
          <w:p w14:paraId="3C85D460">
            <w:pPr>
              <w:spacing w:line="40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丙类药品+丙类项目</w:t>
            </w:r>
          </w:p>
        </w:tc>
        <w:tc>
          <w:tcPr>
            <w:tcW w:w="3848" w:type="dxa"/>
            <w:tcBorders>
              <w:bottom w:val="single" w:color="auto" w:sz="4" w:space="0"/>
            </w:tcBorders>
            <w:noWrap w:val="0"/>
            <w:vAlign w:val="top"/>
          </w:tcPr>
          <w:p w14:paraId="053BAD5E">
            <w:pPr>
              <w:spacing w:line="40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1.仅允许自费结算</w:t>
            </w:r>
          </w:p>
          <w:p w14:paraId="45620C17">
            <w:pPr>
              <w:spacing w:line="40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2.丙类费用个人承担，其余费用医院全额垫付</w:t>
            </w:r>
          </w:p>
          <w:p w14:paraId="12A3A3C8">
            <w:pPr>
              <w:spacing w:line="40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3.结算单标注“现役军人垫付”</w:t>
            </w:r>
          </w:p>
        </w:tc>
      </w:tr>
      <w:tr w14:paraId="3D6FC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 w:hRule="atLeast"/>
        </w:trPr>
        <w:tc>
          <w:tcPr>
            <w:tcW w:w="1347" w:type="dxa"/>
            <w:tcBorders>
              <w:bottom w:val="single" w:color="auto" w:sz="4" w:space="0"/>
            </w:tcBorders>
            <w:noWrap w:val="0"/>
            <w:vAlign w:val="top"/>
          </w:tcPr>
          <w:p w14:paraId="68AE986E">
            <w:pPr>
              <w:spacing w:line="40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文职军人</w:t>
            </w:r>
          </w:p>
        </w:tc>
        <w:tc>
          <w:tcPr>
            <w:tcW w:w="1332" w:type="dxa"/>
            <w:tcBorders>
              <w:bottom w:val="single" w:color="auto" w:sz="4" w:space="0"/>
            </w:tcBorders>
            <w:noWrap w:val="0"/>
            <w:vAlign w:val="top"/>
          </w:tcPr>
          <w:p w14:paraId="6580F2BB">
            <w:pPr>
              <w:spacing w:line="40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门诊</w:t>
            </w:r>
          </w:p>
        </w:tc>
        <w:tc>
          <w:tcPr>
            <w:tcW w:w="1822" w:type="dxa"/>
            <w:tcBorders>
              <w:bottom w:val="single" w:color="auto" w:sz="4" w:space="0"/>
            </w:tcBorders>
            <w:noWrap w:val="0"/>
            <w:vAlign w:val="top"/>
          </w:tcPr>
          <w:p w14:paraId="389A5E32">
            <w:pPr>
              <w:spacing w:line="40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丙类药品+丙类项目</w:t>
            </w:r>
          </w:p>
        </w:tc>
        <w:tc>
          <w:tcPr>
            <w:tcW w:w="3848" w:type="dxa"/>
            <w:tcBorders>
              <w:bottom w:val="single" w:color="auto" w:sz="4" w:space="0"/>
            </w:tcBorders>
            <w:noWrap w:val="0"/>
            <w:vAlign w:val="top"/>
          </w:tcPr>
          <w:p w14:paraId="6AE5C92B">
            <w:pPr>
              <w:numPr>
                <w:ilvl w:val="0"/>
                <w:numId w:val="0"/>
              </w:numPr>
              <w:spacing w:line="40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1.走医保结算（屏蔽医保卡余额）</w:t>
            </w:r>
          </w:p>
          <w:p w14:paraId="587950EC">
            <w:pPr>
              <w:numPr>
                <w:ilvl w:val="0"/>
                <w:numId w:val="0"/>
              </w:numPr>
              <w:spacing w:line="40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2.丙类费用个人承担，其余医院垫付</w:t>
            </w:r>
          </w:p>
        </w:tc>
      </w:tr>
      <w:tr w14:paraId="2E551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 w:hRule="atLeast"/>
        </w:trPr>
        <w:tc>
          <w:tcPr>
            <w:tcW w:w="1347" w:type="dxa"/>
            <w:tcBorders>
              <w:bottom w:val="single" w:color="auto" w:sz="4" w:space="0"/>
            </w:tcBorders>
            <w:noWrap w:val="0"/>
            <w:vAlign w:val="top"/>
          </w:tcPr>
          <w:p w14:paraId="266582C8">
            <w:pPr>
              <w:spacing w:line="40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文职军人</w:t>
            </w:r>
          </w:p>
        </w:tc>
        <w:tc>
          <w:tcPr>
            <w:tcW w:w="1332" w:type="dxa"/>
            <w:tcBorders>
              <w:bottom w:val="single" w:color="auto" w:sz="4" w:space="0"/>
            </w:tcBorders>
            <w:noWrap w:val="0"/>
            <w:vAlign w:val="top"/>
          </w:tcPr>
          <w:p w14:paraId="3BF276F9">
            <w:pPr>
              <w:spacing w:line="40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住院</w:t>
            </w:r>
          </w:p>
        </w:tc>
        <w:tc>
          <w:tcPr>
            <w:tcW w:w="1822" w:type="dxa"/>
            <w:tcBorders>
              <w:bottom w:val="single" w:color="auto" w:sz="4" w:space="0"/>
            </w:tcBorders>
            <w:noWrap w:val="0"/>
            <w:vAlign w:val="top"/>
          </w:tcPr>
          <w:p w14:paraId="417BA3D6">
            <w:pPr>
              <w:spacing w:line="40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起付线+丙类药品+丙类项目</w:t>
            </w:r>
          </w:p>
        </w:tc>
        <w:tc>
          <w:tcPr>
            <w:tcW w:w="3848" w:type="dxa"/>
            <w:tcBorders>
              <w:bottom w:val="single" w:color="auto" w:sz="4" w:space="0"/>
            </w:tcBorders>
            <w:noWrap w:val="0"/>
            <w:vAlign w:val="top"/>
          </w:tcPr>
          <w:p w14:paraId="239D19C7">
            <w:pPr>
              <w:numPr>
                <w:ilvl w:val="0"/>
                <w:numId w:val="0"/>
              </w:numPr>
              <w:spacing w:line="40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1.走医保结算（屏蔽医保卡余额）</w:t>
            </w:r>
          </w:p>
          <w:p w14:paraId="12ACD419">
            <w:pPr>
              <w:numPr>
                <w:ilvl w:val="0"/>
                <w:numId w:val="0"/>
              </w:numPr>
              <w:spacing w:line="40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2.起付线+丙类费用个人承担，其余医院垫付</w:t>
            </w:r>
          </w:p>
        </w:tc>
      </w:tr>
      <w:tr w14:paraId="2CA13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 w:hRule="atLeast"/>
        </w:trPr>
        <w:tc>
          <w:tcPr>
            <w:tcW w:w="1347" w:type="dxa"/>
            <w:tcBorders>
              <w:bottom w:val="single" w:color="auto" w:sz="4" w:space="0"/>
            </w:tcBorders>
            <w:noWrap w:val="0"/>
            <w:vAlign w:val="top"/>
          </w:tcPr>
          <w:p w14:paraId="27A3484A">
            <w:pPr>
              <w:spacing w:line="40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军人家属</w:t>
            </w:r>
          </w:p>
        </w:tc>
        <w:tc>
          <w:tcPr>
            <w:tcW w:w="1332" w:type="dxa"/>
            <w:tcBorders>
              <w:bottom w:val="single" w:color="auto" w:sz="4" w:space="0"/>
            </w:tcBorders>
            <w:noWrap w:val="0"/>
            <w:vAlign w:val="top"/>
          </w:tcPr>
          <w:p w14:paraId="3310D315">
            <w:pPr>
              <w:spacing w:line="400" w:lineRule="exact"/>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门诊（医保结算）</w:t>
            </w:r>
          </w:p>
        </w:tc>
        <w:tc>
          <w:tcPr>
            <w:tcW w:w="1822" w:type="dxa"/>
            <w:tcBorders>
              <w:bottom w:val="single" w:color="auto" w:sz="4" w:space="0"/>
            </w:tcBorders>
            <w:noWrap w:val="0"/>
            <w:vAlign w:val="top"/>
          </w:tcPr>
          <w:p w14:paraId="38E339F9">
            <w:pPr>
              <w:spacing w:line="40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丙类药品+丙类项目</w:t>
            </w:r>
          </w:p>
        </w:tc>
        <w:tc>
          <w:tcPr>
            <w:tcW w:w="3848" w:type="dxa"/>
            <w:tcBorders>
              <w:bottom w:val="single" w:color="auto" w:sz="4" w:space="0"/>
            </w:tcBorders>
            <w:noWrap w:val="0"/>
            <w:vAlign w:val="top"/>
          </w:tcPr>
          <w:p w14:paraId="29FF3D1D">
            <w:pPr>
              <w:numPr>
                <w:ilvl w:val="0"/>
                <w:numId w:val="0"/>
              </w:numPr>
              <w:spacing w:line="40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1.走医保结算（屏蔽医保卡余额）</w:t>
            </w:r>
          </w:p>
          <w:p w14:paraId="53FF7D77">
            <w:pPr>
              <w:numPr>
                <w:ilvl w:val="0"/>
                <w:numId w:val="0"/>
              </w:numPr>
              <w:spacing w:line="40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2.丙类费用个人承担，其余医院垫付</w:t>
            </w:r>
          </w:p>
        </w:tc>
      </w:tr>
      <w:tr w14:paraId="6CBFF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 w:hRule="atLeast"/>
        </w:trPr>
        <w:tc>
          <w:tcPr>
            <w:tcW w:w="1347" w:type="dxa"/>
            <w:tcBorders>
              <w:bottom w:val="single" w:color="auto" w:sz="4" w:space="0"/>
            </w:tcBorders>
            <w:noWrap w:val="0"/>
            <w:vAlign w:val="top"/>
          </w:tcPr>
          <w:p w14:paraId="0AF4CD44">
            <w:pPr>
              <w:spacing w:line="40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军人家属</w:t>
            </w:r>
          </w:p>
        </w:tc>
        <w:tc>
          <w:tcPr>
            <w:tcW w:w="1332" w:type="dxa"/>
            <w:tcBorders>
              <w:bottom w:val="single" w:color="auto" w:sz="4" w:space="0"/>
            </w:tcBorders>
            <w:noWrap w:val="0"/>
            <w:vAlign w:val="top"/>
          </w:tcPr>
          <w:p w14:paraId="5377611E">
            <w:pPr>
              <w:spacing w:line="400" w:lineRule="exact"/>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住院（医保结算）</w:t>
            </w:r>
          </w:p>
        </w:tc>
        <w:tc>
          <w:tcPr>
            <w:tcW w:w="1822" w:type="dxa"/>
            <w:tcBorders>
              <w:bottom w:val="single" w:color="auto" w:sz="4" w:space="0"/>
            </w:tcBorders>
            <w:noWrap w:val="0"/>
            <w:vAlign w:val="top"/>
          </w:tcPr>
          <w:p w14:paraId="408A50B0">
            <w:pPr>
              <w:spacing w:line="40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起付线+丙类药品+丙类项目</w:t>
            </w:r>
          </w:p>
        </w:tc>
        <w:tc>
          <w:tcPr>
            <w:tcW w:w="3848" w:type="dxa"/>
            <w:tcBorders>
              <w:bottom w:val="single" w:color="auto" w:sz="4" w:space="0"/>
            </w:tcBorders>
            <w:noWrap w:val="0"/>
            <w:vAlign w:val="top"/>
          </w:tcPr>
          <w:p w14:paraId="7AA7F4BA">
            <w:pPr>
              <w:numPr>
                <w:ilvl w:val="0"/>
                <w:numId w:val="0"/>
              </w:numPr>
              <w:spacing w:line="40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1.走医保结算（屏蔽医保卡余额）</w:t>
            </w:r>
          </w:p>
          <w:p w14:paraId="2844EEA1">
            <w:pPr>
              <w:numPr>
                <w:ilvl w:val="0"/>
                <w:numId w:val="0"/>
              </w:numPr>
              <w:spacing w:line="40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2.起付线+丙类费用个人承担，其余医院垫付</w:t>
            </w:r>
          </w:p>
        </w:tc>
      </w:tr>
      <w:tr w14:paraId="02D10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 w:hRule="atLeast"/>
        </w:trPr>
        <w:tc>
          <w:tcPr>
            <w:tcW w:w="1347" w:type="dxa"/>
            <w:tcBorders>
              <w:bottom w:val="single" w:color="auto" w:sz="4" w:space="0"/>
            </w:tcBorders>
            <w:noWrap w:val="0"/>
            <w:vAlign w:val="top"/>
          </w:tcPr>
          <w:p w14:paraId="48060827">
            <w:pPr>
              <w:spacing w:line="40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军人家属</w:t>
            </w:r>
          </w:p>
        </w:tc>
        <w:tc>
          <w:tcPr>
            <w:tcW w:w="1332" w:type="dxa"/>
            <w:tcBorders>
              <w:bottom w:val="single" w:color="auto" w:sz="4" w:space="0"/>
            </w:tcBorders>
            <w:noWrap w:val="0"/>
            <w:vAlign w:val="top"/>
          </w:tcPr>
          <w:p w14:paraId="1DB11984">
            <w:pPr>
              <w:spacing w:line="40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门诊/住院（自费结算）</w:t>
            </w:r>
          </w:p>
        </w:tc>
        <w:tc>
          <w:tcPr>
            <w:tcW w:w="1822" w:type="dxa"/>
            <w:tcBorders>
              <w:bottom w:val="single" w:color="auto" w:sz="4" w:space="0"/>
            </w:tcBorders>
            <w:noWrap w:val="0"/>
            <w:vAlign w:val="top"/>
          </w:tcPr>
          <w:p w14:paraId="1B85735C">
            <w:pPr>
              <w:spacing w:line="40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全额费用</w:t>
            </w:r>
          </w:p>
        </w:tc>
        <w:tc>
          <w:tcPr>
            <w:tcW w:w="3848" w:type="dxa"/>
            <w:tcBorders>
              <w:bottom w:val="single" w:color="auto" w:sz="4" w:space="0"/>
            </w:tcBorders>
            <w:noWrap w:val="0"/>
            <w:vAlign w:val="top"/>
          </w:tcPr>
          <w:p w14:paraId="172990A4">
            <w:pPr>
              <w:spacing w:line="40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1.个人全额自费支付</w:t>
            </w:r>
          </w:p>
          <w:p w14:paraId="0DB71CEB">
            <w:pPr>
              <w:spacing w:line="40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2.结算单标注“部队报销专用”，明细需完整</w:t>
            </w:r>
          </w:p>
        </w:tc>
      </w:tr>
    </w:tbl>
    <w:p w14:paraId="0F99D1BF">
      <w:pPr>
        <w:spacing w:line="360" w:lineRule="auto"/>
        <w:ind w:firstLine="482" w:firstLineChars="200"/>
        <w:rPr>
          <w:rFonts w:hint="default"/>
          <w:b/>
          <w:bCs/>
          <w:sz w:val="24"/>
          <w:szCs w:val="22"/>
          <w:lang w:val="en-US" w:eastAsia="zh-CN"/>
        </w:rPr>
      </w:pPr>
      <w:r>
        <w:rPr>
          <w:rFonts w:hint="eastAsia"/>
          <w:b/>
          <w:bCs/>
          <w:sz w:val="24"/>
          <w:szCs w:val="22"/>
          <w:lang w:val="en-US" w:eastAsia="zh-CN"/>
        </w:rPr>
        <w:t>4、业务报表改造或新增</w:t>
      </w:r>
    </w:p>
    <w:p w14:paraId="6B6134B1">
      <w:pPr>
        <w:numPr>
          <w:ilvl w:val="0"/>
          <w:numId w:val="0"/>
        </w:numPr>
        <w:spacing w:line="360" w:lineRule="auto"/>
        <w:ind w:firstLine="480" w:firstLineChars="200"/>
        <w:rPr>
          <w:rFonts w:hint="eastAsia"/>
          <w:sz w:val="24"/>
          <w:szCs w:val="22"/>
          <w:lang w:eastAsia="zh-CN"/>
        </w:rPr>
      </w:pPr>
      <w:r>
        <w:rPr>
          <w:rFonts w:hint="eastAsia"/>
          <w:sz w:val="24"/>
          <w:szCs w:val="22"/>
          <w:lang w:eastAsia="zh-CN"/>
        </w:rPr>
        <w:t>涉及结算的收费员日结报表改造、外挂报表改造或新增财务要求的关联报表。</w:t>
      </w:r>
    </w:p>
    <w:p w14:paraId="69F92B5C">
      <w:pPr>
        <w:spacing w:line="360" w:lineRule="auto"/>
        <w:ind w:firstLine="482" w:firstLineChars="200"/>
        <w:rPr>
          <w:rFonts w:hint="eastAsia"/>
          <w:b/>
          <w:bCs/>
          <w:sz w:val="24"/>
          <w:szCs w:val="22"/>
          <w:lang w:val="en-US" w:eastAsia="zh-CN"/>
        </w:rPr>
      </w:pPr>
      <w:r>
        <w:rPr>
          <w:rFonts w:hint="eastAsia"/>
          <w:b/>
          <w:bCs/>
          <w:sz w:val="24"/>
          <w:szCs w:val="22"/>
          <w:lang w:val="en-US" w:eastAsia="zh-CN"/>
        </w:rPr>
        <w:t>5、收费小项目设置</w:t>
      </w:r>
    </w:p>
    <w:p w14:paraId="77B06E98">
      <w:pPr>
        <w:numPr>
          <w:ilvl w:val="0"/>
          <w:numId w:val="0"/>
        </w:numPr>
        <w:spacing w:line="360" w:lineRule="auto"/>
        <w:ind w:left="0" w:leftChars="0" w:firstLine="480" w:firstLineChars="200"/>
        <w:rPr>
          <w:rFonts w:hint="eastAsia"/>
          <w:sz w:val="24"/>
          <w:szCs w:val="22"/>
          <w:lang w:eastAsia="zh-CN"/>
        </w:rPr>
      </w:pPr>
      <w:r>
        <w:rPr>
          <w:rFonts w:hint="eastAsia"/>
          <w:sz w:val="24"/>
          <w:szCs w:val="22"/>
          <w:lang w:eastAsia="zh-CN"/>
        </w:rPr>
        <w:t>增加列【医保属性】-甲乙丙属性。</w:t>
      </w:r>
    </w:p>
    <w:p w14:paraId="453EB0F3">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default" w:ascii="仿宋_GB2312" w:eastAsia="仿宋_GB2312" w:cs="仿宋_GB2312"/>
          <w:bCs/>
          <w:color w:val="auto"/>
          <w:kern w:val="0"/>
          <w:sz w:val="28"/>
          <w:szCs w:val="28"/>
          <w:lang w:val="en-US" w:eastAsia="zh-CN" w:bidi="ar-SA"/>
        </w:rPr>
      </w:pPr>
      <w:bookmarkStart w:id="4" w:name="_GoBack"/>
      <w:bookmarkEnd w:id="4"/>
    </w:p>
    <w:p w14:paraId="605014D1">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三、</w:t>
      </w:r>
      <w:r>
        <w:rPr>
          <w:rFonts w:hint="default" w:ascii="仿宋_GB2312" w:hAnsi="Times New Roman" w:eastAsia="仿宋_GB2312" w:cs="仿宋_GB2312"/>
          <w:bCs/>
          <w:color w:val="auto"/>
          <w:kern w:val="0"/>
          <w:sz w:val="28"/>
          <w:szCs w:val="28"/>
          <w:lang w:val="en-US" w:eastAsia="zh-CN" w:bidi="ar-SA"/>
        </w:rPr>
        <w:t>标书要求</w:t>
      </w:r>
    </w:p>
    <w:p w14:paraId="68E20B2E">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1、封面：需注明标的名称、投标文件、单位、时间；</w:t>
      </w:r>
    </w:p>
    <w:p w14:paraId="3959C0F7">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2、“三证合一”或“五证合一”营业执照；</w:t>
      </w:r>
    </w:p>
    <w:p w14:paraId="79219345">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3、投标人身份证复印件；</w:t>
      </w:r>
    </w:p>
    <w:p w14:paraId="381D8C28">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0DA8D5A9">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、履行本项目所必需的资质证明；</w:t>
      </w:r>
    </w:p>
    <w:p w14:paraId="2B582E4A">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6、针对此项目的技术、服务方案；</w:t>
      </w:r>
    </w:p>
    <w:p w14:paraId="477F937C">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7、投标人认为需提供的其他和评审有关的资料；</w:t>
      </w:r>
    </w:p>
    <w:p w14:paraId="156497A8">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8、投标文件的每一页都必须加盖投标单位的公章；</w:t>
      </w:r>
    </w:p>
    <w:p w14:paraId="68E003DE">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9</w:t>
      </w:r>
      <w:r>
        <w:rPr>
          <w:rFonts w:hint="eastAsia" w:ascii="仿宋_GB2312" w:hAnsi="Times New Roman" w:eastAsia="仿宋_GB2312" w:cs="仿宋_GB2312"/>
          <w:bCs/>
          <w:color w:val="auto"/>
          <w:kern w:val="0"/>
          <w:sz w:val="28"/>
          <w:szCs w:val="28"/>
          <w:lang w:val="en-US" w:eastAsia="zh-CN" w:bidi="ar-SA"/>
        </w:rPr>
        <w:t>、投标文件必须胶装并用纸质文件袋封好（一正</w:t>
      </w:r>
      <w:r>
        <w:rPr>
          <w:rFonts w:hint="eastAsia" w:ascii="仿宋_GB2312" w:eastAsia="仿宋_GB2312" w:cs="仿宋_GB2312"/>
          <w:bCs/>
          <w:color w:val="auto"/>
          <w:kern w:val="0"/>
          <w:sz w:val="28"/>
          <w:szCs w:val="28"/>
          <w:lang w:val="en-US" w:eastAsia="zh-CN" w:bidi="ar-SA"/>
        </w:rPr>
        <w:t>一</w:t>
      </w:r>
      <w:r>
        <w:rPr>
          <w:rFonts w:hint="eastAsia" w:ascii="仿宋_GB2312" w:hAnsi="Times New Roman" w:eastAsia="仿宋_GB2312" w:cs="仿宋_GB2312"/>
          <w:bCs/>
          <w:color w:val="auto"/>
          <w:kern w:val="0"/>
          <w:sz w:val="28"/>
          <w:szCs w:val="28"/>
          <w:lang w:val="en-US" w:eastAsia="zh-CN" w:bidi="ar-SA"/>
        </w:rPr>
        <w:t>副），封口加盖单位公章，在开标现场验证时打开，采用现场开标的方式。</w:t>
      </w:r>
    </w:p>
    <w:p w14:paraId="6120B7CD">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p w14:paraId="479798AD">
      <w:pPr>
        <w:pStyle w:val="6"/>
        <w:keepNext w:val="0"/>
        <w:keepLines w:val="0"/>
        <w:pageBreakBefore w:val="0"/>
        <w:widowControl w:val="0"/>
        <w:kinsoku/>
        <w:wordWrap/>
        <w:overflowPunct/>
        <w:topLinePunct w:val="0"/>
        <w:bidi w:val="0"/>
        <w:snapToGrid/>
        <w:spacing w:line="480" w:lineRule="exact"/>
        <w:ind w:firstLine="560" w:firstLineChars="200"/>
        <w:jc w:val="both"/>
        <w:textAlignment w:val="auto"/>
        <w:rPr>
          <w:rFonts w:hint="eastAsia" w:ascii="仿宋" w:hAnsi="仿宋" w:eastAsia="仿宋" w:cs="仿宋"/>
          <w:sz w:val="24"/>
        </w:rPr>
      </w:pPr>
      <w:r>
        <w:rPr>
          <w:rFonts w:hint="eastAsia" w:ascii="仿宋_GB2312" w:eastAsia="仿宋_GB2312" w:cs="仿宋_GB2312"/>
          <w:bCs/>
          <w:color w:val="auto"/>
          <w:kern w:val="0"/>
          <w:sz w:val="28"/>
          <w:szCs w:val="28"/>
          <w:lang w:val="en-US" w:eastAsia="zh-CN" w:bidi="ar-SA"/>
        </w:rPr>
        <w:br w:type="page"/>
      </w:r>
    </w:p>
    <w:p w14:paraId="310156A1">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第三章</w:t>
      </w:r>
      <w:r>
        <w:rPr>
          <w:rFonts w:hint="eastAsia" w:ascii="宋体" w:hAnsi="宋体" w:cs="宋体"/>
          <w:color w:val="auto"/>
          <w:sz w:val="30"/>
          <w:szCs w:val="30"/>
        </w:rPr>
        <w:t>投标文件的格式</w:t>
      </w:r>
    </w:p>
    <w:p w14:paraId="44CF23D2">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5C34550A">
      <w:pPr>
        <w:rPr>
          <w:rFonts w:hint="eastAsia" w:ascii="宋体" w:hAnsi="宋体" w:cs="宋体"/>
          <w:color w:val="auto"/>
        </w:rPr>
      </w:pPr>
    </w:p>
    <w:bookmarkEnd w:id="1"/>
    <w:p w14:paraId="3EFEBBAB">
      <w:pPr>
        <w:rPr>
          <w:rFonts w:hint="eastAsia"/>
          <w:color w:val="auto"/>
        </w:rPr>
      </w:pPr>
    </w:p>
    <w:p w14:paraId="3067E5C8">
      <w:pPr>
        <w:jc w:val="center"/>
        <w:rPr>
          <w:b/>
          <w:color w:val="auto"/>
          <w:sz w:val="24"/>
        </w:rPr>
      </w:pPr>
      <w:r>
        <w:rPr>
          <w:b/>
          <w:color w:val="auto"/>
          <w:sz w:val="28"/>
          <w:szCs w:val="28"/>
        </w:rPr>
        <w:t>第一部分、开标一览表</w:t>
      </w:r>
    </w:p>
    <w:p w14:paraId="0F45E72B">
      <w:pPr>
        <w:jc w:val="center"/>
        <w:rPr>
          <w:rFonts w:hint="eastAsia" w:eastAsia="宋体"/>
          <w:b/>
          <w:color w:val="auto"/>
          <w:sz w:val="24"/>
          <w:lang w:eastAsia="zh-CN"/>
        </w:rPr>
      </w:pPr>
      <w:r>
        <w:rPr>
          <w:rFonts w:hint="eastAsia"/>
          <w:b/>
          <w:color w:val="auto"/>
          <w:sz w:val="24"/>
          <w:lang w:eastAsia="zh-CN"/>
        </w:rPr>
        <w:t>注：此项内容需包含投标商品名称、规格型号、生产厂家、数量、单价、总价、质保年限等信息</w:t>
      </w:r>
    </w:p>
    <w:p w14:paraId="30A2EA32">
      <w:pPr>
        <w:pStyle w:val="21"/>
        <w:rPr>
          <w:color w:val="auto"/>
        </w:rPr>
      </w:pPr>
    </w:p>
    <w:p w14:paraId="38A7B552">
      <w:pPr>
        <w:adjustRightInd w:val="0"/>
        <w:snapToGrid w:val="0"/>
        <w:spacing w:line="360" w:lineRule="auto"/>
        <w:jc w:val="center"/>
        <w:rPr>
          <w:rFonts w:hint="eastAsia" w:ascii="宋体" w:hAnsi="宋体" w:cs="宋体"/>
          <w:b/>
          <w:color w:val="auto"/>
          <w:sz w:val="28"/>
          <w:szCs w:val="28"/>
        </w:rPr>
      </w:pPr>
    </w:p>
    <w:p w14:paraId="331DD0B8">
      <w:pPr>
        <w:adjustRightInd w:val="0"/>
        <w:snapToGrid w:val="0"/>
        <w:spacing w:line="360" w:lineRule="auto"/>
        <w:jc w:val="center"/>
        <w:rPr>
          <w:rFonts w:hint="eastAsia" w:ascii="宋体" w:hAnsi="宋体" w:cs="宋体"/>
          <w:b/>
          <w:color w:val="auto"/>
          <w:sz w:val="28"/>
          <w:szCs w:val="28"/>
        </w:rPr>
      </w:pPr>
    </w:p>
    <w:p w14:paraId="3A9A539E">
      <w:pPr>
        <w:adjustRightInd w:val="0"/>
        <w:snapToGrid w:val="0"/>
        <w:spacing w:line="360" w:lineRule="auto"/>
        <w:jc w:val="center"/>
        <w:rPr>
          <w:rFonts w:hint="eastAsia" w:ascii="宋体" w:hAnsi="宋体" w:cs="宋体"/>
          <w:b/>
          <w:color w:val="auto"/>
          <w:sz w:val="28"/>
          <w:szCs w:val="28"/>
        </w:rPr>
      </w:pPr>
    </w:p>
    <w:p w14:paraId="5B595E2B">
      <w:pPr>
        <w:adjustRightInd w:val="0"/>
        <w:snapToGrid w:val="0"/>
        <w:spacing w:line="360" w:lineRule="auto"/>
        <w:jc w:val="center"/>
        <w:rPr>
          <w:rFonts w:hint="eastAsia" w:ascii="宋体" w:hAnsi="宋体" w:cs="宋体"/>
          <w:b/>
          <w:color w:val="auto"/>
          <w:sz w:val="28"/>
          <w:szCs w:val="28"/>
        </w:rPr>
      </w:pPr>
    </w:p>
    <w:p w14:paraId="76E01CA1">
      <w:pPr>
        <w:adjustRightInd w:val="0"/>
        <w:snapToGrid w:val="0"/>
        <w:spacing w:line="360" w:lineRule="auto"/>
        <w:jc w:val="center"/>
        <w:rPr>
          <w:rFonts w:hint="eastAsia" w:ascii="宋体" w:hAnsi="宋体" w:cs="宋体"/>
          <w:b/>
          <w:color w:val="auto"/>
          <w:sz w:val="28"/>
          <w:szCs w:val="28"/>
        </w:rPr>
      </w:pPr>
    </w:p>
    <w:p w14:paraId="396A0E96">
      <w:pPr>
        <w:adjustRightInd w:val="0"/>
        <w:snapToGrid w:val="0"/>
        <w:spacing w:line="360" w:lineRule="auto"/>
        <w:jc w:val="center"/>
        <w:rPr>
          <w:rFonts w:hint="eastAsia" w:ascii="宋体" w:hAnsi="宋体" w:cs="宋体"/>
          <w:b/>
          <w:color w:val="auto"/>
          <w:sz w:val="28"/>
          <w:szCs w:val="28"/>
        </w:rPr>
      </w:pPr>
    </w:p>
    <w:p w14:paraId="6AE46E3D">
      <w:pPr>
        <w:adjustRightInd w:val="0"/>
        <w:snapToGrid w:val="0"/>
        <w:spacing w:line="360" w:lineRule="auto"/>
        <w:jc w:val="center"/>
        <w:rPr>
          <w:rFonts w:hint="eastAsia" w:ascii="宋体" w:hAnsi="宋体" w:cs="宋体"/>
          <w:b/>
          <w:color w:val="auto"/>
          <w:sz w:val="28"/>
          <w:szCs w:val="28"/>
        </w:rPr>
      </w:pPr>
    </w:p>
    <w:p w14:paraId="1F4D20FF">
      <w:pPr>
        <w:adjustRightInd w:val="0"/>
        <w:snapToGrid w:val="0"/>
        <w:spacing w:line="360" w:lineRule="auto"/>
        <w:jc w:val="center"/>
        <w:rPr>
          <w:rFonts w:hint="eastAsia" w:ascii="宋体" w:hAnsi="宋体" w:cs="宋体"/>
          <w:b/>
          <w:color w:val="auto"/>
          <w:sz w:val="28"/>
          <w:szCs w:val="28"/>
        </w:rPr>
      </w:pPr>
    </w:p>
    <w:p w14:paraId="0A3BEDB1">
      <w:pPr>
        <w:adjustRightInd w:val="0"/>
        <w:snapToGrid w:val="0"/>
        <w:spacing w:line="360" w:lineRule="auto"/>
        <w:jc w:val="center"/>
        <w:rPr>
          <w:rFonts w:hint="eastAsia" w:ascii="宋体" w:hAnsi="宋体" w:cs="宋体"/>
          <w:b/>
          <w:color w:val="auto"/>
          <w:sz w:val="28"/>
          <w:szCs w:val="28"/>
        </w:rPr>
      </w:pPr>
    </w:p>
    <w:p w14:paraId="5A6BE973">
      <w:pPr>
        <w:adjustRightInd w:val="0"/>
        <w:snapToGrid w:val="0"/>
        <w:spacing w:line="360" w:lineRule="auto"/>
        <w:jc w:val="center"/>
        <w:rPr>
          <w:rFonts w:hint="eastAsia" w:ascii="宋体" w:hAnsi="宋体" w:cs="宋体"/>
          <w:b/>
          <w:color w:val="auto"/>
          <w:sz w:val="28"/>
          <w:szCs w:val="28"/>
        </w:rPr>
      </w:pPr>
    </w:p>
    <w:p w14:paraId="077D27DF">
      <w:pPr>
        <w:adjustRightInd w:val="0"/>
        <w:snapToGrid w:val="0"/>
        <w:spacing w:line="360" w:lineRule="auto"/>
        <w:jc w:val="center"/>
        <w:rPr>
          <w:rFonts w:hint="eastAsia" w:ascii="宋体" w:hAnsi="宋体" w:cs="宋体"/>
          <w:b/>
          <w:color w:val="auto"/>
          <w:sz w:val="28"/>
          <w:szCs w:val="28"/>
        </w:rPr>
      </w:pPr>
    </w:p>
    <w:p w14:paraId="664750C7">
      <w:pPr>
        <w:adjustRightInd w:val="0"/>
        <w:snapToGrid w:val="0"/>
        <w:spacing w:line="360" w:lineRule="auto"/>
        <w:jc w:val="center"/>
        <w:rPr>
          <w:rFonts w:hint="eastAsia" w:ascii="宋体" w:hAnsi="宋体" w:cs="宋体"/>
          <w:b/>
          <w:color w:val="auto"/>
          <w:sz w:val="28"/>
          <w:szCs w:val="28"/>
        </w:rPr>
      </w:pPr>
    </w:p>
    <w:p w14:paraId="1619E6AC">
      <w:pPr>
        <w:adjustRightInd w:val="0"/>
        <w:snapToGrid w:val="0"/>
        <w:spacing w:line="360" w:lineRule="auto"/>
        <w:jc w:val="center"/>
        <w:rPr>
          <w:rFonts w:hint="eastAsia" w:ascii="宋体" w:hAnsi="宋体" w:cs="宋体"/>
          <w:b/>
          <w:color w:val="auto"/>
          <w:sz w:val="28"/>
          <w:szCs w:val="28"/>
        </w:rPr>
      </w:pPr>
    </w:p>
    <w:p w14:paraId="5E79E8C4">
      <w:pPr>
        <w:adjustRightInd w:val="0"/>
        <w:snapToGrid w:val="0"/>
        <w:spacing w:line="360" w:lineRule="auto"/>
        <w:jc w:val="center"/>
        <w:rPr>
          <w:rFonts w:hint="eastAsia" w:ascii="宋体" w:hAnsi="宋体" w:cs="宋体"/>
          <w:b/>
          <w:color w:val="auto"/>
          <w:sz w:val="28"/>
          <w:szCs w:val="28"/>
        </w:rPr>
      </w:pPr>
    </w:p>
    <w:p w14:paraId="254507CD">
      <w:pPr>
        <w:adjustRightInd w:val="0"/>
        <w:snapToGrid w:val="0"/>
        <w:spacing w:line="360" w:lineRule="auto"/>
        <w:jc w:val="center"/>
        <w:rPr>
          <w:rFonts w:hint="eastAsia" w:ascii="宋体" w:hAnsi="宋体" w:cs="宋体"/>
          <w:b/>
          <w:color w:val="auto"/>
          <w:sz w:val="28"/>
          <w:szCs w:val="28"/>
        </w:rPr>
      </w:pPr>
    </w:p>
    <w:p w14:paraId="4C3E7405">
      <w:pPr>
        <w:adjustRightInd w:val="0"/>
        <w:snapToGrid w:val="0"/>
        <w:spacing w:line="360" w:lineRule="auto"/>
        <w:jc w:val="center"/>
        <w:rPr>
          <w:rFonts w:hint="eastAsia" w:ascii="宋体" w:hAnsi="宋体" w:cs="宋体"/>
          <w:b/>
          <w:color w:val="auto"/>
          <w:sz w:val="28"/>
          <w:szCs w:val="28"/>
        </w:rPr>
      </w:pPr>
    </w:p>
    <w:p w14:paraId="6E861038">
      <w:pPr>
        <w:adjustRightInd w:val="0"/>
        <w:snapToGrid w:val="0"/>
        <w:spacing w:line="360" w:lineRule="auto"/>
        <w:jc w:val="center"/>
        <w:rPr>
          <w:rFonts w:hint="eastAsia" w:ascii="宋体" w:hAnsi="宋体" w:cs="宋体"/>
          <w:b/>
          <w:color w:val="auto"/>
          <w:sz w:val="28"/>
          <w:szCs w:val="28"/>
        </w:rPr>
      </w:pPr>
    </w:p>
    <w:p w14:paraId="016E7C72">
      <w:pPr>
        <w:adjustRightInd w:val="0"/>
        <w:snapToGrid w:val="0"/>
        <w:spacing w:line="360" w:lineRule="auto"/>
        <w:jc w:val="center"/>
        <w:rPr>
          <w:rFonts w:hint="eastAsia" w:ascii="宋体" w:hAnsi="宋体" w:cs="宋体"/>
          <w:b/>
          <w:color w:val="auto"/>
          <w:sz w:val="28"/>
          <w:szCs w:val="28"/>
        </w:rPr>
      </w:pPr>
    </w:p>
    <w:p w14:paraId="6B663503">
      <w:pPr>
        <w:adjustRightInd w:val="0"/>
        <w:snapToGrid w:val="0"/>
        <w:spacing w:line="360" w:lineRule="auto"/>
        <w:jc w:val="center"/>
        <w:rPr>
          <w:rFonts w:hint="eastAsia" w:ascii="宋体" w:hAnsi="宋体" w:cs="宋体"/>
          <w:b/>
          <w:color w:val="auto"/>
          <w:sz w:val="28"/>
          <w:szCs w:val="28"/>
        </w:rPr>
      </w:pPr>
    </w:p>
    <w:p w14:paraId="675508EA">
      <w:pPr>
        <w:adjustRightInd w:val="0"/>
        <w:snapToGrid w:val="0"/>
        <w:spacing w:line="360" w:lineRule="auto"/>
        <w:jc w:val="center"/>
        <w:rPr>
          <w:rFonts w:hint="eastAsia" w:ascii="宋体" w:hAnsi="宋体" w:cs="宋体"/>
          <w:b/>
          <w:color w:val="auto"/>
          <w:sz w:val="28"/>
          <w:szCs w:val="28"/>
        </w:rPr>
      </w:pPr>
    </w:p>
    <w:p w14:paraId="49D012BE">
      <w:pPr>
        <w:adjustRightInd w:val="0"/>
        <w:snapToGrid w:val="0"/>
        <w:spacing w:line="360" w:lineRule="auto"/>
        <w:jc w:val="center"/>
        <w:rPr>
          <w:rFonts w:hint="eastAsia" w:ascii="宋体" w:hAnsi="宋体" w:cs="宋体"/>
          <w:b/>
          <w:color w:val="auto"/>
          <w:sz w:val="28"/>
          <w:szCs w:val="28"/>
        </w:rPr>
      </w:pPr>
    </w:p>
    <w:p w14:paraId="5639F5B8">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CBFAFF8">
      <w:pPr>
        <w:pStyle w:val="20"/>
        <w:rPr>
          <w:rFonts w:hint="eastAsia"/>
          <w:lang w:eastAsia="zh-CN"/>
        </w:rPr>
      </w:pPr>
    </w:p>
    <w:p w14:paraId="2B96E86C">
      <w:pPr>
        <w:adjustRightInd w:val="0"/>
        <w:snapToGrid w:val="0"/>
        <w:spacing w:line="360" w:lineRule="auto"/>
        <w:jc w:val="center"/>
        <w:rPr>
          <w:rFonts w:hint="eastAsia" w:ascii="宋体" w:hAnsi="宋体" w:cs="宋体"/>
          <w:b/>
          <w:color w:val="auto"/>
          <w:sz w:val="24"/>
          <w:szCs w:val="20"/>
        </w:rPr>
      </w:pPr>
    </w:p>
    <w:p w14:paraId="58616451">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3108B5B2">
      <w:pPr>
        <w:adjustRightInd w:val="0"/>
        <w:snapToGrid w:val="0"/>
        <w:spacing w:line="360" w:lineRule="auto"/>
        <w:rPr>
          <w:rFonts w:hint="eastAsia" w:ascii="宋体" w:hAnsi="宋体" w:cs="宋体"/>
          <w:b/>
          <w:color w:val="auto"/>
          <w:sz w:val="28"/>
          <w:szCs w:val="28"/>
        </w:rPr>
      </w:pPr>
    </w:p>
    <w:p w14:paraId="70C98E2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（采购编号：）投标文件、签订合同和处理有关事宜，其法律后果由我方承担。</w:t>
      </w:r>
    </w:p>
    <w:p w14:paraId="33E6BAEE">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p>
    <w:p w14:paraId="342DAF44">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44E804AC">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本授权书于日期：年月日签字生效，特此声明。</w:t>
      </w:r>
    </w:p>
    <w:p w14:paraId="45F8D755">
      <w:pPr>
        <w:adjustRightInd w:val="0"/>
        <w:snapToGrid w:val="0"/>
        <w:spacing w:line="360" w:lineRule="auto"/>
        <w:ind w:firstLine="480" w:firstLineChars="200"/>
        <w:rPr>
          <w:rFonts w:hint="eastAsia" w:ascii="宋体" w:hAnsi="宋体" w:cs="宋体"/>
          <w:color w:val="auto"/>
          <w:sz w:val="24"/>
        </w:rPr>
      </w:pPr>
    </w:p>
    <w:tbl>
      <w:tblPr>
        <w:tblStyle w:val="17"/>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280E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BF534D9">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7B13F04E">
      <w:pPr>
        <w:adjustRightInd w:val="0"/>
        <w:snapToGrid w:val="0"/>
        <w:spacing w:line="360" w:lineRule="auto"/>
        <w:rPr>
          <w:rFonts w:hint="eastAsia" w:ascii="宋体" w:hAnsi="宋体" w:cs="宋体"/>
          <w:color w:val="auto"/>
          <w:sz w:val="24"/>
        </w:rPr>
      </w:pPr>
    </w:p>
    <w:tbl>
      <w:tblPr>
        <w:tblStyle w:val="17"/>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B6B5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231B0B5">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77A714E3">
      <w:pPr>
        <w:adjustRightInd w:val="0"/>
        <w:snapToGrid w:val="0"/>
        <w:spacing w:line="360" w:lineRule="auto"/>
        <w:rPr>
          <w:rFonts w:hint="eastAsia" w:ascii="宋体" w:hAnsi="宋体" w:cs="宋体"/>
          <w:color w:val="auto"/>
          <w:sz w:val="24"/>
        </w:rPr>
      </w:pPr>
    </w:p>
    <w:p w14:paraId="52848829">
      <w:pPr>
        <w:adjustRightInd w:val="0"/>
        <w:snapToGrid w:val="0"/>
        <w:spacing w:line="360" w:lineRule="auto"/>
        <w:rPr>
          <w:rFonts w:hint="eastAsia" w:ascii="宋体" w:hAnsi="宋体" w:cs="宋体"/>
          <w:color w:val="auto"/>
          <w:sz w:val="24"/>
        </w:rPr>
      </w:pPr>
    </w:p>
    <w:p w14:paraId="0EE0215C">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9589E9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7FD7CFA">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1F1E3E30">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日期：年月日</w:t>
      </w:r>
    </w:p>
    <w:p w14:paraId="7AF40CD1">
      <w:pPr>
        <w:adjustRightInd w:val="0"/>
        <w:snapToGrid w:val="0"/>
        <w:spacing w:line="360" w:lineRule="auto"/>
        <w:rPr>
          <w:rFonts w:hint="eastAsia" w:ascii="宋体" w:hAnsi="宋体" w:cs="宋体"/>
          <w:b/>
          <w:color w:val="auto"/>
          <w:sz w:val="28"/>
          <w:szCs w:val="28"/>
        </w:rPr>
      </w:pPr>
    </w:p>
    <w:p w14:paraId="25E55F2B">
      <w:pPr>
        <w:adjustRightInd w:val="0"/>
        <w:snapToGrid w:val="0"/>
        <w:spacing w:line="360" w:lineRule="auto"/>
        <w:rPr>
          <w:rFonts w:hint="eastAsia" w:ascii="宋体" w:hAnsi="宋体" w:cs="宋体"/>
          <w:b/>
          <w:color w:val="auto"/>
          <w:sz w:val="28"/>
          <w:szCs w:val="28"/>
        </w:rPr>
      </w:pPr>
    </w:p>
    <w:p w14:paraId="469DBE46">
      <w:pPr>
        <w:adjustRightInd w:val="0"/>
        <w:snapToGrid w:val="0"/>
        <w:spacing w:line="360" w:lineRule="auto"/>
        <w:rPr>
          <w:rFonts w:hint="eastAsia" w:ascii="宋体" w:hAnsi="宋体" w:cs="宋体"/>
          <w:b/>
          <w:color w:val="auto"/>
          <w:sz w:val="28"/>
          <w:szCs w:val="28"/>
        </w:rPr>
      </w:pPr>
    </w:p>
    <w:p w14:paraId="52675198">
      <w:pPr>
        <w:adjustRightInd w:val="0"/>
        <w:snapToGrid w:val="0"/>
        <w:spacing w:line="360" w:lineRule="auto"/>
        <w:rPr>
          <w:rFonts w:hint="eastAsia" w:ascii="宋体" w:hAnsi="宋体" w:cs="宋体"/>
          <w:b/>
          <w:color w:val="auto"/>
          <w:sz w:val="28"/>
          <w:szCs w:val="28"/>
        </w:rPr>
      </w:pPr>
    </w:p>
    <w:p w14:paraId="3501AF05">
      <w:pPr>
        <w:adjustRightInd w:val="0"/>
        <w:snapToGrid w:val="0"/>
        <w:spacing w:line="360" w:lineRule="auto"/>
        <w:rPr>
          <w:rFonts w:hint="eastAsia" w:ascii="宋体" w:hAnsi="宋体" w:cs="宋体"/>
          <w:b/>
          <w:color w:val="auto"/>
          <w:sz w:val="28"/>
          <w:szCs w:val="28"/>
        </w:rPr>
      </w:pPr>
    </w:p>
    <w:p w14:paraId="71EA75FF">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56CA7A92">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p>
    <w:p w14:paraId="3864BF74">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14:paraId="707F7EE9">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一、我单位是按照中华人民共和国法律规定登记注册的，注册地点为，全称为，统一社会信用代码为，法定代表人为，具有独立承担民事责任的能力。</w:t>
      </w:r>
    </w:p>
    <w:p w14:paraId="3F02175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5D1F8B29">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00D6A6C3">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1DF8B28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7306868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13BB831">
      <w:pPr>
        <w:adjustRightInd w:val="0"/>
        <w:snapToGrid w:val="0"/>
        <w:spacing w:before="120" w:beforeLines="50" w:line="360" w:lineRule="auto"/>
        <w:ind w:firstLine="480" w:firstLineChars="200"/>
        <w:rPr>
          <w:rFonts w:hint="eastAsia" w:ascii="宋体" w:hAnsi="宋体" w:eastAsia="宋体" w:cs="宋体"/>
          <w:color w:val="auto"/>
          <w:sz w:val="24"/>
          <w:u w:val="single"/>
          <w:lang w:eastAsia="zh-CN"/>
        </w:rPr>
      </w:pPr>
      <w:r>
        <w:rPr>
          <w:rFonts w:hint="eastAsia" w:ascii="宋体" w:hAnsi="宋体" w:cs="宋体"/>
          <w:color w:val="auto"/>
          <w:sz w:val="24"/>
        </w:rPr>
        <w:t>1、与我单位的法定代表人（单位负责人）为同一人的其他法人单位如下：</w:t>
      </w:r>
    </w:p>
    <w:p w14:paraId="17DEFD9A">
      <w:pPr>
        <w:adjustRightInd w:val="0"/>
        <w:snapToGrid w:val="0"/>
        <w:spacing w:before="120" w:beforeLines="50" w:line="360" w:lineRule="auto"/>
        <w:ind w:firstLine="480" w:firstLineChars="200"/>
        <w:rPr>
          <w:rFonts w:hint="eastAsia" w:ascii="宋体" w:hAnsi="宋体" w:eastAsia="宋体" w:cs="宋体"/>
          <w:color w:val="auto"/>
          <w:sz w:val="24"/>
          <w:lang w:eastAsia="zh-CN"/>
        </w:rPr>
      </w:pPr>
      <w:r>
        <w:rPr>
          <w:rFonts w:hint="eastAsia" w:ascii="宋体" w:hAnsi="宋体" w:cs="宋体"/>
          <w:color w:val="auto"/>
          <w:sz w:val="24"/>
        </w:rPr>
        <w:t>2、我单位直接控股的其他法人单位如下：</w:t>
      </w:r>
    </w:p>
    <w:p w14:paraId="46DF24EA">
      <w:pPr>
        <w:adjustRightInd w:val="0"/>
        <w:snapToGrid w:val="0"/>
        <w:spacing w:before="120" w:beforeLines="50" w:line="360" w:lineRule="auto"/>
        <w:ind w:firstLine="480" w:firstLineChars="200"/>
        <w:rPr>
          <w:rFonts w:hint="eastAsia" w:ascii="宋体" w:hAnsi="宋体" w:eastAsia="宋体" w:cs="宋体"/>
          <w:color w:val="auto"/>
          <w:sz w:val="24"/>
          <w:lang w:eastAsia="zh-CN"/>
        </w:rPr>
      </w:pPr>
      <w:r>
        <w:rPr>
          <w:rFonts w:hint="eastAsia" w:ascii="宋体" w:hAnsi="宋体" w:cs="宋体"/>
          <w:color w:val="auto"/>
          <w:sz w:val="24"/>
        </w:rPr>
        <w:t>3、与我单位存在管理关系的其他法人单位如下：</w:t>
      </w:r>
    </w:p>
    <w:p w14:paraId="76EFE26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179646D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4726BA26">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67B78A2A">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1DA57BEB">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日期：年月日</w:t>
      </w:r>
    </w:p>
    <w:p w14:paraId="1BD8A015">
      <w:pPr>
        <w:adjustRightInd w:val="0"/>
        <w:snapToGrid w:val="0"/>
        <w:spacing w:line="360" w:lineRule="auto"/>
        <w:jc w:val="center"/>
        <w:rPr>
          <w:rFonts w:hint="eastAsia" w:ascii="宋体" w:hAnsi="宋体" w:cs="宋体"/>
          <w:b/>
          <w:color w:val="auto"/>
          <w:sz w:val="24"/>
          <w:szCs w:val="20"/>
        </w:rPr>
      </w:pPr>
    </w:p>
    <w:p w14:paraId="5D3D97FD">
      <w:pPr>
        <w:adjustRightInd w:val="0"/>
        <w:snapToGrid w:val="0"/>
        <w:spacing w:line="360" w:lineRule="auto"/>
        <w:rPr>
          <w:rFonts w:hint="eastAsia" w:ascii="宋体" w:hAnsi="宋体" w:cs="宋体"/>
          <w:b/>
          <w:color w:val="auto"/>
          <w:sz w:val="24"/>
          <w:szCs w:val="20"/>
        </w:rPr>
      </w:pPr>
    </w:p>
    <w:p w14:paraId="7B70B43D">
      <w:pPr>
        <w:adjustRightInd w:val="0"/>
        <w:snapToGrid w:val="0"/>
        <w:spacing w:line="360" w:lineRule="auto"/>
        <w:rPr>
          <w:rFonts w:hint="eastAsia" w:ascii="宋体" w:hAnsi="宋体" w:cs="宋体"/>
          <w:b/>
          <w:color w:val="auto"/>
          <w:sz w:val="24"/>
          <w:szCs w:val="20"/>
        </w:rPr>
      </w:pPr>
    </w:p>
    <w:p w14:paraId="73994F6A">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50C0E3EE">
      <w:pPr>
        <w:adjustRightInd w:val="0"/>
        <w:snapToGrid w:val="0"/>
        <w:spacing w:line="360" w:lineRule="auto"/>
        <w:jc w:val="center"/>
        <w:rPr>
          <w:rFonts w:hint="eastAsia" w:ascii="宋体" w:hAnsi="宋体" w:cs="宋体"/>
          <w:b/>
          <w:color w:val="auto"/>
          <w:sz w:val="24"/>
          <w:szCs w:val="20"/>
        </w:rPr>
      </w:pPr>
    </w:p>
    <w:p w14:paraId="0B857110">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附件湖南省政府采购供应商资格承诺函</w:t>
      </w:r>
    </w:p>
    <w:p w14:paraId="47ED4A32">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FBFC65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F6312AD">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本公司企业规模为：（大型、中型、小型、微型）</w:t>
      </w:r>
    </w:p>
    <w:p w14:paraId="7559559E">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统一社会信用代码：、注册登记机构：、注册日期：、有效期：、注册资本：、地址：、经济行业：、经济性质：</w:t>
      </w:r>
    </w:p>
    <w:p w14:paraId="03735B1F">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法定代表人姓名(签字)：、身份证号：、</w:t>
      </w:r>
    </w:p>
    <w:p w14:paraId="3016530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w:t>
      </w:r>
    </w:p>
    <w:p w14:paraId="7B37C976">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授权代表人姓名(签字)：、身份证号：</w:t>
      </w:r>
    </w:p>
    <w:p w14:paraId="0A306812">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w:t>
      </w:r>
    </w:p>
    <w:p w14:paraId="6D1363E8">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7E4D72D3">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供应商名称（盖公章）：</w:t>
      </w:r>
    </w:p>
    <w:p w14:paraId="464CE3C4">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2022年月日</w:t>
      </w:r>
    </w:p>
    <w:p w14:paraId="56646B6B">
      <w:pPr>
        <w:jc w:val="left"/>
        <w:rPr>
          <w:rFonts w:hint="eastAsia" w:ascii="宋体" w:hAnsi="宋体" w:eastAsia="宋体" w:cs="Times New Roman"/>
          <w:b w:val="0"/>
          <w:bCs w:val="0"/>
          <w:color w:val="auto"/>
          <w:kern w:val="2"/>
          <w:sz w:val="24"/>
          <w:szCs w:val="24"/>
          <w:lang w:val="en-US" w:eastAsia="zh-CN" w:bidi="ar-SA"/>
        </w:rPr>
      </w:pPr>
    </w:p>
    <w:p w14:paraId="40EAB82C">
      <w:pPr>
        <w:jc w:val="left"/>
        <w:rPr>
          <w:rFonts w:hint="eastAsia" w:ascii="宋体" w:hAnsi="宋体" w:eastAsia="宋体" w:cs="Times New Roman"/>
          <w:b w:val="0"/>
          <w:bCs w:val="0"/>
          <w:color w:val="auto"/>
          <w:kern w:val="2"/>
          <w:sz w:val="24"/>
          <w:szCs w:val="24"/>
          <w:lang w:val="en-US" w:eastAsia="zh-CN" w:bidi="ar-SA"/>
        </w:rPr>
      </w:pPr>
    </w:p>
    <w:p w14:paraId="35CF07E3">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57FDE3A2">
      <w:pPr>
        <w:jc w:val="center"/>
        <w:rPr>
          <w:rFonts w:hint="eastAsia" w:ascii="宋体" w:hAnsi="宋体" w:cs="宋体"/>
          <w:b/>
          <w:color w:val="auto"/>
          <w:sz w:val="24"/>
        </w:rPr>
        <w:sectPr>
          <w:footerReference r:id="rId5" w:type="default"/>
          <w:pgSz w:w="11906" w:h="16838"/>
          <w:pgMar w:top="1191" w:right="1587" w:bottom="1020" w:left="1587" w:header="567" w:footer="283" w:gutter="0"/>
          <w:cols w:space="720" w:num="1"/>
          <w:docGrid w:linePitch="312" w:charSpace="0"/>
        </w:sectPr>
      </w:pPr>
    </w:p>
    <w:p w14:paraId="4D3CEC9A">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303C4822">
      <w:pPr>
        <w:pStyle w:val="20"/>
        <w:rPr>
          <w:rFonts w:hint="eastAsia"/>
          <w:lang w:eastAsia="zh-CN"/>
        </w:rPr>
      </w:pPr>
    </w:p>
    <w:p w14:paraId="14043263">
      <w:pPr>
        <w:spacing w:before="120" w:beforeLines="50" w:after="120" w:afterLines="50" w:line="276" w:lineRule="auto"/>
        <w:jc w:val="center"/>
        <w:rPr>
          <w:b/>
          <w:color w:val="auto"/>
          <w:sz w:val="24"/>
        </w:rPr>
      </w:pPr>
      <w:r>
        <w:rPr>
          <w:b/>
          <w:color w:val="auto"/>
          <w:sz w:val="24"/>
        </w:rPr>
        <w:t>采购需求响应</w:t>
      </w:r>
    </w:p>
    <w:p w14:paraId="1DBCB5B9">
      <w:pPr>
        <w:adjustRightInd w:val="0"/>
        <w:snapToGrid w:val="0"/>
        <w:spacing w:line="360" w:lineRule="auto"/>
        <w:rPr>
          <w:color w:val="auto"/>
          <w:szCs w:val="21"/>
        </w:rPr>
      </w:pPr>
      <w:r>
        <w:rPr>
          <w:rFonts w:hint="eastAsia"/>
          <w:color w:val="auto"/>
          <w:sz w:val="24"/>
        </w:rPr>
        <w:t>项目</w:t>
      </w:r>
      <w:r>
        <w:rPr>
          <w:color w:val="auto"/>
          <w:sz w:val="24"/>
        </w:rPr>
        <w:t>编号：项目名称：包号：</w:t>
      </w:r>
    </w:p>
    <w:tbl>
      <w:tblPr>
        <w:tblStyle w:val="17"/>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323E53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0EEE3A9">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1CF3AA38">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14:paraId="1667A888">
            <w:pPr>
              <w:adjustRightInd w:val="0"/>
              <w:snapToGrid w:val="0"/>
              <w:spacing w:before="50" w:line="360" w:lineRule="auto"/>
              <w:jc w:val="center"/>
              <w:rPr>
                <w:color w:val="auto"/>
              </w:rPr>
            </w:pPr>
            <w:r>
              <w:rPr>
                <w:color w:val="auto"/>
              </w:rPr>
              <w:t>招标文件要求</w:t>
            </w:r>
          </w:p>
        </w:tc>
        <w:tc>
          <w:tcPr>
            <w:tcW w:w="962" w:type="pct"/>
            <w:noWrap w:val="0"/>
            <w:vAlign w:val="top"/>
          </w:tcPr>
          <w:p w14:paraId="364B4C0F">
            <w:pPr>
              <w:adjustRightInd w:val="0"/>
              <w:snapToGrid w:val="0"/>
              <w:spacing w:before="50" w:line="360" w:lineRule="auto"/>
              <w:jc w:val="center"/>
              <w:rPr>
                <w:color w:val="auto"/>
              </w:rPr>
            </w:pPr>
            <w:r>
              <w:rPr>
                <w:color w:val="auto"/>
              </w:rPr>
              <w:t>投标文件应答</w:t>
            </w:r>
          </w:p>
        </w:tc>
        <w:tc>
          <w:tcPr>
            <w:tcW w:w="905" w:type="pct"/>
            <w:noWrap w:val="0"/>
            <w:vAlign w:val="center"/>
          </w:tcPr>
          <w:p w14:paraId="418A0985">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FC9E366">
            <w:pPr>
              <w:adjustRightInd w:val="0"/>
              <w:snapToGrid w:val="0"/>
              <w:spacing w:before="50" w:line="360" w:lineRule="auto"/>
              <w:ind w:left="-88" w:leftChars="-42"/>
              <w:jc w:val="center"/>
              <w:rPr>
                <w:color w:val="auto"/>
                <w:szCs w:val="21"/>
              </w:rPr>
            </w:pPr>
            <w:r>
              <w:rPr>
                <w:color w:val="auto"/>
                <w:szCs w:val="21"/>
              </w:rPr>
              <w:t>偏离说明</w:t>
            </w:r>
          </w:p>
        </w:tc>
      </w:tr>
      <w:tr w14:paraId="679216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46A8BF8">
            <w:pPr>
              <w:adjustRightInd w:val="0"/>
              <w:snapToGrid w:val="0"/>
              <w:spacing w:before="50" w:line="360" w:lineRule="auto"/>
              <w:ind w:left="-88" w:leftChars="-42"/>
              <w:jc w:val="center"/>
              <w:rPr>
                <w:color w:val="auto"/>
                <w:szCs w:val="21"/>
              </w:rPr>
            </w:pPr>
          </w:p>
        </w:tc>
        <w:tc>
          <w:tcPr>
            <w:tcW w:w="1123" w:type="pct"/>
            <w:noWrap w:val="0"/>
            <w:vAlign w:val="center"/>
          </w:tcPr>
          <w:p w14:paraId="227D20CB">
            <w:pPr>
              <w:adjustRightInd w:val="0"/>
              <w:snapToGrid w:val="0"/>
              <w:spacing w:before="50" w:line="360" w:lineRule="auto"/>
              <w:ind w:left="-88" w:leftChars="-42"/>
              <w:jc w:val="center"/>
              <w:rPr>
                <w:color w:val="auto"/>
                <w:szCs w:val="21"/>
              </w:rPr>
            </w:pPr>
          </w:p>
        </w:tc>
        <w:tc>
          <w:tcPr>
            <w:tcW w:w="1000" w:type="pct"/>
            <w:noWrap w:val="0"/>
            <w:vAlign w:val="center"/>
          </w:tcPr>
          <w:p w14:paraId="73AC5259">
            <w:pPr>
              <w:adjustRightInd w:val="0"/>
              <w:snapToGrid w:val="0"/>
              <w:spacing w:before="50" w:line="360" w:lineRule="auto"/>
              <w:ind w:left="-88" w:leftChars="-42"/>
              <w:jc w:val="center"/>
              <w:rPr>
                <w:color w:val="auto"/>
                <w:szCs w:val="21"/>
              </w:rPr>
            </w:pPr>
          </w:p>
        </w:tc>
        <w:tc>
          <w:tcPr>
            <w:tcW w:w="962" w:type="pct"/>
            <w:noWrap w:val="0"/>
            <w:vAlign w:val="center"/>
          </w:tcPr>
          <w:p w14:paraId="0650FC38">
            <w:pPr>
              <w:adjustRightInd w:val="0"/>
              <w:snapToGrid w:val="0"/>
              <w:spacing w:before="50" w:line="360" w:lineRule="auto"/>
              <w:ind w:left="-88" w:leftChars="-42"/>
              <w:jc w:val="center"/>
              <w:rPr>
                <w:color w:val="auto"/>
                <w:szCs w:val="21"/>
              </w:rPr>
            </w:pPr>
          </w:p>
        </w:tc>
        <w:tc>
          <w:tcPr>
            <w:tcW w:w="905" w:type="pct"/>
            <w:noWrap w:val="0"/>
            <w:vAlign w:val="center"/>
          </w:tcPr>
          <w:p w14:paraId="5D51330B">
            <w:pPr>
              <w:adjustRightInd w:val="0"/>
              <w:snapToGrid w:val="0"/>
              <w:spacing w:before="50" w:line="360" w:lineRule="auto"/>
              <w:ind w:left="-88" w:leftChars="-42"/>
              <w:jc w:val="center"/>
              <w:rPr>
                <w:color w:val="auto"/>
                <w:szCs w:val="21"/>
              </w:rPr>
            </w:pPr>
          </w:p>
        </w:tc>
        <w:tc>
          <w:tcPr>
            <w:tcW w:w="634" w:type="pct"/>
            <w:noWrap w:val="0"/>
            <w:vAlign w:val="center"/>
          </w:tcPr>
          <w:p w14:paraId="16FB1433">
            <w:pPr>
              <w:adjustRightInd w:val="0"/>
              <w:snapToGrid w:val="0"/>
              <w:spacing w:before="50" w:line="360" w:lineRule="auto"/>
              <w:ind w:left="-88" w:leftChars="-42"/>
              <w:jc w:val="center"/>
              <w:rPr>
                <w:color w:val="auto"/>
                <w:szCs w:val="21"/>
              </w:rPr>
            </w:pPr>
          </w:p>
        </w:tc>
      </w:tr>
      <w:tr w14:paraId="0920F6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0143490">
            <w:pPr>
              <w:adjustRightInd w:val="0"/>
              <w:snapToGrid w:val="0"/>
              <w:spacing w:before="50" w:line="360" w:lineRule="auto"/>
              <w:ind w:left="-88" w:leftChars="-42"/>
              <w:jc w:val="center"/>
              <w:rPr>
                <w:color w:val="auto"/>
                <w:szCs w:val="21"/>
              </w:rPr>
            </w:pPr>
          </w:p>
        </w:tc>
        <w:tc>
          <w:tcPr>
            <w:tcW w:w="1123" w:type="pct"/>
            <w:noWrap w:val="0"/>
            <w:vAlign w:val="center"/>
          </w:tcPr>
          <w:p w14:paraId="78698528">
            <w:pPr>
              <w:adjustRightInd w:val="0"/>
              <w:snapToGrid w:val="0"/>
              <w:spacing w:before="50" w:line="360" w:lineRule="auto"/>
              <w:ind w:left="-88" w:leftChars="-42"/>
              <w:jc w:val="center"/>
              <w:rPr>
                <w:color w:val="auto"/>
                <w:szCs w:val="21"/>
              </w:rPr>
            </w:pPr>
          </w:p>
        </w:tc>
        <w:tc>
          <w:tcPr>
            <w:tcW w:w="1000" w:type="pct"/>
            <w:noWrap w:val="0"/>
            <w:vAlign w:val="center"/>
          </w:tcPr>
          <w:p w14:paraId="17AEB32C">
            <w:pPr>
              <w:adjustRightInd w:val="0"/>
              <w:snapToGrid w:val="0"/>
              <w:spacing w:before="50" w:line="360" w:lineRule="auto"/>
              <w:ind w:left="-88" w:leftChars="-42"/>
              <w:jc w:val="center"/>
              <w:rPr>
                <w:color w:val="auto"/>
                <w:szCs w:val="21"/>
              </w:rPr>
            </w:pPr>
          </w:p>
        </w:tc>
        <w:tc>
          <w:tcPr>
            <w:tcW w:w="962" w:type="pct"/>
            <w:noWrap w:val="0"/>
            <w:vAlign w:val="center"/>
          </w:tcPr>
          <w:p w14:paraId="4A51B935">
            <w:pPr>
              <w:adjustRightInd w:val="0"/>
              <w:snapToGrid w:val="0"/>
              <w:spacing w:before="50" w:line="360" w:lineRule="auto"/>
              <w:ind w:left="-88" w:leftChars="-42"/>
              <w:jc w:val="center"/>
              <w:rPr>
                <w:color w:val="auto"/>
                <w:szCs w:val="21"/>
              </w:rPr>
            </w:pPr>
          </w:p>
        </w:tc>
        <w:tc>
          <w:tcPr>
            <w:tcW w:w="905" w:type="pct"/>
            <w:noWrap w:val="0"/>
            <w:vAlign w:val="center"/>
          </w:tcPr>
          <w:p w14:paraId="7A1990AC">
            <w:pPr>
              <w:adjustRightInd w:val="0"/>
              <w:snapToGrid w:val="0"/>
              <w:spacing w:before="50" w:line="360" w:lineRule="auto"/>
              <w:ind w:left="-88" w:leftChars="-42"/>
              <w:jc w:val="center"/>
              <w:rPr>
                <w:color w:val="auto"/>
                <w:szCs w:val="21"/>
              </w:rPr>
            </w:pPr>
          </w:p>
        </w:tc>
        <w:tc>
          <w:tcPr>
            <w:tcW w:w="634" w:type="pct"/>
            <w:noWrap w:val="0"/>
            <w:vAlign w:val="center"/>
          </w:tcPr>
          <w:p w14:paraId="6F081B65">
            <w:pPr>
              <w:adjustRightInd w:val="0"/>
              <w:snapToGrid w:val="0"/>
              <w:spacing w:before="50" w:line="360" w:lineRule="auto"/>
              <w:ind w:left="-88" w:leftChars="-42"/>
              <w:jc w:val="center"/>
              <w:rPr>
                <w:color w:val="auto"/>
                <w:szCs w:val="21"/>
              </w:rPr>
            </w:pPr>
          </w:p>
        </w:tc>
      </w:tr>
      <w:tr w14:paraId="09DD92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52913E2F">
            <w:pPr>
              <w:adjustRightInd w:val="0"/>
              <w:snapToGrid w:val="0"/>
              <w:spacing w:before="50" w:line="360" w:lineRule="auto"/>
              <w:ind w:left="-88" w:leftChars="-42"/>
              <w:jc w:val="center"/>
              <w:rPr>
                <w:color w:val="auto"/>
                <w:szCs w:val="21"/>
              </w:rPr>
            </w:pPr>
          </w:p>
        </w:tc>
        <w:tc>
          <w:tcPr>
            <w:tcW w:w="1123" w:type="pct"/>
            <w:noWrap w:val="0"/>
            <w:vAlign w:val="center"/>
          </w:tcPr>
          <w:p w14:paraId="76A8A0FF">
            <w:pPr>
              <w:adjustRightInd w:val="0"/>
              <w:snapToGrid w:val="0"/>
              <w:spacing w:before="50" w:line="360" w:lineRule="auto"/>
              <w:ind w:left="-88" w:leftChars="-42"/>
              <w:jc w:val="center"/>
              <w:rPr>
                <w:color w:val="auto"/>
                <w:szCs w:val="21"/>
              </w:rPr>
            </w:pPr>
          </w:p>
        </w:tc>
        <w:tc>
          <w:tcPr>
            <w:tcW w:w="1000" w:type="pct"/>
            <w:noWrap w:val="0"/>
            <w:vAlign w:val="center"/>
          </w:tcPr>
          <w:p w14:paraId="0B5F37AD">
            <w:pPr>
              <w:adjustRightInd w:val="0"/>
              <w:snapToGrid w:val="0"/>
              <w:spacing w:before="50" w:line="360" w:lineRule="auto"/>
              <w:ind w:left="-88" w:leftChars="-42"/>
              <w:jc w:val="center"/>
              <w:rPr>
                <w:color w:val="auto"/>
                <w:szCs w:val="21"/>
              </w:rPr>
            </w:pPr>
          </w:p>
        </w:tc>
        <w:tc>
          <w:tcPr>
            <w:tcW w:w="962" w:type="pct"/>
            <w:noWrap w:val="0"/>
            <w:vAlign w:val="center"/>
          </w:tcPr>
          <w:p w14:paraId="17172F30">
            <w:pPr>
              <w:adjustRightInd w:val="0"/>
              <w:snapToGrid w:val="0"/>
              <w:spacing w:before="50" w:line="360" w:lineRule="auto"/>
              <w:ind w:left="-88" w:leftChars="-42"/>
              <w:jc w:val="center"/>
              <w:rPr>
                <w:color w:val="auto"/>
                <w:szCs w:val="21"/>
              </w:rPr>
            </w:pPr>
          </w:p>
        </w:tc>
        <w:tc>
          <w:tcPr>
            <w:tcW w:w="905" w:type="pct"/>
            <w:noWrap w:val="0"/>
            <w:vAlign w:val="center"/>
          </w:tcPr>
          <w:p w14:paraId="18AD1B21">
            <w:pPr>
              <w:adjustRightInd w:val="0"/>
              <w:snapToGrid w:val="0"/>
              <w:spacing w:before="50" w:line="360" w:lineRule="auto"/>
              <w:ind w:left="-88" w:leftChars="-42"/>
              <w:jc w:val="center"/>
              <w:rPr>
                <w:color w:val="auto"/>
                <w:szCs w:val="21"/>
              </w:rPr>
            </w:pPr>
          </w:p>
        </w:tc>
        <w:tc>
          <w:tcPr>
            <w:tcW w:w="634" w:type="pct"/>
            <w:noWrap w:val="0"/>
            <w:vAlign w:val="center"/>
          </w:tcPr>
          <w:p w14:paraId="74120935">
            <w:pPr>
              <w:adjustRightInd w:val="0"/>
              <w:snapToGrid w:val="0"/>
              <w:spacing w:before="50" w:line="360" w:lineRule="auto"/>
              <w:ind w:left="-88" w:leftChars="-42"/>
              <w:jc w:val="center"/>
              <w:rPr>
                <w:color w:val="auto"/>
                <w:szCs w:val="21"/>
              </w:rPr>
            </w:pPr>
          </w:p>
        </w:tc>
      </w:tr>
      <w:tr w14:paraId="7B7D0F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3F971A6A">
            <w:pPr>
              <w:rPr>
                <w:b/>
                <w:color w:val="auto"/>
              </w:rPr>
            </w:pPr>
            <w:r>
              <w:rPr>
                <w:b/>
                <w:color w:val="auto"/>
              </w:rPr>
              <w:t>投标人保证：我单位对招标文件的其他采购需求条款完全响应，无偏离。</w:t>
            </w:r>
          </w:p>
        </w:tc>
      </w:tr>
    </w:tbl>
    <w:p w14:paraId="2FFB20C5">
      <w:pPr>
        <w:adjustRightInd w:val="0"/>
        <w:snapToGrid w:val="0"/>
        <w:spacing w:before="50" w:line="360" w:lineRule="auto"/>
        <w:ind w:left="-88" w:leftChars="-42"/>
        <w:rPr>
          <w:color w:val="auto"/>
          <w:sz w:val="24"/>
        </w:rPr>
      </w:pPr>
      <w:r>
        <w:rPr>
          <w:b/>
          <w:color w:val="auto"/>
          <w:sz w:val="24"/>
        </w:rPr>
        <w:t>备注</w:t>
      </w:r>
      <w:r>
        <w:rPr>
          <w:color w:val="auto"/>
          <w:sz w:val="24"/>
        </w:rPr>
        <w:t>：</w:t>
      </w:r>
    </w:p>
    <w:p w14:paraId="71B0E4AD">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14:paraId="02E921BA">
      <w:pPr>
        <w:adjustRightInd w:val="0"/>
        <w:snapToGrid w:val="0"/>
        <w:spacing w:before="50" w:line="360" w:lineRule="auto"/>
        <w:ind w:left="-88" w:leftChars="-42"/>
        <w:rPr>
          <w:rFonts w:hint="eastAsia"/>
          <w:color w:val="auto"/>
          <w:sz w:val="24"/>
        </w:rPr>
      </w:pPr>
      <w:r>
        <w:rPr>
          <w:color w:val="auto"/>
          <w:sz w:val="24"/>
        </w:rPr>
        <w:t>（2）</w:t>
      </w:r>
      <w:r>
        <w:rPr>
          <w:rFonts w:hint="eastAsia"/>
          <w:color w:val="auto"/>
          <w:sz w:val="24"/>
        </w:rPr>
        <w:t>采购需求必须全部满足，不得有偏离，否则投标无效</w:t>
      </w:r>
      <w:r>
        <w:rPr>
          <w:color w:val="auto"/>
          <w:sz w:val="24"/>
        </w:rPr>
        <w:t>；</w:t>
      </w:r>
    </w:p>
    <w:p w14:paraId="038CFADE">
      <w:pPr>
        <w:adjustRightInd w:val="0"/>
        <w:snapToGrid w:val="0"/>
        <w:spacing w:before="50" w:line="360" w:lineRule="auto"/>
        <w:ind w:left="-88" w:leftChars="-42"/>
        <w:rPr>
          <w:rFonts w:hint="eastAsia"/>
          <w:color w:val="auto"/>
          <w:sz w:val="24"/>
        </w:rPr>
      </w:pPr>
      <w:r>
        <w:rPr>
          <w:color w:val="auto"/>
          <w:sz w:val="24"/>
        </w:rPr>
        <w:t>（3）如不提供此表，则视为投标人不满足招标文件第三章的所有条款要求，其投标无效；</w:t>
      </w:r>
      <w:bookmarkEnd w:id="2"/>
      <w:bookmarkEnd w:id="3"/>
    </w:p>
    <w:sectPr>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宋体"/>
    <w:panose1 w:val="02010601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CD92F">
    <w:pPr>
      <w:pStyle w:val="11"/>
      <w:rPr>
        <w:rFonts w:hint="eastAsia" w:ascii="仿宋_GB2312" w:eastAsia="仿宋_GB2312"/>
        <w:bCs/>
        <w:u w:val="single"/>
        <w:lang w:eastAsia="zh-CN"/>
      </w:rPr>
    </w:pPr>
  </w:p>
  <w:p w14:paraId="343FFF2A">
    <w:pPr>
      <w:adjustRightInd w:val="0"/>
      <w:snapToGrid w:val="0"/>
      <w:spacing w:line="260" w:lineRule="atLeast"/>
      <w:ind w:left="482" w:hanging="482"/>
      <w:rPr>
        <w:rFonts w:hint="eastAsia" w:ascii="宋体" w:hAnsi="宋体"/>
        <w:kern w:val="0"/>
        <w:sz w:val="18"/>
        <w:szCs w:val="21"/>
      </w:rPr>
    </w:pPr>
  </w:p>
  <w:p w14:paraId="48F090EB">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F5463">
    <w:pPr>
      <w:pStyle w:val="11"/>
      <w:rPr>
        <w:rFonts w:hint="eastAsia" w:ascii="仿宋_GB2312" w:eastAsia="仿宋_GB2312"/>
        <w:bCs/>
        <w:u w:val="single"/>
        <w:lang w:eastAsia="zh-CN"/>
      </w:rPr>
    </w:pPr>
  </w:p>
  <w:p w14:paraId="6420CF35">
    <w:pPr>
      <w:adjustRightInd w:val="0"/>
      <w:snapToGrid w:val="0"/>
      <w:spacing w:line="260" w:lineRule="atLeast"/>
      <w:rPr>
        <w:rFonts w:hint="eastAsia"/>
        <w:kern w:val="0"/>
        <w:sz w:val="18"/>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0DFD8">
    <w:pPr>
      <w:pStyle w:val="11"/>
      <w:rPr>
        <w:rFonts w:hint="eastAsia" w:ascii="仿宋_GB2312" w:eastAsia="仿宋_GB2312"/>
        <w:bCs/>
        <w:u w:val="single"/>
        <w:lang w:eastAsia="zh-CN"/>
      </w:rPr>
    </w:pPr>
  </w:p>
  <w:p w14:paraId="60F8584E">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ACCE4">
    <w:pPr>
      <w:pStyle w:val="13"/>
      <w:ind w:left="8280" w:hanging="8280" w:hangingChars="4600"/>
      <w:jc w:val="both"/>
      <w:rPr>
        <w:rFonts w:hint="eastAsia" w:eastAsia="宋体"/>
        <w:lang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76FA0E2C"/>
    <w:rsid w:val="006477AE"/>
    <w:rsid w:val="00C92644"/>
    <w:rsid w:val="031F1550"/>
    <w:rsid w:val="05C158E1"/>
    <w:rsid w:val="080A233D"/>
    <w:rsid w:val="0CD76D15"/>
    <w:rsid w:val="0DE6784F"/>
    <w:rsid w:val="11D54941"/>
    <w:rsid w:val="1A994656"/>
    <w:rsid w:val="1AF44B94"/>
    <w:rsid w:val="1DED7D4A"/>
    <w:rsid w:val="1E42670E"/>
    <w:rsid w:val="1E6569FA"/>
    <w:rsid w:val="244F0832"/>
    <w:rsid w:val="24EC6239"/>
    <w:rsid w:val="29197D6C"/>
    <w:rsid w:val="2E4C6453"/>
    <w:rsid w:val="30335E85"/>
    <w:rsid w:val="306D2D50"/>
    <w:rsid w:val="30D86127"/>
    <w:rsid w:val="310A0554"/>
    <w:rsid w:val="31E2162D"/>
    <w:rsid w:val="31ED215A"/>
    <w:rsid w:val="362565DA"/>
    <w:rsid w:val="39A56847"/>
    <w:rsid w:val="41E0182A"/>
    <w:rsid w:val="49EE5740"/>
    <w:rsid w:val="4BF81337"/>
    <w:rsid w:val="4C4362B9"/>
    <w:rsid w:val="4F497B3F"/>
    <w:rsid w:val="52DF797D"/>
    <w:rsid w:val="531815DA"/>
    <w:rsid w:val="579266BB"/>
    <w:rsid w:val="5B06514F"/>
    <w:rsid w:val="5C6D699E"/>
    <w:rsid w:val="5E95175A"/>
    <w:rsid w:val="5FB1336B"/>
    <w:rsid w:val="664909F8"/>
    <w:rsid w:val="6946276E"/>
    <w:rsid w:val="6A1039F0"/>
    <w:rsid w:val="70E07E96"/>
    <w:rsid w:val="748B1A17"/>
    <w:rsid w:val="74B775E4"/>
    <w:rsid w:val="7666529B"/>
    <w:rsid w:val="76FA0E2C"/>
    <w:rsid w:val="7A086A6F"/>
    <w:rsid w:val="7DC94074"/>
    <w:rsid w:val="7E694749"/>
    <w:rsid w:val="7E6E7082"/>
    <w:rsid w:val="7E7A0ECD"/>
    <w:rsid w:val="7FE66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annotation text"/>
    <w:basedOn w:val="1"/>
    <w:qFormat/>
    <w:uiPriority w:val="0"/>
    <w:pPr>
      <w:jc w:val="left"/>
    </w:pPr>
  </w:style>
  <w:style w:type="paragraph" w:styleId="8">
    <w:name w:val="Body Text"/>
    <w:basedOn w:val="1"/>
    <w:qFormat/>
    <w:uiPriority w:val="0"/>
    <w:pPr>
      <w:overflowPunct w:val="0"/>
      <w:autoSpaceDE w:val="0"/>
      <w:autoSpaceDN w:val="0"/>
      <w:adjustRightInd w:val="0"/>
      <w:spacing w:before="120" w:after="120"/>
      <w:ind w:left="2520"/>
      <w:jc w:val="left"/>
      <w:textAlignment w:val="baseline"/>
    </w:pPr>
    <w:rPr>
      <w:rFonts w:ascii="宋体" w:hAnsi="Times New Roman"/>
      <w:kern w:val="0"/>
      <w:sz w:val="24"/>
      <w:szCs w:val="20"/>
    </w:rPr>
  </w:style>
  <w:style w:type="paragraph" w:styleId="9">
    <w:name w:val="Body Text Indent"/>
    <w:basedOn w:val="1"/>
    <w:next w:val="1"/>
    <w:qFormat/>
    <w:uiPriority w:val="0"/>
    <w:pPr>
      <w:spacing w:after="120" w:line="400" w:lineRule="exact"/>
      <w:ind w:left="420" w:leftChars="200"/>
    </w:pPr>
    <w:rPr>
      <w:rFonts w:ascii="Calibri" w:hAnsi="Calibri"/>
    </w:rPr>
  </w:style>
  <w:style w:type="paragraph" w:styleId="10">
    <w:name w:val="Plain Text"/>
    <w:basedOn w:val="1"/>
    <w:qFormat/>
    <w:uiPriority w:val="0"/>
    <w:rPr>
      <w:rFonts w:ascii="宋体" w:hAnsi="Courier New" w:cs="Courier New"/>
      <w:szCs w:val="21"/>
    </w:rPr>
  </w:style>
  <w:style w:type="paragraph" w:styleId="11">
    <w:name w:val="footer"/>
    <w:basedOn w:val="1"/>
    <w:qFormat/>
    <w:uiPriority w:val="0"/>
    <w:pPr>
      <w:tabs>
        <w:tab w:val="center" w:pos="4153"/>
        <w:tab w:val="right" w:pos="8306"/>
      </w:tabs>
      <w:snapToGrid w:val="0"/>
      <w:jc w:val="left"/>
    </w:pPr>
    <w:rPr>
      <w:kern w:val="0"/>
      <w:sz w:val="18"/>
    </w:rPr>
  </w:style>
  <w:style w:type="paragraph" w:styleId="12">
    <w:name w:val="envelope return"/>
    <w:basedOn w:val="1"/>
    <w:qFormat/>
    <w:uiPriority w:val="0"/>
    <w:pPr>
      <w:widowControl/>
      <w:ind w:left="1080"/>
      <w:jc w:val="left"/>
    </w:pPr>
    <w:rPr>
      <w:rFonts w:ascii="Arial" w:hAnsi="Arial" w:cs="Arial"/>
      <w:spacing w:val="-5"/>
      <w:kern w:val="0"/>
      <w:sz w:val="20"/>
      <w:szCs w:val="20"/>
      <w:lang w:eastAsia="en-US"/>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Body Text 2"/>
    <w:basedOn w:val="1"/>
    <w:qFormat/>
    <w:uiPriority w:val="0"/>
    <w:pPr>
      <w:spacing w:after="120" w:line="480" w:lineRule="auto"/>
    </w:pPr>
  </w:style>
  <w:style w:type="paragraph" w:styleId="15">
    <w:name w:val="Normal (Web)"/>
    <w:basedOn w:val="1"/>
    <w:qFormat/>
    <w:uiPriority w:val="0"/>
    <w:rPr>
      <w:sz w:val="24"/>
    </w:rPr>
  </w:style>
  <w:style w:type="paragraph" w:styleId="16">
    <w:name w:val="Body Text First Indent 2"/>
    <w:basedOn w:val="9"/>
    <w:next w:val="5"/>
    <w:qFormat/>
    <w:uiPriority w:val="0"/>
    <w:pPr>
      <w:autoSpaceDE w:val="0"/>
      <w:autoSpaceDN w:val="0"/>
      <w:adjustRightInd w:val="0"/>
      <w:ind w:firstLine="420"/>
      <w:jc w:val="left"/>
    </w:pPr>
    <w:rPr>
      <w:kern w:val="0"/>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
    <w:name w:val="列出段落1"/>
    <w:basedOn w:val="1"/>
    <w:qFormat/>
    <w:uiPriority w:val="99"/>
    <w:pPr>
      <w:ind w:firstLine="420" w:firstLineChars="200"/>
    </w:pPr>
  </w:style>
  <w:style w:type="paragraph" w:customStyle="1" w:styleId="21">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22">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2515</Words>
  <Characters>2582</Characters>
  <Lines>0</Lines>
  <Paragraphs>0</Paragraphs>
  <TotalTime>0</TotalTime>
  <ScaleCrop>false</ScaleCrop>
  <LinksUpToDate>false</LinksUpToDate>
  <CharactersWithSpaces>2583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2022-08-30T01:32:00Z</dcterms:created>
  <dc:creator>Just_小马</dc:creator>
  <cp:lastModifiedBy>张思远</cp:lastModifiedBy>
  <cp:lastPrinted>2022-10-27T01:30:00Z</cp:lastPrinted>
  <dcterms:modified xsi:type="dcterms:W3CDTF">2026-05-28T03:31:01Z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E8314CC8493647418141C51DDD01C6B6</vt:lpwstr>
  </property>
  <property fmtid="{D5CDD505-2E9C-101B-9397-08002B2CF9AE}" pid="4" name="KSOTemplateDocerSaveRecord">
    <vt:lpwstr>eyJoZGlkIjoiOWU3YmMxNGQ0NDE0NTRiYjQ3MWFkZjk1MWM2MTc2NWEiLCJ1c2VySWQiOiI0NDIzNjcyODQifQ==</vt:lpwstr>
  </property>
</Properties>
</file>